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sz w:val="44"/>
          <w:szCs w:val="44"/>
        </w:rPr>
      </w:pPr>
      <w:r>
        <w:rPr>
          <w:rFonts w:hint="eastAsia" w:asciiTheme="minorEastAsia" w:hAnsiTheme="minorEastAsia"/>
          <w:sz w:val="44"/>
          <w:szCs w:val="44"/>
          <w:lang w:eastAsia="zh-CN"/>
        </w:rPr>
        <w:t>投标报价</w:t>
      </w:r>
      <w:r>
        <w:rPr>
          <w:rFonts w:asciiTheme="minorEastAsia" w:hAnsiTheme="minorEastAsia" w:eastAsiaTheme="minorEastAsia"/>
          <w:sz w:val="44"/>
          <w:szCs w:val="44"/>
        </w:rPr>
        <w:t>说明</w:t>
      </w:r>
    </w:p>
    <w:p>
      <w:pPr>
        <w:keepNext w:val="0"/>
        <w:keepLines w:val="0"/>
        <w:pageBreakBefore w:val="0"/>
        <w:numPr>
          <w:ilvl w:val="0"/>
          <w:numId w:val="1"/>
        </w:numPr>
        <w:kinsoku/>
        <w:wordWrap/>
        <w:overflowPunct/>
        <w:topLinePunct w:val="0"/>
        <w:autoSpaceDE/>
        <w:autoSpaceDN/>
        <w:bidi w:val="0"/>
        <w:adjustRightInd/>
        <w:snapToGrid/>
        <w:spacing w:line="500" w:lineRule="exact"/>
        <w:textAlignment w:val="auto"/>
        <w:outlineLvl w:val="0"/>
        <w:rPr>
          <w:rFonts w:asciiTheme="minorEastAsia" w:hAnsiTheme="minorEastAsia" w:eastAsiaTheme="minorEastAsia"/>
          <w:b w:val="0"/>
          <w:bCs/>
          <w:sz w:val="30"/>
          <w:szCs w:val="30"/>
        </w:rPr>
      </w:pPr>
      <w:r>
        <w:rPr>
          <w:rFonts w:asciiTheme="minorEastAsia" w:hAnsiTheme="minorEastAsia" w:eastAsiaTheme="minorEastAsia"/>
          <w:b w:val="0"/>
          <w:bCs/>
          <w:sz w:val="30"/>
          <w:szCs w:val="30"/>
        </w:rPr>
        <w:t>工程概况</w:t>
      </w:r>
    </w:p>
    <w:p>
      <w:pPr>
        <w:keepNext w:val="0"/>
        <w:keepLines w:val="0"/>
        <w:pageBreakBefore w:val="0"/>
        <w:kinsoku/>
        <w:wordWrap/>
        <w:overflowPunct/>
        <w:topLinePunct w:val="0"/>
        <w:autoSpaceDE/>
        <w:autoSpaceDN/>
        <w:bidi w:val="0"/>
        <w:adjustRightInd/>
        <w:snapToGrid/>
        <w:spacing w:line="500" w:lineRule="exact"/>
        <w:ind w:firstLine="520" w:firstLineChars="200"/>
        <w:textAlignment w:val="auto"/>
        <w:rPr>
          <w:rFonts w:hint="eastAsia" w:asciiTheme="minorEastAsia" w:hAnsiTheme="minorEastAsia" w:cstheme="minorEastAsia"/>
          <w:sz w:val="26"/>
          <w:szCs w:val="26"/>
          <w:lang w:val="en-US" w:eastAsia="zh-CN"/>
        </w:rPr>
      </w:pPr>
      <w:r>
        <w:rPr>
          <w:rFonts w:hint="eastAsia" w:asciiTheme="minorEastAsia" w:hAnsiTheme="minorEastAsia" w:cstheme="minorEastAsia"/>
          <w:sz w:val="26"/>
          <w:szCs w:val="26"/>
        </w:rPr>
        <w:t>本工程为</w:t>
      </w:r>
      <w:r>
        <w:rPr>
          <w:rFonts w:hint="eastAsia" w:asciiTheme="minorEastAsia" w:hAnsiTheme="minorEastAsia" w:cstheme="minorEastAsia"/>
          <w:sz w:val="26"/>
          <w:szCs w:val="26"/>
          <w:lang w:eastAsia="zh-CN"/>
        </w:rPr>
        <w:t>鞍山市人民公园改造工程</w:t>
      </w:r>
      <w:r>
        <w:rPr>
          <w:rFonts w:hint="eastAsia" w:asciiTheme="minorEastAsia" w:hAnsiTheme="minorEastAsia" w:cstheme="minorEastAsia"/>
          <w:sz w:val="26"/>
          <w:szCs w:val="26"/>
        </w:rPr>
        <w:t>，地点位于</w:t>
      </w:r>
      <w:r>
        <w:rPr>
          <w:rFonts w:hint="eastAsia" w:asciiTheme="minorEastAsia" w:hAnsiTheme="minorEastAsia" w:cstheme="minorEastAsia"/>
          <w:sz w:val="26"/>
          <w:szCs w:val="26"/>
          <w:lang w:eastAsia="zh-CN"/>
        </w:rPr>
        <w:t>鞍山市铁东区千山中路</w:t>
      </w:r>
      <w:r>
        <w:rPr>
          <w:rFonts w:hint="eastAsia" w:asciiTheme="minorEastAsia" w:hAnsiTheme="minorEastAsia" w:cstheme="minorEastAsia"/>
          <w:sz w:val="26"/>
          <w:szCs w:val="26"/>
          <w:lang w:val="en-US" w:eastAsia="zh-CN"/>
        </w:rPr>
        <w:t>18甲，主要对人民公园原有绿化、园区道路及设施进行修补，并新建一处公共卫生间。</w:t>
      </w:r>
    </w:p>
    <w:p>
      <w:pPr>
        <w:keepNext w:val="0"/>
        <w:keepLines w:val="0"/>
        <w:pageBreakBefore w:val="0"/>
        <w:kinsoku/>
        <w:wordWrap/>
        <w:overflowPunct/>
        <w:topLinePunct w:val="0"/>
        <w:autoSpaceDE/>
        <w:autoSpaceDN/>
        <w:bidi w:val="0"/>
        <w:adjustRightInd/>
        <w:snapToGrid/>
        <w:spacing w:line="500" w:lineRule="exact"/>
        <w:ind w:firstLine="520" w:firstLineChars="200"/>
        <w:textAlignment w:val="auto"/>
        <w:outlineLvl w:val="0"/>
        <w:rPr>
          <w:rFonts w:hint="eastAsia" w:asciiTheme="minorEastAsia" w:hAnsiTheme="minorEastAsia" w:eastAsiaTheme="minorEastAsia" w:cstheme="minorEastAsia"/>
          <w:sz w:val="26"/>
          <w:szCs w:val="26"/>
          <w:vertAlign w:val="baseline"/>
          <w:lang w:val="en-US" w:eastAsia="zh-CN"/>
        </w:rPr>
      </w:pPr>
      <w:r>
        <w:rPr>
          <w:rFonts w:hint="eastAsia" w:asciiTheme="minorEastAsia" w:hAnsiTheme="minorEastAsia" w:cstheme="minorEastAsia"/>
          <w:sz w:val="26"/>
          <w:szCs w:val="26"/>
          <w:lang w:eastAsia="zh-CN"/>
        </w:rPr>
        <w:t>主要修建内容新增绿篱</w:t>
      </w:r>
      <w:r>
        <w:rPr>
          <w:rFonts w:hint="eastAsia" w:asciiTheme="minorEastAsia" w:hAnsiTheme="minorEastAsia" w:cstheme="minorEastAsia"/>
          <w:sz w:val="26"/>
          <w:szCs w:val="26"/>
          <w:vertAlign w:val="baseline"/>
          <w:lang w:val="en-US" w:eastAsia="zh-CN"/>
        </w:rPr>
        <w:t>737</w:t>
      </w:r>
      <w:r>
        <w:rPr>
          <w:rFonts w:hint="eastAsia" w:asciiTheme="minorEastAsia" w:hAnsiTheme="minorEastAsia" w:cstheme="minorEastAsia"/>
          <w:sz w:val="26"/>
          <w:szCs w:val="26"/>
          <w:lang w:val="en-US" w:eastAsia="zh-CN"/>
        </w:rPr>
        <w:t>m</w:t>
      </w:r>
      <w:r>
        <w:rPr>
          <w:rFonts w:hint="eastAsia" w:asciiTheme="minorEastAsia" w:hAnsiTheme="minorEastAsia" w:cstheme="minorEastAsia"/>
          <w:sz w:val="26"/>
          <w:szCs w:val="26"/>
          <w:vertAlign w:val="superscript"/>
          <w:lang w:val="en-US" w:eastAsia="zh-CN"/>
        </w:rPr>
        <w:t>2</w:t>
      </w:r>
      <w:r>
        <w:rPr>
          <w:rFonts w:hint="eastAsia" w:asciiTheme="minorEastAsia" w:hAnsiTheme="minorEastAsia" w:cstheme="minorEastAsia"/>
          <w:sz w:val="26"/>
          <w:szCs w:val="26"/>
          <w:vertAlign w:val="baseline"/>
          <w:lang w:val="en-US" w:eastAsia="zh-CN"/>
        </w:rPr>
        <w:t>、花卉613</w:t>
      </w:r>
      <w:r>
        <w:rPr>
          <w:rFonts w:hint="eastAsia" w:asciiTheme="minorEastAsia" w:hAnsiTheme="minorEastAsia" w:cstheme="minorEastAsia"/>
          <w:sz w:val="26"/>
          <w:szCs w:val="26"/>
          <w:lang w:val="en-US" w:eastAsia="zh-CN"/>
        </w:rPr>
        <w:t>m</w:t>
      </w:r>
      <w:r>
        <w:rPr>
          <w:rFonts w:hint="eastAsia" w:asciiTheme="minorEastAsia" w:hAnsiTheme="minorEastAsia" w:cstheme="minorEastAsia"/>
          <w:sz w:val="26"/>
          <w:szCs w:val="26"/>
          <w:vertAlign w:val="superscript"/>
          <w:lang w:val="en-US" w:eastAsia="zh-CN"/>
        </w:rPr>
        <w:t>2</w:t>
      </w:r>
      <w:r>
        <w:rPr>
          <w:rFonts w:hint="eastAsia" w:asciiTheme="minorEastAsia" w:hAnsiTheme="minorEastAsia" w:cstheme="minorEastAsia"/>
          <w:sz w:val="26"/>
          <w:szCs w:val="26"/>
          <w:vertAlign w:val="baseline"/>
          <w:lang w:val="en-US" w:eastAsia="zh-CN"/>
        </w:rPr>
        <w:t>、草坪8785</w:t>
      </w:r>
      <w:r>
        <w:rPr>
          <w:rFonts w:hint="eastAsia" w:asciiTheme="minorEastAsia" w:hAnsiTheme="minorEastAsia" w:cstheme="minorEastAsia"/>
          <w:sz w:val="26"/>
          <w:szCs w:val="26"/>
          <w:lang w:val="en-US" w:eastAsia="zh-CN"/>
        </w:rPr>
        <w:t>m</w:t>
      </w:r>
      <w:r>
        <w:rPr>
          <w:rFonts w:hint="eastAsia" w:asciiTheme="minorEastAsia" w:hAnsiTheme="minorEastAsia" w:cstheme="minorEastAsia"/>
          <w:sz w:val="26"/>
          <w:szCs w:val="26"/>
          <w:vertAlign w:val="superscript"/>
          <w:lang w:val="en-US" w:eastAsia="zh-CN"/>
        </w:rPr>
        <w:t>2</w:t>
      </w:r>
      <w:r>
        <w:rPr>
          <w:rFonts w:hint="eastAsia" w:asciiTheme="minorEastAsia" w:hAnsiTheme="minorEastAsia" w:cstheme="minorEastAsia"/>
          <w:sz w:val="26"/>
          <w:szCs w:val="26"/>
          <w:vertAlign w:val="baseline"/>
          <w:lang w:val="en-US" w:eastAsia="zh-CN"/>
        </w:rPr>
        <w:t>；拆除一二级园区道路及张拉膜广场面层，园区道路改造成彩色沥青混凝土路面6541</w:t>
      </w:r>
      <w:r>
        <w:rPr>
          <w:rFonts w:hint="eastAsia" w:asciiTheme="minorEastAsia" w:hAnsiTheme="minorEastAsia" w:cstheme="minorEastAsia"/>
          <w:sz w:val="26"/>
          <w:szCs w:val="26"/>
          <w:lang w:val="en-US" w:eastAsia="zh-CN"/>
        </w:rPr>
        <w:t>m</w:t>
      </w:r>
      <w:r>
        <w:rPr>
          <w:rFonts w:hint="eastAsia" w:asciiTheme="minorEastAsia" w:hAnsiTheme="minorEastAsia" w:cstheme="minorEastAsia"/>
          <w:sz w:val="26"/>
          <w:szCs w:val="26"/>
          <w:vertAlign w:val="superscript"/>
          <w:lang w:val="en-US" w:eastAsia="zh-CN"/>
        </w:rPr>
        <w:t>2</w:t>
      </w:r>
      <w:r>
        <w:rPr>
          <w:rFonts w:hint="eastAsia" w:asciiTheme="minorEastAsia" w:hAnsiTheme="minorEastAsia" w:cstheme="minorEastAsia"/>
          <w:sz w:val="26"/>
          <w:szCs w:val="26"/>
          <w:vertAlign w:val="baseline"/>
          <w:lang w:val="en-US" w:eastAsia="zh-CN"/>
        </w:rPr>
        <w:t>；新建公共卫生间一处，建筑面积105.96</w:t>
      </w:r>
      <w:r>
        <w:rPr>
          <w:rFonts w:hint="eastAsia" w:asciiTheme="minorEastAsia" w:hAnsiTheme="minorEastAsia" w:cstheme="minorEastAsia"/>
          <w:sz w:val="26"/>
          <w:szCs w:val="26"/>
          <w:lang w:val="en-US" w:eastAsia="zh-CN"/>
        </w:rPr>
        <w:t>m</w:t>
      </w:r>
      <w:r>
        <w:rPr>
          <w:rFonts w:hint="eastAsia" w:asciiTheme="minorEastAsia" w:hAnsiTheme="minorEastAsia" w:cstheme="minorEastAsia"/>
          <w:sz w:val="26"/>
          <w:szCs w:val="26"/>
          <w:vertAlign w:val="superscript"/>
          <w:lang w:val="en-US" w:eastAsia="zh-CN"/>
        </w:rPr>
        <w:t>2</w:t>
      </w:r>
      <w:r>
        <w:rPr>
          <w:rFonts w:hint="eastAsia" w:asciiTheme="minorEastAsia" w:hAnsiTheme="minorEastAsia" w:cstheme="minorEastAsia"/>
          <w:sz w:val="26"/>
          <w:szCs w:val="26"/>
          <w:vertAlign w:val="baseline"/>
          <w:lang w:val="en-US" w:eastAsia="zh-CN"/>
        </w:rPr>
        <w:t>、周围花岗岩铺装353.8</w:t>
      </w:r>
      <w:r>
        <w:rPr>
          <w:rFonts w:hint="eastAsia" w:asciiTheme="minorEastAsia" w:hAnsiTheme="minorEastAsia" w:cstheme="minorEastAsia"/>
          <w:sz w:val="26"/>
          <w:szCs w:val="26"/>
          <w:lang w:val="en-US" w:eastAsia="zh-CN"/>
        </w:rPr>
        <w:t>m</w:t>
      </w:r>
      <w:r>
        <w:rPr>
          <w:rFonts w:hint="eastAsia" w:asciiTheme="minorEastAsia" w:hAnsiTheme="minorEastAsia" w:cstheme="minorEastAsia"/>
          <w:sz w:val="26"/>
          <w:szCs w:val="26"/>
          <w:vertAlign w:val="superscript"/>
          <w:lang w:val="en-US" w:eastAsia="zh-CN"/>
        </w:rPr>
        <w:t>2</w:t>
      </w:r>
      <w:r>
        <w:rPr>
          <w:rFonts w:hint="eastAsia" w:asciiTheme="minorEastAsia" w:hAnsiTheme="minorEastAsia" w:cstheme="minorEastAsia"/>
          <w:sz w:val="26"/>
          <w:szCs w:val="26"/>
          <w:vertAlign w:val="baseline"/>
          <w:lang w:val="en-US" w:eastAsia="zh-CN"/>
        </w:rPr>
        <w:t>；改建玻璃钢浮雕景墙115米；更换景观灯柱14个；新增北入口标识一处；新增林下活动场地，砂石铺装155</w:t>
      </w:r>
      <w:r>
        <w:rPr>
          <w:rFonts w:hint="eastAsia" w:asciiTheme="minorEastAsia" w:hAnsiTheme="minorEastAsia" w:cstheme="minorEastAsia"/>
          <w:sz w:val="26"/>
          <w:szCs w:val="26"/>
          <w:lang w:val="en-US" w:eastAsia="zh-CN"/>
        </w:rPr>
        <w:t>m</w:t>
      </w:r>
      <w:r>
        <w:rPr>
          <w:rFonts w:hint="eastAsia" w:asciiTheme="minorEastAsia" w:hAnsiTheme="minorEastAsia" w:cstheme="minorEastAsia"/>
          <w:sz w:val="26"/>
          <w:szCs w:val="26"/>
          <w:vertAlign w:val="superscript"/>
          <w:lang w:val="en-US" w:eastAsia="zh-CN"/>
        </w:rPr>
        <w:t>2</w:t>
      </w:r>
      <w:r>
        <w:rPr>
          <w:rFonts w:hint="eastAsia" w:asciiTheme="minorEastAsia" w:hAnsiTheme="minorEastAsia" w:cstheme="minorEastAsia"/>
          <w:sz w:val="26"/>
          <w:szCs w:val="26"/>
          <w:vertAlign w:val="baseline"/>
          <w:lang w:val="en-US" w:eastAsia="zh-CN"/>
        </w:rPr>
        <w:t>；新增监控系统一套。</w:t>
      </w:r>
    </w:p>
    <w:p>
      <w:pPr>
        <w:keepNext w:val="0"/>
        <w:keepLines w:val="0"/>
        <w:pageBreakBefore w:val="0"/>
        <w:kinsoku/>
        <w:wordWrap/>
        <w:overflowPunct/>
        <w:topLinePunct w:val="0"/>
        <w:autoSpaceDE/>
        <w:autoSpaceDN/>
        <w:bidi w:val="0"/>
        <w:adjustRightInd/>
        <w:snapToGrid/>
        <w:spacing w:line="500" w:lineRule="exact"/>
        <w:textAlignment w:val="auto"/>
        <w:outlineLvl w:val="0"/>
        <w:rPr>
          <w:rFonts w:asciiTheme="minorEastAsia" w:hAnsiTheme="minorEastAsia" w:eastAsiaTheme="minorEastAsia"/>
          <w:b w:val="0"/>
          <w:bCs/>
          <w:sz w:val="30"/>
          <w:szCs w:val="30"/>
        </w:rPr>
      </w:pPr>
      <w:r>
        <w:rPr>
          <w:rFonts w:hint="eastAsia" w:asciiTheme="minorEastAsia" w:hAnsiTheme="minorEastAsia"/>
          <w:b w:val="0"/>
          <w:bCs/>
          <w:sz w:val="30"/>
          <w:szCs w:val="30"/>
          <w:lang w:eastAsia="zh-CN"/>
        </w:rPr>
        <w:t>二、投标报价</w:t>
      </w:r>
      <w:r>
        <w:rPr>
          <w:rFonts w:asciiTheme="minorEastAsia" w:hAnsiTheme="minorEastAsia" w:eastAsiaTheme="minorEastAsia"/>
          <w:b w:val="0"/>
          <w:bCs/>
          <w:sz w:val="30"/>
          <w:szCs w:val="30"/>
        </w:rPr>
        <w:t>依据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20" w:firstLineChars="200"/>
        <w:textAlignment w:val="auto"/>
        <w:outlineLvl w:val="9"/>
        <w:rPr>
          <w:rFonts w:hint="eastAsia" w:asciiTheme="minorEastAsia" w:hAnsiTheme="minorEastAsia" w:eastAsiaTheme="minorEastAsia" w:cstheme="minorEastAsia"/>
          <w:sz w:val="26"/>
          <w:szCs w:val="26"/>
          <w:vertAlign w:val="baseline"/>
          <w:lang w:val="en-US" w:eastAsia="zh-CN"/>
        </w:rPr>
      </w:pPr>
      <w:r>
        <w:rPr>
          <w:rFonts w:hint="eastAsia" w:asciiTheme="minorEastAsia" w:hAnsiTheme="minorEastAsia" w:eastAsiaTheme="minorEastAsia" w:cstheme="minorEastAsia"/>
          <w:sz w:val="26"/>
          <w:szCs w:val="26"/>
          <w:vertAlign w:val="baseline"/>
          <w:lang w:val="en-US" w:eastAsia="zh-CN"/>
        </w:rPr>
        <w:t>1、GB50500-2013《建设工程工程量清单计价规范》、《辽宁省建设工程计价依据》（2017）及相应工程费用标准。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20" w:firstLineChars="200"/>
        <w:textAlignment w:val="auto"/>
        <w:outlineLvl w:val="9"/>
        <w:rPr>
          <w:rFonts w:hint="eastAsia" w:asciiTheme="minorEastAsia" w:hAnsiTheme="minorEastAsia" w:eastAsiaTheme="minorEastAsia" w:cstheme="minorEastAsia"/>
          <w:sz w:val="26"/>
          <w:szCs w:val="26"/>
          <w:vertAlign w:val="baseline"/>
          <w:lang w:val="en-US" w:eastAsia="zh-CN"/>
        </w:rPr>
      </w:pPr>
      <w:r>
        <w:rPr>
          <w:rFonts w:hint="eastAsia" w:asciiTheme="minorEastAsia" w:hAnsiTheme="minorEastAsia" w:cstheme="minorEastAsia"/>
          <w:sz w:val="26"/>
          <w:szCs w:val="26"/>
          <w:vertAlign w:val="baseline"/>
          <w:lang w:val="en-US" w:eastAsia="zh-CN"/>
        </w:rPr>
        <w:t>2、</w:t>
      </w:r>
      <w:r>
        <w:rPr>
          <w:rFonts w:hint="eastAsia" w:asciiTheme="minorEastAsia" w:hAnsiTheme="minorEastAsia" w:eastAsiaTheme="minorEastAsia" w:cstheme="minorEastAsia"/>
          <w:sz w:val="26"/>
          <w:szCs w:val="26"/>
          <w:vertAlign w:val="baseline"/>
          <w:lang w:val="en-US" w:eastAsia="zh-CN"/>
        </w:rPr>
        <w:t>税金执行辽宁省住房和城乡建设厅关于调整建设工程造价增值税税率的通知《辽住建建管（2019）9号》按9%计取。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20" w:firstLineChars="200"/>
        <w:textAlignment w:val="auto"/>
        <w:outlineLvl w:val="9"/>
        <w:rPr>
          <w:rFonts w:hint="eastAsia" w:asciiTheme="minorEastAsia" w:hAnsiTheme="minorEastAsia" w:eastAsiaTheme="minorEastAsia" w:cstheme="minorEastAsia"/>
          <w:sz w:val="26"/>
          <w:szCs w:val="26"/>
          <w:vertAlign w:val="baseline"/>
          <w:lang w:val="en-US" w:eastAsia="zh-CN"/>
        </w:rPr>
      </w:pPr>
      <w:r>
        <w:rPr>
          <w:rFonts w:hint="eastAsia" w:asciiTheme="minorEastAsia" w:hAnsiTheme="minorEastAsia" w:cstheme="minorEastAsia"/>
          <w:sz w:val="26"/>
          <w:szCs w:val="26"/>
          <w:vertAlign w:val="baseline"/>
          <w:lang w:val="en-US" w:eastAsia="zh-CN"/>
        </w:rPr>
        <w:t>3</w:t>
      </w:r>
      <w:r>
        <w:rPr>
          <w:rFonts w:hint="eastAsia" w:asciiTheme="minorEastAsia" w:hAnsiTheme="minorEastAsia" w:eastAsiaTheme="minorEastAsia" w:cstheme="minorEastAsia"/>
          <w:sz w:val="26"/>
          <w:szCs w:val="26"/>
          <w:vertAlign w:val="baseline"/>
          <w:lang w:val="en-US" w:eastAsia="zh-CN"/>
        </w:rPr>
        <w:t>、《</w:t>
      </w:r>
      <w:r>
        <w:rPr>
          <w:rFonts w:hint="eastAsia" w:asciiTheme="minorEastAsia" w:hAnsiTheme="minorEastAsia" w:cstheme="minorEastAsia"/>
          <w:sz w:val="26"/>
          <w:szCs w:val="26"/>
          <w:vertAlign w:val="baseline"/>
          <w:lang w:val="en-US" w:eastAsia="zh-CN"/>
        </w:rPr>
        <w:t>鞍山市人民公园改造工程</w:t>
      </w:r>
      <w:r>
        <w:rPr>
          <w:rFonts w:hint="eastAsia" w:asciiTheme="minorEastAsia" w:hAnsiTheme="minorEastAsia" w:eastAsiaTheme="minorEastAsia" w:cstheme="minorEastAsia"/>
          <w:sz w:val="26"/>
          <w:szCs w:val="26"/>
          <w:vertAlign w:val="baseline"/>
          <w:lang w:val="en-US" w:eastAsia="zh-CN"/>
        </w:rPr>
        <w:t>》施工图。</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20" w:firstLineChars="200"/>
        <w:textAlignment w:val="auto"/>
        <w:outlineLvl w:val="9"/>
        <w:rPr>
          <w:rFonts w:hint="eastAsia" w:asciiTheme="minorEastAsia" w:hAnsiTheme="minorEastAsia" w:eastAsiaTheme="minorEastAsia" w:cstheme="minorEastAsia"/>
          <w:sz w:val="26"/>
          <w:szCs w:val="26"/>
          <w:vertAlign w:val="baseline"/>
          <w:lang w:val="en-US" w:eastAsia="zh-CN"/>
        </w:rPr>
      </w:pPr>
      <w:r>
        <w:rPr>
          <w:rFonts w:hint="eastAsia" w:asciiTheme="minorEastAsia" w:hAnsiTheme="minorEastAsia" w:cstheme="minorEastAsia"/>
          <w:sz w:val="26"/>
          <w:szCs w:val="26"/>
          <w:vertAlign w:val="baseline"/>
          <w:lang w:val="en-US" w:eastAsia="zh-CN"/>
        </w:rPr>
        <w:t>4</w:t>
      </w:r>
      <w:r>
        <w:rPr>
          <w:rFonts w:hint="eastAsia" w:asciiTheme="minorEastAsia" w:hAnsiTheme="minorEastAsia" w:eastAsiaTheme="minorEastAsia" w:cstheme="minorEastAsia"/>
          <w:sz w:val="26"/>
          <w:szCs w:val="26"/>
          <w:vertAlign w:val="baseline"/>
          <w:lang w:val="en-US" w:eastAsia="zh-CN"/>
        </w:rPr>
        <w:t>、有关的施工规范与工程验收规范。</w:t>
      </w:r>
    </w:p>
    <w:p>
      <w:pPr>
        <w:keepNext w:val="0"/>
        <w:keepLines w:val="0"/>
        <w:pageBreakBefore w:val="0"/>
        <w:kinsoku/>
        <w:wordWrap/>
        <w:overflowPunct/>
        <w:topLinePunct w:val="0"/>
        <w:autoSpaceDE/>
        <w:autoSpaceDN/>
        <w:bidi w:val="0"/>
        <w:adjustRightInd/>
        <w:snapToGrid/>
        <w:spacing w:line="500" w:lineRule="exact"/>
        <w:textAlignment w:val="auto"/>
        <w:outlineLvl w:val="0"/>
        <w:rPr>
          <w:rFonts w:asciiTheme="minorEastAsia" w:hAnsiTheme="minorEastAsia" w:eastAsiaTheme="minorEastAsia"/>
          <w:b w:val="0"/>
          <w:bCs/>
          <w:sz w:val="30"/>
          <w:szCs w:val="30"/>
        </w:rPr>
      </w:pPr>
      <w:r>
        <w:rPr>
          <w:rFonts w:hint="eastAsia" w:asciiTheme="minorEastAsia" w:hAnsiTheme="minorEastAsia"/>
          <w:b w:val="0"/>
          <w:bCs/>
          <w:sz w:val="30"/>
          <w:szCs w:val="30"/>
          <w:lang w:eastAsia="zh-CN"/>
        </w:rPr>
        <w:t>三</w:t>
      </w:r>
      <w:r>
        <w:rPr>
          <w:rFonts w:hint="eastAsia" w:asciiTheme="minorEastAsia" w:hAnsiTheme="minorEastAsia" w:eastAsiaTheme="minorEastAsia"/>
          <w:b w:val="0"/>
          <w:bCs/>
          <w:sz w:val="30"/>
          <w:szCs w:val="30"/>
          <w:lang w:eastAsia="zh-CN"/>
        </w:rPr>
        <w:t>、</w:t>
      </w:r>
      <w:r>
        <w:rPr>
          <w:rFonts w:hint="eastAsia" w:asciiTheme="minorEastAsia" w:hAnsiTheme="minorEastAsia" w:eastAsiaTheme="minorEastAsia"/>
          <w:b w:val="0"/>
          <w:bCs/>
          <w:sz w:val="30"/>
          <w:szCs w:val="30"/>
        </w:rPr>
        <w:t>其他事项说明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outlineLvl w:val="9"/>
        <w:rPr>
          <w:rFonts w:hint="eastAsia" w:asciiTheme="minorEastAsia" w:hAnsiTheme="minorEastAsia" w:eastAsiaTheme="minorEastAsia" w:cstheme="minorEastAsia"/>
          <w:sz w:val="26"/>
          <w:szCs w:val="26"/>
          <w:vertAlign w:val="baseline"/>
          <w:lang w:val="en-US" w:eastAsia="zh-CN"/>
        </w:rPr>
      </w:pPr>
      <w:r>
        <w:rPr>
          <w:rFonts w:hint="eastAsia" w:asciiTheme="minorEastAsia" w:hAnsiTheme="minorEastAsia" w:cstheme="minorEastAsia"/>
          <w:sz w:val="26"/>
          <w:szCs w:val="26"/>
          <w:vertAlign w:val="baseline"/>
          <w:lang w:val="en-US" w:eastAsia="zh-CN"/>
        </w:rPr>
        <w:t>1</w:t>
      </w:r>
      <w:r>
        <w:rPr>
          <w:rFonts w:hint="eastAsia" w:asciiTheme="minorEastAsia" w:hAnsiTheme="minorEastAsia" w:eastAsiaTheme="minorEastAsia" w:cstheme="minorEastAsia"/>
          <w:sz w:val="26"/>
          <w:szCs w:val="26"/>
          <w:vertAlign w:val="baseline"/>
          <w:lang w:val="en-US" w:eastAsia="zh-CN"/>
        </w:rPr>
        <w:t>、本工程设有材料暂估价格，详见附表</w:t>
      </w:r>
      <w:r>
        <w:rPr>
          <w:rFonts w:hint="eastAsia" w:asciiTheme="minorEastAsia" w:hAnsiTheme="minorEastAsia" w:cstheme="minorEastAsia"/>
          <w:sz w:val="26"/>
          <w:szCs w:val="26"/>
          <w:vertAlign w:val="baseline"/>
          <w:lang w:val="en-US" w:eastAsia="zh-CN"/>
        </w:rPr>
        <w:t>。</w:t>
      </w:r>
    </w:p>
    <w:p>
      <w:pPr>
        <w:keepNext w:val="0"/>
        <w:keepLines w:val="0"/>
        <w:pageBreakBefore w:val="0"/>
        <w:kinsoku/>
        <w:wordWrap/>
        <w:overflowPunct/>
        <w:topLinePunct w:val="0"/>
        <w:autoSpaceDE/>
        <w:autoSpaceDN/>
        <w:bidi w:val="0"/>
        <w:adjustRightInd/>
        <w:snapToGrid/>
        <w:spacing w:line="500" w:lineRule="exact"/>
        <w:ind w:firstLine="2951" w:firstLineChars="1400"/>
        <w:textAlignment w:val="auto"/>
        <w:rPr>
          <w:b/>
          <w:bCs/>
        </w:rPr>
      </w:pPr>
      <w:r>
        <w:rPr>
          <w:rFonts w:hint="eastAsia"/>
          <w:b/>
          <w:bCs/>
        </w:rPr>
        <w:t xml:space="preserve">  </w:t>
      </w:r>
      <w:r>
        <w:rPr>
          <w:rFonts w:hint="eastAsia"/>
          <w:b/>
          <w:bCs/>
          <w:sz w:val="32"/>
          <w:szCs w:val="32"/>
        </w:rPr>
        <w:t>材料暂估价格表</w:t>
      </w:r>
    </w:p>
    <w:tbl>
      <w:tblPr>
        <w:tblStyle w:val="6"/>
        <w:tblW w:w="91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
        <w:gridCol w:w="3806"/>
        <w:gridCol w:w="814"/>
        <w:gridCol w:w="1436"/>
        <w:gridCol w:w="2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atLeast"/>
        </w:trPr>
        <w:tc>
          <w:tcPr>
            <w:tcW w:w="56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3806"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材料（工程设备）名称、规格、型号</w:t>
            </w:r>
          </w:p>
        </w:tc>
        <w:tc>
          <w:tcPr>
            <w:tcW w:w="814"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计量单位</w:t>
            </w:r>
          </w:p>
        </w:tc>
        <w:tc>
          <w:tcPr>
            <w:tcW w:w="1436"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暂估价格（元）</w:t>
            </w:r>
          </w:p>
        </w:tc>
        <w:tc>
          <w:tcPr>
            <w:tcW w:w="2517"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 w:hRule="atLeast"/>
        </w:trPr>
        <w:tc>
          <w:tcPr>
            <w:tcW w:w="56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3806" w:type="dxa"/>
            <w:vAlign w:val="center"/>
          </w:tcPr>
          <w:p>
            <w:pPr>
              <w:pStyle w:val="3"/>
              <w:keepNext w:val="0"/>
              <w:keepLines w:val="0"/>
              <w:pageBreakBefore w:val="0"/>
              <w:widowControl/>
              <w:kinsoku/>
              <w:wordWrap/>
              <w:overflowPunct/>
              <w:topLinePunct w:val="0"/>
              <w:autoSpaceDE/>
              <w:autoSpaceDN/>
              <w:bidi w:val="0"/>
              <w:adjustRightInd/>
              <w:snapToGrid/>
              <w:spacing w:beforeAutospacing="0" w:afterAutospacing="0" w:line="500" w:lineRule="exact"/>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LOGO入口标志</w:t>
            </w:r>
          </w:p>
        </w:tc>
        <w:tc>
          <w:tcPr>
            <w:tcW w:w="814"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cstheme="minorEastAsia"/>
                <w:sz w:val="21"/>
                <w:szCs w:val="21"/>
                <w:lang w:eastAsia="zh-CN"/>
              </w:rPr>
              <w:t>座</w:t>
            </w:r>
          </w:p>
        </w:tc>
        <w:tc>
          <w:tcPr>
            <w:tcW w:w="1436"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50000</w:t>
            </w:r>
          </w:p>
        </w:tc>
        <w:tc>
          <w:tcPr>
            <w:tcW w:w="2517"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不含增值税的材料价格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2" w:hRule="atLeast"/>
        </w:trPr>
        <w:tc>
          <w:tcPr>
            <w:tcW w:w="56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3806" w:type="dxa"/>
            <w:vAlign w:val="center"/>
          </w:tcPr>
          <w:p>
            <w:pPr>
              <w:pStyle w:val="3"/>
              <w:keepNext w:val="0"/>
              <w:keepLines w:val="0"/>
              <w:pageBreakBefore w:val="0"/>
              <w:widowControl/>
              <w:kinsoku/>
              <w:wordWrap/>
              <w:overflowPunct/>
              <w:topLinePunct w:val="0"/>
              <w:autoSpaceDE/>
              <w:autoSpaceDN/>
              <w:bidi w:val="0"/>
              <w:adjustRightInd/>
              <w:snapToGrid/>
              <w:spacing w:beforeAutospacing="0" w:afterAutospacing="0" w:line="500" w:lineRule="exact"/>
              <w:jc w:val="both"/>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cstheme="minorEastAsia"/>
                <w:sz w:val="21"/>
                <w:szCs w:val="21"/>
                <w:lang w:eastAsia="zh-CN"/>
              </w:rPr>
              <w:t>寓意浮雕景墙设计、材料与施工</w:t>
            </w:r>
          </w:p>
        </w:tc>
        <w:tc>
          <w:tcPr>
            <w:tcW w:w="814"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m</w:t>
            </w:r>
            <w:r>
              <w:rPr>
                <w:rFonts w:hint="eastAsia" w:asciiTheme="minorEastAsia" w:hAnsiTheme="minorEastAsia" w:cstheme="minorEastAsia"/>
                <w:sz w:val="21"/>
                <w:szCs w:val="21"/>
                <w:vertAlign w:val="superscript"/>
                <w:lang w:val="en-US" w:eastAsia="zh-CN"/>
              </w:rPr>
              <w:t>2</w:t>
            </w:r>
          </w:p>
        </w:tc>
        <w:tc>
          <w:tcPr>
            <w:tcW w:w="1436"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1800</w:t>
            </w:r>
          </w:p>
        </w:tc>
        <w:tc>
          <w:tcPr>
            <w:tcW w:w="2517"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Theme="minorEastAsia" w:hAnsiTheme="minorEastAsia" w:eastAsiaTheme="minorEastAsia" w:cstheme="minorEastAsia"/>
                <w:sz w:val="21"/>
                <w:szCs w:val="21"/>
              </w:rPr>
            </w:pPr>
            <w:bookmarkStart w:id="0" w:name="_GoBack"/>
            <w:bookmarkEnd w:id="0"/>
            <w:r>
              <w:rPr>
                <w:rFonts w:hint="eastAsia" w:asciiTheme="minorEastAsia" w:hAnsiTheme="minorEastAsia" w:eastAsiaTheme="minorEastAsia" w:cstheme="minorEastAsia"/>
                <w:sz w:val="21"/>
                <w:szCs w:val="21"/>
              </w:rPr>
              <w:t>不含增值税价格</w:t>
            </w:r>
          </w:p>
        </w:tc>
      </w:tr>
    </w:tbl>
    <w:p>
      <w:pPr>
        <w:keepNext w:val="0"/>
        <w:keepLines w:val="0"/>
        <w:pageBreakBefore w:val="0"/>
        <w:numPr>
          <w:ilvl w:val="0"/>
          <w:numId w:val="0"/>
        </w:numPr>
        <w:kinsoku/>
        <w:wordWrap/>
        <w:overflowPunct/>
        <w:topLinePunct w:val="0"/>
        <w:autoSpaceDE/>
        <w:autoSpaceDN/>
        <w:bidi w:val="0"/>
        <w:adjustRightInd/>
        <w:snapToGrid/>
        <w:spacing w:line="500" w:lineRule="exact"/>
        <w:ind w:leftChars="0"/>
        <w:textAlignment w:val="auto"/>
        <w:rPr>
          <w:rFonts w:hint="eastAsia"/>
          <w:vertAlign w:val="baseli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9CB604"/>
    <w:multiLevelType w:val="singleLevel"/>
    <w:tmpl w:val="749CB60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99446C"/>
    <w:rsid w:val="14831285"/>
    <w:rsid w:val="1699446C"/>
    <w:rsid w:val="1E6A7F9B"/>
    <w:rsid w:val="35A421B7"/>
    <w:rsid w:val="39901E78"/>
    <w:rsid w:val="39F54B3E"/>
    <w:rsid w:val="5A08775E"/>
    <w:rsid w:val="641F5326"/>
    <w:rsid w:val="669402ED"/>
    <w:rsid w:val="6D840925"/>
    <w:rsid w:val="70AD244F"/>
    <w:rsid w:val="71023992"/>
    <w:rsid w:val="72A35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header"/>
    <w:basedOn w:val="1"/>
    <w:qFormat/>
    <w:uiPriority w:val="0"/>
    <w:pPr>
      <w:tabs>
        <w:tab w:val="center" w:pos="4153"/>
        <w:tab w:val="right" w:pos="8306"/>
      </w:tabs>
      <w:jc w:val="center"/>
    </w:pPr>
    <w:rPr>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List Paragraph"/>
    <w:qFormat/>
    <w:uiPriority w:val="34"/>
    <w:pPr>
      <w:ind w:left="850"/>
      <w:jc w:val="both"/>
    </w:pPr>
    <w:rPr>
      <w:rFonts w:ascii="Times New Roman" w:hAnsi="Times New Roman"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2019-12-17T01:06:00Z</dcterms:created>
  <dc:creator>Administrator</dc:creator>
  <cp:lastModifiedBy>Administrator</cp:lastModifiedBy>
  <cp:lastPrinted>2020-03-19T05:44:00Z</cp:lastPrinted>
  <dcterms:modified xsi:type="dcterms:W3CDTF">2020-04-02T07:04:37Z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