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b/>
          <w:bCs/>
          <w:color w:val="auto"/>
          <w:spacing w:val="20"/>
          <w:sz w:val="52"/>
          <w:szCs w:val="52"/>
        </w:rPr>
      </w:pPr>
    </w:p>
    <w:p>
      <w:pPr>
        <w:spacing w:line="360" w:lineRule="auto"/>
        <w:jc w:val="center"/>
        <w:rPr>
          <w:rFonts w:ascii="仿宋" w:hAnsi="仿宋"/>
          <w:b/>
          <w:bCs/>
          <w:color w:val="auto"/>
          <w:spacing w:val="20"/>
          <w:sz w:val="52"/>
          <w:szCs w:val="52"/>
        </w:rPr>
      </w:pPr>
    </w:p>
    <w:p>
      <w:pPr>
        <w:spacing w:line="360" w:lineRule="auto"/>
        <w:jc w:val="center"/>
        <w:rPr>
          <w:rFonts w:ascii="仿宋" w:hAnsi="仿宋"/>
          <w:b/>
          <w:bCs/>
          <w:color w:val="auto"/>
          <w:spacing w:val="20"/>
          <w:sz w:val="52"/>
          <w:szCs w:val="52"/>
        </w:rPr>
      </w:pPr>
    </w:p>
    <w:p>
      <w:pPr>
        <w:spacing w:line="360" w:lineRule="auto"/>
        <w:jc w:val="center"/>
        <w:rPr>
          <w:rFonts w:ascii="仿宋" w:hAnsi="仿宋"/>
          <w:b/>
          <w:bCs/>
          <w:color w:val="auto"/>
          <w:spacing w:val="20"/>
          <w:sz w:val="44"/>
          <w:szCs w:val="44"/>
        </w:rPr>
      </w:pPr>
      <w:r>
        <w:rPr>
          <w:rFonts w:hint="eastAsia" w:ascii="仿宋" w:hAnsi="仿宋"/>
          <w:color w:val="auto"/>
          <w:sz w:val="30"/>
          <w:szCs w:val="30"/>
        </w:rPr>
        <w:t>“</w:t>
      </w:r>
      <w:r>
        <w:rPr>
          <w:rFonts w:hint="eastAsia" w:ascii="仿宋" w:hAnsi="仿宋"/>
          <w:b/>
          <w:bCs/>
          <w:color w:val="auto"/>
          <w:spacing w:val="20"/>
          <w:sz w:val="44"/>
          <w:szCs w:val="44"/>
        </w:rPr>
        <w:t>鞍山市会展中心、会展宾馆</w:t>
      </w:r>
      <w:r>
        <w:rPr>
          <w:rFonts w:hint="eastAsia" w:ascii="仿宋" w:hAnsi="仿宋"/>
          <w:color w:val="auto"/>
          <w:sz w:val="30"/>
          <w:szCs w:val="30"/>
        </w:rPr>
        <w:t>”</w:t>
      </w:r>
      <w:r>
        <w:rPr>
          <w:rFonts w:hint="eastAsia" w:ascii="仿宋" w:hAnsi="仿宋"/>
          <w:b/>
          <w:bCs/>
          <w:color w:val="auto"/>
          <w:spacing w:val="20"/>
          <w:sz w:val="44"/>
          <w:szCs w:val="44"/>
        </w:rPr>
        <w:t xml:space="preserve"> 项目</w:t>
      </w: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32"/>
          <w:szCs w:val="32"/>
        </w:rPr>
      </w:pPr>
      <w:r>
        <w:rPr>
          <w:rFonts w:hint="eastAsia" w:ascii="仿宋" w:hAnsi="仿宋"/>
          <w:b/>
          <w:bCs/>
          <w:color w:val="auto"/>
          <w:spacing w:val="20"/>
          <w:sz w:val="44"/>
          <w:szCs w:val="44"/>
        </w:rPr>
        <w:t>招 商 文 件</w:t>
      </w:r>
    </w:p>
    <w:p>
      <w:pPr>
        <w:adjustRightInd w:val="0"/>
        <w:snapToGrid w:val="0"/>
        <w:spacing w:line="360" w:lineRule="auto"/>
        <w:jc w:val="left"/>
        <w:rPr>
          <w:rFonts w:ascii="仿宋" w:hAnsi="仿宋"/>
          <w:b/>
          <w:bCs/>
          <w:color w:val="auto"/>
          <w:sz w:val="32"/>
          <w:szCs w:val="32"/>
        </w:rPr>
      </w:pPr>
    </w:p>
    <w:p>
      <w:pPr>
        <w:spacing w:line="360" w:lineRule="auto"/>
        <w:rPr>
          <w:rFonts w:ascii="仿宋" w:hAnsi="仿宋"/>
          <w:b/>
          <w:bCs/>
          <w:color w:val="auto"/>
          <w:sz w:val="32"/>
          <w:szCs w:val="32"/>
        </w:rPr>
      </w:pPr>
    </w:p>
    <w:p>
      <w:pPr>
        <w:spacing w:line="360" w:lineRule="auto"/>
        <w:rPr>
          <w:rFonts w:ascii="仿宋" w:hAnsi="仿宋"/>
          <w:b/>
          <w:bCs/>
          <w:color w:val="auto"/>
          <w:sz w:val="32"/>
          <w:szCs w:val="32"/>
        </w:rPr>
      </w:pPr>
    </w:p>
    <w:p>
      <w:pPr>
        <w:spacing w:line="360" w:lineRule="auto"/>
        <w:rPr>
          <w:rFonts w:ascii="仿宋" w:hAnsi="仿宋"/>
          <w:b/>
          <w:bCs/>
          <w:color w:val="auto"/>
          <w:sz w:val="32"/>
          <w:szCs w:val="32"/>
        </w:rPr>
      </w:pPr>
    </w:p>
    <w:p>
      <w:pPr>
        <w:spacing w:line="360" w:lineRule="auto"/>
        <w:rPr>
          <w:rFonts w:ascii="仿宋" w:hAnsi="仿宋"/>
          <w:b/>
          <w:bCs/>
          <w:color w:val="auto"/>
          <w:sz w:val="32"/>
          <w:szCs w:val="32"/>
        </w:rPr>
      </w:pPr>
    </w:p>
    <w:p>
      <w:pPr>
        <w:spacing w:line="360" w:lineRule="auto"/>
        <w:rPr>
          <w:rFonts w:ascii="仿宋" w:hAnsi="仿宋"/>
          <w:b/>
          <w:bCs/>
          <w:color w:val="auto"/>
          <w:sz w:val="32"/>
          <w:szCs w:val="32"/>
        </w:rPr>
      </w:pPr>
    </w:p>
    <w:p>
      <w:pPr>
        <w:adjustRightInd w:val="0"/>
        <w:snapToGrid w:val="0"/>
        <w:spacing w:line="360" w:lineRule="auto"/>
        <w:rPr>
          <w:rFonts w:ascii="仿宋" w:hAnsi="仿宋"/>
          <w:b/>
          <w:bCs/>
          <w:color w:val="auto"/>
          <w:sz w:val="32"/>
          <w:szCs w:val="32"/>
        </w:rPr>
      </w:pPr>
    </w:p>
    <w:p>
      <w:pPr>
        <w:adjustRightInd w:val="0"/>
        <w:snapToGrid w:val="0"/>
        <w:spacing w:line="360" w:lineRule="auto"/>
        <w:rPr>
          <w:rFonts w:ascii="仿宋" w:hAnsi="仿宋"/>
          <w:b/>
          <w:bCs/>
          <w:color w:val="auto"/>
          <w:sz w:val="32"/>
          <w:szCs w:val="32"/>
        </w:rPr>
      </w:pPr>
      <w:r>
        <w:rPr>
          <w:rFonts w:hint="eastAsia" w:ascii="仿宋" w:hAnsi="仿宋"/>
          <w:b/>
          <w:bCs/>
          <w:color w:val="auto"/>
          <w:sz w:val="32"/>
          <w:szCs w:val="32"/>
        </w:rPr>
        <w:t xml:space="preserve">     招商单位：鞍山市城市建设投资发展有限公司</w:t>
      </w:r>
    </w:p>
    <w:p>
      <w:pPr>
        <w:adjustRightInd w:val="0"/>
        <w:snapToGrid w:val="0"/>
        <w:spacing w:line="360" w:lineRule="auto"/>
        <w:rPr>
          <w:rFonts w:ascii="仿宋" w:hAnsi="仿宋"/>
          <w:b/>
          <w:bCs/>
          <w:color w:val="auto"/>
          <w:sz w:val="32"/>
          <w:szCs w:val="32"/>
        </w:rPr>
      </w:pPr>
    </w:p>
    <w:p>
      <w:pPr>
        <w:adjustRightInd w:val="0"/>
        <w:snapToGrid w:val="0"/>
        <w:spacing w:line="360" w:lineRule="auto"/>
        <w:rPr>
          <w:rFonts w:ascii="仿宋" w:hAnsi="仿宋"/>
          <w:b/>
          <w:bCs/>
          <w:color w:val="auto"/>
          <w:sz w:val="32"/>
          <w:szCs w:val="32"/>
        </w:rPr>
      </w:pPr>
      <w:r>
        <w:rPr>
          <w:rFonts w:hint="eastAsia" w:ascii="仿宋" w:hAnsi="仿宋"/>
          <w:b/>
          <w:bCs/>
          <w:color w:val="auto"/>
          <w:sz w:val="32"/>
          <w:szCs w:val="32"/>
        </w:rPr>
        <w:t xml:space="preserve">     招商代理单位：辽宁方信工程咨询有限公司</w:t>
      </w:r>
    </w:p>
    <w:p>
      <w:pPr>
        <w:adjustRightInd w:val="0"/>
        <w:snapToGrid w:val="0"/>
        <w:spacing w:line="360" w:lineRule="auto"/>
        <w:jc w:val="left"/>
        <w:rPr>
          <w:rFonts w:ascii="仿宋" w:hAnsi="仿宋"/>
          <w:b/>
          <w:bCs/>
          <w:color w:val="auto"/>
          <w:sz w:val="32"/>
          <w:szCs w:val="32"/>
        </w:rPr>
      </w:pPr>
    </w:p>
    <w:p>
      <w:pPr>
        <w:adjustRightInd w:val="0"/>
        <w:snapToGrid w:val="0"/>
        <w:spacing w:line="360" w:lineRule="auto"/>
        <w:jc w:val="left"/>
        <w:rPr>
          <w:rFonts w:ascii="仿宋" w:hAnsi="仿宋"/>
          <w:b/>
          <w:bCs/>
          <w:color w:val="auto"/>
          <w:sz w:val="32"/>
          <w:szCs w:val="32"/>
        </w:rPr>
      </w:pPr>
    </w:p>
    <w:p>
      <w:pPr>
        <w:spacing w:line="360" w:lineRule="auto"/>
        <w:jc w:val="center"/>
        <w:rPr>
          <w:rFonts w:ascii="仿宋" w:hAnsi="仿宋"/>
          <w:b/>
          <w:bCs/>
          <w:color w:val="auto"/>
          <w:sz w:val="32"/>
          <w:szCs w:val="32"/>
        </w:rPr>
      </w:pPr>
      <w:r>
        <w:rPr>
          <w:rFonts w:hint="eastAsia" w:ascii="仿宋" w:hAnsi="仿宋"/>
          <w:b/>
          <w:bCs/>
          <w:color w:val="auto"/>
          <w:sz w:val="32"/>
          <w:szCs w:val="32"/>
        </w:rPr>
        <w:t>二〇二〇年七月</w:t>
      </w:r>
    </w:p>
    <w:p>
      <w:pPr>
        <w:spacing w:line="360" w:lineRule="auto"/>
        <w:jc w:val="center"/>
        <w:rPr>
          <w:rFonts w:ascii="仿宋" w:hAnsi="仿宋"/>
          <w:color w:val="auto"/>
          <w:sz w:val="24"/>
        </w:rPr>
      </w:pPr>
    </w:p>
    <w:p>
      <w:pPr>
        <w:spacing w:line="360" w:lineRule="auto"/>
        <w:rPr>
          <w:rFonts w:ascii="仿宋" w:hAnsi="仿宋"/>
          <w:color w:val="auto"/>
          <w:sz w:val="24"/>
        </w:rPr>
      </w:pPr>
    </w:p>
    <w:p>
      <w:pPr>
        <w:spacing w:line="360" w:lineRule="auto"/>
        <w:jc w:val="center"/>
        <w:rPr>
          <w:rFonts w:ascii="仿宋" w:hAnsi="仿宋"/>
          <w:b/>
          <w:bCs/>
          <w:color w:val="auto"/>
          <w:sz w:val="36"/>
          <w:szCs w:val="36"/>
        </w:rPr>
      </w:pPr>
      <w:r>
        <w:rPr>
          <w:rFonts w:hint="eastAsia" w:ascii="仿宋" w:hAnsi="仿宋"/>
          <w:b/>
          <w:bCs/>
          <w:color w:val="auto"/>
          <w:sz w:val="36"/>
          <w:szCs w:val="36"/>
        </w:rPr>
        <w:t>目  录</w:t>
      </w:r>
    </w:p>
    <w:p>
      <w:pPr>
        <w:spacing w:line="360" w:lineRule="auto"/>
        <w:jc w:val="center"/>
        <w:rPr>
          <w:rFonts w:ascii="仿宋" w:hAnsi="仿宋"/>
          <w:b/>
          <w:bCs/>
          <w:color w:val="auto"/>
          <w:sz w:val="24"/>
        </w:rPr>
      </w:pPr>
    </w:p>
    <w:p>
      <w:pPr>
        <w:pStyle w:val="23"/>
        <w:tabs>
          <w:tab w:val="right" w:leader="dot" w:pos="9070"/>
        </w:tabs>
      </w:pPr>
      <w:r>
        <w:rPr>
          <w:rFonts w:ascii="仿宋" w:hAnsi="仿宋"/>
          <w:caps w:val="0"/>
          <w:color w:val="auto"/>
          <w:spacing w:val="56"/>
          <w:szCs w:val="30"/>
        </w:rPr>
        <w:fldChar w:fldCharType="begin"/>
      </w:r>
      <w:r>
        <w:rPr>
          <w:rFonts w:hint="eastAsia" w:ascii="仿宋" w:hAnsi="仿宋"/>
          <w:caps w:val="0"/>
          <w:color w:val="auto"/>
          <w:spacing w:val="56"/>
          <w:szCs w:val="30"/>
        </w:rPr>
        <w:instrText xml:space="preserve">TOC \o "1-3" \h \z \u</w:instrText>
      </w:r>
      <w:r>
        <w:rPr>
          <w:rFonts w:ascii="仿宋" w:hAnsi="仿宋"/>
          <w:caps w:val="0"/>
          <w:color w:val="auto"/>
          <w:spacing w:val="56"/>
          <w:szCs w:val="30"/>
        </w:rPr>
        <w:fldChar w:fldCharType="separate"/>
      </w:r>
      <w:r>
        <w:rPr>
          <w:rFonts w:ascii="仿宋" w:hAnsi="仿宋"/>
          <w:caps w:val="0"/>
          <w:color w:val="auto"/>
          <w:spacing w:val="56"/>
          <w:szCs w:val="30"/>
        </w:rPr>
        <w:fldChar w:fldCharType="begin"/>
      </w:r>
      <w:r>
        <w:rPr>
          <w:rFonts w:ascii="仿宋" w:hAnsi="仿宋"/>
          <w:caps w:val="0"/>
          <w:spacing w:val="56"/>
          <w:szCs w:val="30"/>
        </w:rPr>
        <w:instrText xml:space="preserve"> HYPERLINK \l _Toc13126 </w:instrText>
      </w:r>
      <w:r>
        <w:rPr>
          <w:rFonts w:ascii="仿宋" w:hAnsi="仿宋"/>
          <w:caps w:val="0"/>
          <w:spacing w:val="56"/>
          <w:szCs w:val="30"/>
        </w:rPr>
        <w:fldChar w:fldCharType="separate"/>
      </w:r>
      <w:r>
        <w:rPr>
          <w:rFonts w:hint="eastAsia"/>
        </w:rPr>
        <w:t>“鞍山市会展中心、会展宾馆”项目招商公告</w:t>
      </w:r>
      <w:r>
        <w:tab/>
      </w:r>
      <w:r>
        <w:fldChar w:fldCharType="begin"/>
      </w:r>
      <w:r>
        <w:instrText xml:space="preserve"> PAGEREF _Toc13126 </w:instrText>
      </w:r>
      <w:r>
        <w:fldChar w:fldCharType="separate"/>
      </w:r>
      <w:r>
        <w:t>3</w:t>
      </w:r>
      <w:r>
        <w:fldChar w:fldCharType="end"/>
      </w:r>
      <w:r>
        <w:rPr>
          <w:rFonts w:ascii="仿宋" w:hAnsi="仿宋"/>
          <w:caps w:val="0"/>
          <w:color w:val="auto"/>
          <w:spacing w:val="56"/>
          <w:szCs w:val="30"/>
        </w:rPr>
        <w:fldChar w:fldCharType="end"/>
      </w:r>
    </w:p>
    <w:p>
      <w:pPr>
        <w:pStyle w:val="23"/>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_Toc24223 </w:instrText>
      </w:r>
      <w:r>
        <w:rPr>
          <w:rFonts w:ascii="仿宋" w:hAnsi="仿宋"/>
          <w:caps/>
          <w:spacing w:val="56"/>
          <w:szCs w:val="30"/>
        </w:rPr>
        <w:fldChar w:fldCharType="separate"/>
      </w:r>
      <w:r>
        <w:rPr>
          <w:rFonts w:hint="eastAsia"/>
        </w:rPr>
        <w:t>投标须知及投标须知前附表</w:t>
      </w:r>
      <w:r>
        <w:tab/>
      </w:r>
      <w:r>
        <w:fldChar w:fldCharType="begin"/>
      </w:r>
      <w:r>
        <w:instrText xml:space="preserve"> PAGEREF _Toc24223 </w:instrText>
      </w:r>
      <w:r>
        <w:fldChar w:fldCharType="separate"/>
      </w:r>
      <w:r>
        <w:t>10</w:t>
      </w:r>
      <w:r>
        <w:fldChar w:fldCharType="end"/>
      </w:r>
      <w:r>
        <w:rPr>
          <w:rFonts w:ascii="仿宋" w:hAnsi="仿宋"/>
          <w:caps/>
          <w:color w:val="auto"/>
          <w:spacing w:val="56"/>
          <w:szCs w:val="30"/>
        </w:rPr>
        <w:fldChar w:fldCharType="end"/>
      </w:r>
    </w:p>
    <w:p>
      <w:pPr>
        <w:pStyle w:val="27"/>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_Toc6859 </w:instrText>
      </w:r>
      <w:r>
        <w:rPr>
          <w:rFonts w:ascii="仿宋" w:hAnsi="仿宋"/>
          <w:caps/>
          <w:spacing w:val="56"/>
          <w:szCs w:val="30"/>
        </w:rPr>
        <w:fldChar w:fldCharType="separate"/>
      </w:r>
      <w:r>
        <w:rPr>
          <w:rFonts w:hint="eastAsia"/>
        </w:rPr>
        <w:t>一、投标须知前附表</w:t>
      </w:r>
      <w:r>
        <w:tab/>
      </w:r>
      <w:r>
        <w:fldChar w:fldCharType="begin"/>
      </w:r>
      <w:r>
        <w:instrText xml:space="preserve"> PAGEREF _Toc6859 </w:instrText>
      </w:r>
      <w:r>
        <w:fldChar w:fldCharType="separate"/>
      </w:r>
      <w:r>
        <w:t>10</w:t>
      </w:r>
      <w:r>
        <w:fldChar w:fldCharType="end"/>
      </w:r>
      <w:r>
        <w:rPr>
          <w:rFonts w:ascii="仿宋" w:hAnsi="仿宋"/>
          <w:caps/>
          <w:color w:val="auto"/>
          <w:spacing w:val="56"/>
          <w:szCs w:val="30"/>
        </w:rPr>
        <w:fldChar w:fldCharType="end"/>
      </w:r>
    </w:p>
    <w:p>
      <w:pPr>
        <w:pStyle w:val="27"/>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_Toc21011 </w:instrText>
      </w:r>
      <w:r>
        <w:rPr>
          <w:rFonts w:ascii="仿宋" w:hAnsi="仿宋"/>
          <w:caps/>
          <w:spacing w:val="56"/>
          <w:szCs w:val="30"/>
        </w:rPr>
        <w:fldChar w:fldCharType="separate"/>
      </w:r>
      <w:r>
        <w:rPr>
          <w:rFonts w:hint="eastAsia"/>
        </w:rPr>
        <w:t>二、评分办法</w:t>
      </w:r>
      <w:r>
        <w:tab/>
      </w:r>
      <w:r>
        <w:fldChar w:fldCharType="begin"/>
      </w:r>
      <w:r>
        <w:instrText xml:space="preserve"> PAGEREF _Toc21011 </w:instrText>
      </w:r>
      <w:r>
        <w:fldChar w:fldCharType="separate"/>
      </w:r>
      <w:r>
        <w:t>13</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_Toc13704 </w:instrText>
      </w:r>
      <w:r>
        <w:rPr>
          <w:rFonts w:ascii="仿宋" w:hAnsi="仿宋"/>
          <w:caps/>
          <w:spacing w:val="56"/>
          <w:szCs w:val="30"/>
        </w:rPr>
        <w:fldChar w:fldCharType="separate"/>
      </w:r>
      <w:r>
        <w:rPr>
          <w:rFonts w:hint="eastAsia"/>
        </w:rPr>
        <w:t>1、评分方法</w:t>
      </w:r>
      <w:r>
        <w:tab/>
      </w:r>
      <w:r>
        <w:fldChar w:fldCharType="begin"/>
      </w:r>
      <w:r>
        <w:instrText xml:space="preserve"> PAGEREF _Toc13704 </w:instrText>
      </w:r>
      <w:r>
        <w:fldChar w:fldCharType="separate"/>
      </w:r>
      <w:r>
        <w:t>13</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_Toc18735 </w:instrText>
      </w:r>
      <w:r>
        <w:rPr>
          <w:rFonts w:ascii="仿宋" w:hAnsi="仿宋"/>
          <w:caps/>
          <w:spacing w:val="56"/>
          <w:szCs w:val="30"/>
        </w:rPr>
        <w:fldChar w:fldCharType="separate"/>
      </w:r>
      <w:r>
        <w:rPr>
          <w:rFonts w:hint="eastAsia"/>
        </w:rPr>
        <w:t>2、分值构成与评分标准</w:t>
      </w:r>
      <w:r>
        <w:tab/>
      </w:r>
      <w:r>
        <w:fldChar w:fldCharType="begin"/>
      </w:r>
      <w:r>
        <w:instrText xml:space="preserve"> PAGEREF _Toc18735 </w:instrText>
      </w:r>
      <w:r>
        <w:fldChar w:fldCharType="separate"/>
      </w:r>
      <w:r>
        <w:t>13</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_Toc1622 </w:instrText>
      </w:r>
      <w:r>
        <w:rPr>
          <w:rFonts w:ascii="仿宋" w:hAnsi="仿宋"/>
          <w:caps/>
          <w:spacing w:val="56"/>
          <w:szCs w:val="30"/>
        </w:rPr>
        <w:fldChar w:fldCharType="separate"/>
      </w:r>
      <w:r>
        <w:rPr>
          <w:rFonts w:hint="eastAsia"/>
        </w:rPr>
        <w:t>3、资格条件审查</w:t>
      </w:r>
      <w:r>
        <w:tab/>
      </w:r>
      <w:r>
        <w:fldChar w:fldCharType="begin"/>
      </w:r>
      <w:r>
        <w:instrText xml:space="preserve"> PAGEREF _Toc1622 </w:instrText>
      </w:r>
      <w:r>
        <w:fldChar w:fldCharType="separate"/>
      </w:r>
      <w:r>
        <w:t>15</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_Toc4093 </w:instrText>
      </w:r>
      <w:r>
        <w:rPr>
          <w:rFonts w:ascii="仿宋" w:hAnsi="仿宋"/>
          <w:caps/>
          <w:spacing w:val="56"/>
          <w:szCs w:val="30"/>
        </w:rPr>
        <w:fldChar w:fldCharType="separate"/>
      </w:r>
      <w:r>
        <w:rPr>
          <w:rFonts w:hint="eastAsia"/>
          <w:lang w:val="en-US" w:eastAsia="zh-CN"/>
        </w:rPr>
        <w:t>4</w:t>
      </w:r>
      <w:r>
        <w:rPr>
          <w:rFonts w:hint="eastAsia"/>
        </w:rPr>
        <w:t>、答辩程序</w:t>
      </w:r>
      <w:r>
        <w:tab/>
      </w:r>
      <w:r>
        <w:fldChar w:fldCharType="begin"/>
      </w:r>
      <w:r>
        <w:instrText xml:space="preserve"> PAGEREF _Toc4093 </w:instrText>
      </w:r>
      <w:r>
        <w:fldChar w:fldCharType="separate"/>
      </w:r>
      <w:r>
        <w:t>15</w:t>
      </w:r>
      <w:r>
        <w:fldChar w:fldCharType="end"/>
      </w:r>
      <w:r>
        <w:rPr>
          <w:rFonts w:ascii="仿宋" w:hAnsi="仿宋"/>
          <w:caps/>
          <w:color w:val="auto"/>
          <w:spacing w:val="56"/>
          <w:szCs w:val="30"/>
        </w:rPr>
        <w:fldChar w:fldCharType="end"/>
      </w:r>
    </w:p>
    <w:p>
      <w:pPr>
        <w:pStyle w:val="27"/>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_Toc29537 </w:instrText>
      </w:r>
      <w:r>
        <w:rPr>
          <w:rFonts w:ascii="仿宋" w:hAnsi="仿宋"/>
          <w:caps/>
          <w:spacing w:val="56"/>
          <w:szCs w:val="30"/>
        </w:rPr>
        <w:fldChar w:fldCharType="separate"/>
      </w:r>
      <w:r>
        <w:rPr>
          <w:rFonts w:hint="eastAsia"/>
        </w:rPr>
        <w:t>三、招商文件格式</w:t>
      </w:r>
      <w:r>
        <w:tab/>
      </w:r>
      <w:r>
        <w:fldChar w:fldCharType="begin"/>
      </w:r>
      <w:r>
        <w:instrText xml:space="preserve"> PAGEREF _Toc29537 </w:instrText>
      </w:r>
      <w:r>
        <w:fldChar w:fldCharType="separate"/>
      </w:r>
      <w:r>
        <w:t>18</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_Toc15644 </w:instrText>
      </w:r>
      <w:r>
        <w:rPr>
          <w:rFonts w:ascii="仿宋" w:hAnsi="仿宋"/>
          <w:caps/>
          <w:spacing w:val="56"/>
          <w:szCs w:val="30"/>
        </w:rPr>
        <w:fldChar w:fldCharType="separate"/>
      </w:r>
      <w:r>
        <w:rPr>
          <w:rFonts w:hint="eastAsia"/>
        </w:rPr>
        <w:t>1、投资合作伙伴致函</w:t>
      </w:r>
      <w:r>
        <w:tab/>
      </w:r>
      <w:r>
        <w:fldChar w:fldCharType="begin"/>
      </w:r>
      <w:r>
        <w:instrText xml:space="preserve"> PAGEREF _Toc15644 </w:instrText>
      </w:r>
      <w:r>
        <w:fldChar w:fldCharType="separate"/>
      </w:r>
      <w:r>
        <w:t>18</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_Toc25959 </w:instrText>
      </w:r>
      <w:r>
        <w:rPr>
          <w:rFonts w:ascii="仿宋" w:hAnsi="仿宋"/>
          <w:caps/>
          <w:spacing w:val="56"/>
          <w:szCs w:val="30"/>
        </w:rPr>
        <w:fldChar w:fldCharType="separate"/>
      </w:r>
      <w:r>
        <w:rPr>
          <w:rFonts w:hint="eastAsia"/>
        </w:rPr>
        <w:t>2、授权委托书</w:t>
      </w:r>
      <w:r>
        <w:tab/>
      </w:r>
      <w:r>
        <w:fldChar w:fldCharType="begin"/>
      </w:r>
      <w:r>
        <w:instrText xml:space="preserve"> PAGEREF _Toc25959 </w:instrText>
      </w:r>
      <w:r>
        <w:fldChar w:fldCharType="separate"/>
      </w:r>
      <w:r>
        <w:t>19</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_Toc30849 </w:instrText>
      </w:r>
      <w:r>
        <w:rPr>
          <w:rFonts w:ascii="仿宋" w:hAnsi="仿宋"/>
          <w:caps/>
          <w:spacing w:val="56"/>
          <w:szCs w:val="30"/>
        </w:rPr>
        <w:fldChar w:fldCharType="separate"/>
      </w:r>
      <w:r>
        <w:rPr>
          <w:rFonts w:hint="eastAsia"/>
        </w:rPr>
        <w:t>3、商 务 部 分</w:t>
      </w:r>
      <w:r>
        <w:tab/>
      </w:r>
      <w:r>
        <w:fldChar w:fldCharType="begin"/>
      </w:r>
      <w:r>
        <w:instrText xml:space="preserve"> PAGEREF _Toc30849 </w:instrText>
      </w:r>
      <w:r>
        <w:fldChar w:fldCharType="separate"/>
      </w:r>
      <w:r>
        <w:t>20</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_Toc1523 </w:instrText>
      </w:r>
      <w:r>
        <w:rPr>
          <w:rFonts w:ascii="仿宋" w:hAnsi="仿宋"/>
          <w:caps/>
          <w:spacing w:val="56"/>
          <w:szCs w:val="30"/>
        </w:rPr>
        <w:fldChar w:fldCharType="separate"/>
      </w:r>
      <w:r>
        <w:rPr>
          <w:rFonts w:hint="eastAsia"/>
        </w:rPr>
        <w:t>4、技 术 部 分</w:t>
      </w:r>
      <w:r>
        <w:tab/>
      </w:r>
      <w:r>
        <w:fldChar w:fldCharType="begin"/>
      </w:r>
      <w:r>
        <w:instrText xml:space="preserve"> PAGEREF _Toc1523 </w:instrText>
      </w:r>
      <w:r>
        <w:fldChar w:fldCharType="separate"/>
      </w:r>
      <w:r>
        <w:t>20</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_Toc2384 </w:instrText>
      </w:r>
      <w:r>
        <w:rPr>
          <w:rFonts w:ascii="仿宋" w:hAnsi="仿宋"/>
          <w:caps/>
          <w:spacing w:val="56"/>
          <w:szCs w:val="30"/>
        </w:rPr>
        <w:fldChar w:fldCharType="separate"/>
      </w:r>
      <w:r>
        <w:rPr>
          <w:rFonts w:hint="eastAsia"/>
        </w:rPr>
        <w:t>5、投资响应表</w:t>
      </w:r>
      <w:r>
        <w:tab/>
      </w:r>
      <w:r>
        <w:fldChar w:fldCharType="begin"/>
      </w:r>
      <w:r>
        <w:instrText xml:space="preserve"> PAGEREF _Toc2384 </w:instrText>
      </w:r>
      <w:r>
        <w:fldChar w:fldCharType="separate"/>
      </w:r>
      <w:r>
        <w:t>21</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_Toc15442 </w:instrText>
      </w:r>
      <w:r>
        <w:rPr>
          <w:rFonts w:ascii="仿宋" w:hAnsi="仿宋"/>
          <w:caps/>
          <w:spacing w:val="56"/>
          <w:szCs w:val="30"/>
        </w:rPr>
        <w:fldChar w:fldCharType="separate"/>
      </w:r>
      <w:r>
        <w:rPr>
          <w:rFonts w:hint="eastAsia"/>
          <w:szCs w:val="30"/>
        </w:rPr>
        <w:t>6、其他必要文件</w:t>
      </w:r>
      <w:r>
        <w:tab/>
      </w:r>
      <w:r>
        <w:fldChar w:fldCharType="begin"/>
      </w:r>
      <w:r>
        <w:instrText xml:space="preserve"> PAGEREF _Toc15442 </w:instrText>
      </w:r>
      <w:r>
        <w:fldChar w:fldCharType="separate"/>
      </w:r>
      <w:r>
        <w:t>24</w:t>
      </w:r>
      <w:r>
        <w:fldChar w:fldCharType="end"/>
      </w:r>
      <w:r>
        <w:rPr>
          <w:rFonts w:ascii="仿宋" w:hAnsi="仿宋"/>
          <w:caps/>
          <w:color w:val="auto"/>
          <w:spacing w:val="56"/>
          <w:szCs w:val="30"/>
        </w:rPr>
        <w:fldChar w:fldCharType="end"/>
      </w:r>
    </w:p>
    <w:p>
      <w:pPr>
        <w:pStyle w:val="15"/>
        <w:tabs>
          <w:tab w:val="right" w:leader="dot" w:pos="9070"/>
        </w:tabs>
      </w:pPr>
      <w:r>
        <w:rPr>
          <w:rFonts w:ascii="仿宋" w:hAnsi="仿宋"/>
          <w:caps/>
          <w:color w:val="auto"/>
          <w:spacing w:val="56"/>
          <w:szCs w:val="30"/>
        </w:rPr>
        <w:fldChar w:fldCharType="begin"/>
      </w:r>
      <w:r>
        <w:rPr>
          <w:rFonts w:ascii="仿宋" w:hAnsi="仿宋"/>
          <w:caps/>
          <w:spacing w:val="56"/>
          <w:szCs w:val="30"/>
        </w:rPr>
        <w:instrText xml:space="preserve"> HYPERLINK \l _Toc27503 </w:instrText>
      </w:r>
      <w:r>
        <w:rPr>
          <w:rFonts w:ascii="仿宋" w:hAnsi="仿宋"/>
          <w:caps/>
          <w:spacing w:val="56"/>
          <w:szCs w:val="30"/>
        </w:rPr>
        <w:fldChar w:fldCharType="separate"/>
      </w:r>
      <w:r>
        <w:rPr>
          <w:rFonts w:hint="eastAsia"/>
        </w:rPr>
        <w:t>7、文件封面格式</w:t>
      </w:r>
      <w:r>
        <w:tab/>
      </w:r>
      <w:r>
        <w:fldChar w:fldCharType="begin"/>
      </w:r>
      <w:r>
        <w:instrText xml:space="preserve"> PAGEREF _Toc27503 </w:instrText>
      </w:r>
      <w:r>
        <w:fldChar w:fldCharType="separate"/>
      </w:r>
      <w:r>
        <w:t>25</w:t>
      </w:r>
      <w:r>
        <w:fldChar w:fldCharType="end"/>
      </w:r>
      <w:r>
        <w:rPr>
          <w:rFonts w:ascii="仿宋" w:hAnsi="仿宋"/>
          <w:caps/>
          <w:color w:val="auto"/>
          <w:spacing w:val="56"/>
          <w:szCs w:val="30"/>
        </w:rPr>
        <w:fldChar w:fldCharType="end"/>
      </w:r>
    </w:p>
    <w:p>
      <w:pPr>
        <w:spacing w:line="360" w:lineRule="auto"/>
        <w:jc w:val="center"/>
        <w:rPr>
          <w:rFonts w:ascii="仿宋" w:hAnsi="仿宋"/>
          <w:b/>
          <w:bCs/>
          <w:color w:val="auto"/>
          <w:spacing w:val="56"/>
          <w:sz w:val="30"/>
          <w:szCs w:val="30"/>
        </w:rPr>
      </w:pPr>
      <w:r>
        <w:rPr>
          <w:rFonts w:ascii="仿宋" w:hAnsi="仿宋"/>
          <w:caps/>
          <w:color w:val="auto"/>
          <w:spacing w:val="56"/>
          <w:szCs w:val="30"/>
        </w:rPr>
        <w:fldChar w:fldCharType="end"/>
      </w: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hint="eastAsia" w:ascii="仿宋" w:hAnsi="仿宋"/>
          <w:b/>
          <w:bCs/>
          <w:color w:val="auto"/>
          <w:spacing w:val="56"/>
          <w:sz w:val="24"/>
        </w:rPr>
      </w:pPr>
    </w:p>
    <w:p>
      <w:pPr>
        <w:spacing w:line="360" w:lineRule="auto"/>
        <w:rPr>
          <w:rFonts w:hint="eastAsia"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pStyle w:val="2"/>
        <w:rPr>
          <w:rFonts w:eastAsia="宋体"/>
          <w:color w:val="auto"/>
          <w:sz w:val="32"/>
        </w:rPr>
      </w:pPr>
      <w:bookmarkStart w:id="0" w:name="_Toc13126"/>
      <w:r>
        <w:rPr>
          <w:rFonts w:hint="eastAsia"/>
          <w:color w:val="auto"/>
        </w:rPr>
        <w:t>“鞍山市会展中心、会展宾馆”项目          招 商 公 告</w:t>
      </w:r>
      <w:bookmarkEnd w:id="0"/>
    </w:p>
    <w:p>
      <w:pPr>
        <w:rPr>
          <w:rFonts w:ascii="仿宋" w:hAnsi="仿宋" w:cstheme="minorBidi"/>
          <w:color w:val="auto"/>
          <w:szCs w:val="28"/>
        </w:rPr>
      </w:pPr>
      <w:r>
        <w:rPr>
          <w:rFonts w:hint="eastAsia"/>
          <w:color w:val="auto"/>
        </w:rPr>
        <w:t>一、招商</w:t>
      </w:r>
      <w:r>
        <w:rPr>
          <w:rFonts w:hint="eastAsia" w:ascii="仿宋" w:hAnsi="仿宋" w:cstheme="minorBidi"/>
          <w:color w:val="auto"/>
          <w:szCs w:val="28"/>
        </w:rPr>
        <w:t>单位</w:t>
      </w:r>
    </w:p>
    <w:p>
      <w:pPr>
        <w:spacing w:line="360" w:lineRule="auto"/>
        <w:rPr>
          <w:rFonts w:ascii="仿宋" w:hAnsi="仿宋" w:cstheme="minorBidi"/>
          <w:color w:val="auto"/>
          <w:szCs w:val="28"/>
        </w:rPr>
      </w:pPr>
      <w:r>
        <w:rPr>
          <w:rFonts w:hint="eastAsia" w:ascii="仿宋" w:hAnsi="仿宋" w:cstheme="minorBidi"/>
          <w:color w:val="auto"/>
          <w:szCs w:val="28"/>
        </w:rPr>
        <w:t>名称：鞍山市城市建设投资发展有限公司</w:t>
      </w:r>
    </w:p>
    <w:p>
      <w:pPr>
        <w:spacing w:line="360" w:lineRule="auto"/>
        <w:rPr>
          <w:rFonts w:ascii="仿宋" w:hAnsi="仿宋" w:cstheme="minorBidi"/>
          <w:color w:val="auto"/>
          <w:szCs w:val="28"/>
        </w:rPr>
      </w:pPr>
      <w:r>
        <w:rPr>
          <w:rFonts w:hint="eastAsia" w:ascii="仿宋" w:hAnsi="仿宋" w:cstheme="minorBidi"/>
          <w:color w:val="auto"/>
          <w:szCs w:val="28"/>
        </w:rPr>
        <w:t>地址：辽宁省鞍山市铁东区中华南路236号</w:t>
      </w:r>
    </w:p>
    <w:p>
      <w:pPr>
        <w:spacing w:line="360" w:lineRule="auto"/>
        <w:rPr>
          <w:rFonts w:ascii="仿宋" w:hAnsi="仿宋" w:cstheme="minorBidi"/>
          <w:color w:val="auto"/>
          <w:szCs w:val="28"/>
        </w:rPr>
      </w:pPr>
      <w:r>
        <w:rPr>
          <w:rFonts w:hint="eastAsia" w:ascii="仿宋" w:hAnsi="仿宋" w:cstheme="minorBidi"/>
          <w:color w:val="auto"/>
          <w:szCs w:val="28"/>
        </w:rPr>
        <w:t>联系人：王巍</w:t>
      </w:r>
    </w:p>
    <w:p>
      <w:pPr>
        <w:spacing w:line="360" w:lineRule="auto"/>
        <w:rPr>
          <w:rFonts w:hint="eastAsia" w:ascii="仿宋" w:hAnsi="仿宋" w:cstheme="minorBidi"/>
          <w:color w:val="auto"/>
          <w:szCs w:val="28"/>
        </w:rPr>
      </w:pPr>
      <w:r>
        <w:rPr>
          <w:rFonts w:hint="eastAsia" w:ascii="仿宋" w:hAnsi="仿宋" w:cstheme="minorBidi"/>
          <w:color w:val="auto"/>
          <w:szCs w:val="28"/>
        </w:rPr>
        <w:t>电话：0412-2260056</w:t>
      </w:r>
    </w:p>
    <w:p>
      <w:pPr>
        <w:spacing w:line="360" w:lineRule="auto"/>
        <w:rPr>
          <w:rFonts w:hint="eastAsia" w:ascii="仿宋" w:hAnsi="仿宋" w:cstheme="minorBidi"/>
          <w:color w:val="auto"/>
          <w:szCs w:val="28"/>
          <w:lang w:eastAsia="zh-CN"/>
        </w:rPr>
      </w:pPr>
      <w:r>
        <w:rPr>
          <w:rFonts w:hint="eastAsia" w:ascii="仿宋" w:hAnsi="仿宋" w:cstheme="minorBidi"/>
          <w:color w:val="auto"/>
          <w:szCs w:val="28"/>
          <w:lang w:eastAsia="zh-CN"/>
        </w:rPr>
        <w:t>监管部门：鞍山市人民政府国有资产监督管理委员会</w:t>
      </w:r>
    </w:p>
    <w:p>
      <w:pPr>
        <w:spacing w:line="360" w:lineRule="auto"/>
        <w:rPr>
          <w:rFonts w:hint="eastAsia" w:ascii="仿宋" w:hAnsi="仿宋" w:cstheme="minorBidi"/>
          <w:color w:val="auto"/>
          <w:szCs w:val="28"/>
          <w:lang w:val="en-US" w:eastAsia="zh-CN"/>
        </w:rPr>
      </w:pPr>
      <w:r>
        <w:rPr>
          <w:rFonts w:hint="eastAsia" w:ascii="仿宋" w:hAnsi="仿宋" w:cstheme="minorBidi"/>
          <w:color w:val="auto"/>
          <w:szCs w:val="28"/>
          <w:lang w:eastAsia="zh-CN"/>
        </w:rPr>
        <w:t>地址：鞍山市铁东区园林路</w:t>
      </w:r>
      <w:r>
        <w:rPr>
          <w:rFonts w:hint="eastAsia" w:ascii="仿宋" w:hAnsi="仿宋" w:cstheme="minorBidi"/>
          <w:color w:val="auto"/>
          <w:szCs w:val="28"/>
          <w:lang w:val="en-US" w:eastAsia="zh-CN"/>
        </w:rPr>
        <w:t>60号</w:t>
      </w:r>
    </w:p>
    <w:p>
      <w:pPr>
        <w:spacing w:line="360" w:lineRule="auto"/>
        <w:rPr>
          <w:rFonts w:hint="eastAsia" w:ascii="仿宋" w:hAnsi="仿宋" w:cstheme="minorBidi"/>
          <w:color w:val="auto"/>
          <w:szCs w:val="28"/>
          <w:lang w:val="en-US" w:eastAsia="zh-CN"/>
        </w:rPr>
      </w:pPr>
      <w:r>
        <w:rPr>
          <w:rFonts w:hint="eastAsia" w:ascii="仿宋" w:hAnsi="仿宋" w:cstheme="minorBidi"/>
          <w:color w:val="auto"/>
          <w:szCs w:val="28"/>
          <w:lang w:val="en-US" w:eastAsia="zh-CN"/>
        </w:rPr>
        <w:t>联系人：梅冬</w:t>
      </w:r>
    </w:p>
    <w:p>
      <w:pPr>
        <w:spacing w:line="360" w:lineRule="auto"/>
        <w:rPr>
          <w:rFonts w:hint="default" w:ascii="仿宋" w:hAnsi="仿宋" w:cstheme="minorBidi"/>
          <w:color w:val="auto"/>
          <w:szCs w:val="28"/>
          <w:lang w:val="en-US" w:eastAsia="zh-CN"/>
        </w:rPr>
      </w:pPr>
      <w:r>
        <w:rPr>
          <w:rFonts w:hint="eastAsia" w:ascii="仿宋" w:hAnsi="仿宋" w:cstheme="minorBidi"/>
          <w:color w:val="auto"/>
          <w:szCs w:val="28"/>
          <w:lang w:val="en-US" w:eastAsia="zh-CN"/>
        </w:rPr>
        <w:t>电话：0412-7226037</w:t>
      </w:r>
    </w:p>
    <w:p>
      <w:pPr>
        <w:rPr>
          <w:color w:val="auto"/>
        </w:rPr>
      </w:pPr>
      <w:r>
        <w:rPr>
          <w:rFonts w:hint="eastAsia"/>
          <w:color w:val="auto"/>
        </w:rPr>
        <w:t>二、招商代理机构</w:t>
      </w:r>
    </w:p>
    <w:p>
      <w:pPr>
        <w:spacing w:line="360" w:lineRule="auto"/>
        <w:rPr>
          <w:rFonts w:ascii="仿宋" w:hAnsi="仿宋" w:cstheme="minorBidi"/>
          <w:color w:val="auto"/>
          <w:szCs w:val="28"/>
        </w:rPr>
      </w:pPr>
      <w:r>
        <w:rPr>
          <w:rFonts w:hint="eastAsia" w:ascii="仿宋" w:hAnsi="仿宋" w:cstheme="minorBidi"/>
          <w:color w:val="auto"/>
          <w:szCs w:val="28"/>
        </w:rPr>
        <w:t>名称：辽宁方信工程咨询有限公司</w:t>
      </w:r>
    </w:p>
    <w:p>
      <w:pPr>
        <w:spacing w:line="360" w:lineRule="auto"/>
        <w:rPr>
          <w:rFonts w:ascii="仿宋" w:hAnsi="仿宋" w:cstheme="minorBidi"/>
          <w:color w:val="auto"/>
          <w:szCs w:val="28"/>
        </w:rPr>
      </w:pPr>
      <w:r>
        <w:rPr>
          <w:rFonts w:hint="eastAsia" w:ascii="仿宋" w:hAnsi="仿宋" w:cstheme="minorBidi"/>
          <w:color w:val="auto"/>
          <w:szCs w:val="28"/>
        </w:rPr>
        <w:t>联系人：王悦</w:t>
      </w:r>
    </w:p>
    <w:p>
      <w:pPr>
        <w:spacing w:line="360" w:lineRule="auto"/>
        <w:rPr>
          <w:rFonts w:ascii="仿宋" w:hAnsi="仿宋" w:cstheme="minorBidi"/>
          <w:color w:val="auto"/>
          <w:szCs w:val="28"/>
        </w:rPr>
      </w:pPr>
      <w:r>
        <w:rPr>
          <w:rFonts w:hint="eastAsia" w:ascii="仿宋" w:hAnsi="仿宋" w:cstheme="minorBidi"/>
          <w:color w:val="auto"/>
          <w:szCs w:val="28"/>
        </w:rPr>
        <w:t>电话：0412-5915548</w:t>
      </w:r>
    </w:p>
    <w:p>
      <w:pPr>
        <w:rPr>
          <w:color w:val="auto"/>
        </w:rPr>
      </w:pPr>
      <w:r>
        <w:rPr>
          <w:rFonts w:hint="eastAsia"/>
          <w:color w:val="auto"/>
        </w:rPr>
        <w:t>三、项目名称</w:t>
      </w:r>
    </w:p>
    <w:p>
      <w:pPr>
        <w:spacing w:line="360" w:lineRule="auto"/>
        <w:rPr>
          <w:rFonts w:ascii="仿宋" w:hAnsi="仿宋" w:cstheme="minorBidi"/>
          <w:color w:val="auto"/>
          <w:szCs w:val="28"/>
        </w:rPr>
      </w:pPr>
      <w:r>
        <w:rPr>
          <w:rFonts w:hint="eastAsia" w:ascii="仿宋" w:hAnsi="仿宋" w:cstheme="minorBidi"/>
          <w:color w:val="auto"/>
          <w:szCs w:val="28"/>
        </w:rPr>
        <w:t>“鞍山市会展中心、会展宾馆”项目</w:t>
      </w:r>
    </w:p>
    <w:p>
      <w:pPr>
        <w:rPr>
          <w:color w:val="auto"/>
        </w:rPr>
      </w:pPr>
      <w:r>
        <w:rPr>
          <w:rFonts w:hint="eastAsia"/>
          <w:color w:val="auto"/>
        </w:rPr>
        <w:t>四、项目概况</w:t>
      </w:r>
    </w:p>
    <w:p>
      <w:pPr>
        <w:spacing w:line="360" w:lineRule="auto"/>
        <w:ind w:firstLine="560" w:firstLineChars="200"/>
        <w:rPr>
          <w:rFonts w:ascii="仿宋" w:hAnsi="仿宋" w:cstheme="minorBidi"/>
          <w:color w:val="auto"/>
          <w:szCs w:val="28"/>
        </w:rPr>
      </w:pPr>
      <w:r>
        <w:rPr>
          <w:rFonts w:hint="eastAsia" w:ascii="仿宋" w:hAnsi="仿宋" w:cstheme="minorBidi"/>
          <w:color w:val="auto"/>
          <w:szCs w:val="28"/>
        </w:rPr>
        <w:t>1、“鞍山市会展中心”项目：</w:t>
      </w:r>
    </w:p>
    <w:p>
      <w:pPr>
        <w:spacing w:line="360" w:lineRule="auto"/>
        <w:ind w:firstLine="560" w:firstLineChars="200"/>
        <w:rPr>
          <w:rFonts w:ascii="仿宋" w:hAnsi="仿宋" w:cstheme="minorBidi"/>
          <w:color w:val="auto"/>
          <w:szCs w:val="28"/>
        </w:rPr>
      </w:pPr>
      <w:r>
        <w:rPr>
          <w:rFonts w:hint="eastAsia" w:ascii="仿宋" w:hAnsi="仿宋" w:cstheme="minorBidi"/>
          <w:color w:val="auto"/>
          <w:szCs w:val="28"/>
        </w:rPr>
        <w:t>地点位于鞍山市经济开发区，千山西路与安达大道的交汇处，总占地面积92989.24平方米，总建筑面积30745平方米，其中：地上29317平方米，地下1428平方米，总建筑高度20.10米，地上两层、地下一层。该项目主体建设单位为鞍山市城市建设投资发展有限公司，于2009年开工建设，现主体已完工，部分幕墙安装完成，水、暖、消防专业管线安装已完成85%，空调系统已安装完成。为有效盘活城市闲置资产，优化产业结构，激发城市活力，拓展产业空间，项目拟建成集展会、培训、文体、研学、文化、旅游、体育、健康于一体的吃住行购娱创研科学产业生态园。计划建设投资4.6亿元（最终以项目竣工决算为准），用于完善会展中心后续工程、装修改造（硬装、软装、智能设施设备）工程、全部配套工程。</w:t>
      </w:r>
    </w:p>
    <w:p>
      <w:pPr>
        <w:spacing w:line="360" w:lineRule="auto"/>
        <w:rPr>
          <w:rFonts w:ascii="仿宋" w:hAnsi="仿宋" w:cstheme="minorBidi"/>
          <w:color w:val="auto"/>
          <w:szCs w:val="28"/>
        </w:rPr>
      </w:pPr>
      <w:r>
        <w:rPr>
          <w:rFonts w:hint="eastAsia" w:ascii="仿宋" w:hAnsi="仿宋" w:cstheme="minorBidi"/>
          <w:color w:val="auto"/>
          <w:szCs w:val="28"/>
        </w:rPr>
        <w:t xml:space="preserve">   2、“鞍山市会展宾馆”项目:</w:t>
      </w:r>
    </w:p>
    <w:p>
      <w:pPr>
        <w:pStyle w:val="29"/>
        <w:shd w:val="clear" w:color="auto" w:fill="FFFFFF"/>
        <w:spacing w:before="0" w:beforeAutospacing="0" w:after="240" w:afterAutospacing="0" w:line="360" w:lineRule="auto"/>
        <w:ind w:firstLine="420" w:firstLineChars="150"/>
        <w:rPr>
          <w:rFonts w:ascii="仿宋" w:hAnsi="仿宋" w:cstheme="minorBidi"/>
          <w:color w:val="auto"/>
          <w:kern w:val="2"/>
          <w:sz w:val="28"/>
          <w:szCs w:val="28"/>
        </w:rPr>
      </w:pPr>
      <w:r>
        <w:rPr>
          <w:rFonts w:hint="eastAsia" w:ascii="仿宋" w:hAnsi="仿宋" w:cstheme="minorBidi"/>
          <w:color w:val="auto"/>
          <w:kern w:val="2"/>
          <w:sz w:val="28"/>
          <w:szCs w:val="28"/>
        </w:rPr>
        <w:t>该宾馆位于鞍山经济开发区达道湾高速出口南侧鞍山市会展宾馆，土地面积7061.55㎡，总建筑面积24200 ㎡。大厦为</w:t>
      </w:r>
      <w:r>
        <w:rPr>
          <w:rFonts w:ascii="仿宋" w:hAnsi="仿宋" w:cstheme="minorBidi"/>
          <w:color w:val="auto"/>
          <w:kern w:val="2"/>
          <w:sz w:val="28"/>
          <w:szCs w:val="28"/>
        </w:rPr>
        <w:t>16</w:t>
      </w:r>
      <w:r>
        <w:rPr>
          <w:rFonts w:hint="eastAsia" w:ascii="仿宋" w:hAnsi="仿宋" w:cstheme="minorBidi"/>
          <w:color w:val="auto"/>
          <w:kern w:val="2"/>
          <w:sz w:val="28"/>
          <w:szCs w:val="28"/>
        </w:rPr>
        <w:t>层建筑，建筑高度</w:t>
      </w:r>
      <w:r>
        <w:rPr>
          <w:rFonts w:ascii="仿宋" w:hAnsi="仿宋" w:cstheme="minorBidi"/>
          <w:color w:val="auto"/>
          <w:kern w:val="2"/>
          <w:sz w:val="28"/>
          <w:szCs w:val="28"/>
        </w:rPr>
        <w:t>65.25</w:t>
      </w:r>
      <w:r>
        <w:rPr>
          <w:rFonts w:hint="eastAsia" w:ascii="仿宋" w:hAnsi="仿宋" w:cstheme="minorBidi"/>
          <w:color w:val="auto"/>
          <w:kern w:val="2"/>
          <w:sz w:val="28"/>
          <w:szCs w:val="28"/>
        </w:rPr>
        <w:t>米。</w:t>
      </w:r>
      <w:r>
        <w:rPr>
          <w:rFonts w:ascii="仿宋" w:hAnsi="仿宋" w:cstheme="minorBidi"/>
          <w:color w:val="auto"/>
          <w:kern w:val="2"/>
          <w:sz w:val="28"/>
          <w:szCs w:val="28"/>
        </w:rPr>
        <w:t>1-4</w:t>
      </w:r>
      <w:r>
        <w:rPr>
          <w:rFonts w:hint="eastAsia" w:ascii="仿宋" w:hAnsi="仿宋" w:cstheme="minorBidi"/>
          <w:color w:val="auto"/>
          <w:kern w:val="2"/>
          <w:sz w:val="28"/>
          <w:szCs w:val="28"/>
        </w:rPr>
        <w:t>层为商用，建筑面积为</w:t>
      </w:r>
      <w:r>
        <w:rPr>
          <w:rFonts w:ascii="仿宋" w:hAnsi="仿宋" w:cstheme="minorBidi"/>
          <w:color w:val="auto"/>
          <w:kern w:val="2"/>
          <w:sz w:val="28"/>
          <w:szCs w:val="28"/>
        </w:rPr>
        <w:t>5089</w:t>
      </w:r>
      <w:r>
        <w:rPr>
          <w:rFonts w:hint="eastAsia" w:ascii="仿宋" w:hAnsi="仿宋" w:cstheme="minorBidi"/>
          <w:color w:val="auto"/>
          <w:kern w:val="2"/>
          <w:sz w:val="28"/>
          <w:szCs w:val="28"/>
        </w:rPr>
        <w:t>平方米，</w:t>
      </w:r>
      <w:r>
        <w:rPr>
          <w:rFonts w:ascii="仿宋" w:hAnsi="仿宋" w:cstheme="minorBidi"/>
          <w:color w:val="auto"/>
          <w:kern w:val="2"/>
          <w:sz w:val="28"/>
          <w:szCs w:val="28"/>
        </w:rPr>
        <w:t xml:space="preserve"> 5-14</w:t>
      </w:r>
      <w:r>
        <w:rPr>
          <w:rFonts w:hint="eastAsia" w:ascii="仿宋" w:hAnsi="仿宋" w:cstheme="minorBidi"/>
          <w:color w:val="auto"/>
          <w:kern w:val="2"/>
          <w:sz w:val="28"/>
          <w:szCs w:val="28"/>
        </w:rPr>
        <w:t>层为客房区包含各类客房</w:t>
      </w:r>
      <w:r>
        <w:rPr>
          <w:rFonts w:ascii="仿宋" w:hAnsi="仿宋" w:cstheme="minorBidi"/>
          <w:color w:val="auto"/>
          <w:kern w:val="2"/>
          <w:sz w:val="28"/>
          <w:szCs w:val="28"/>
        </w:rPr>
        <w:t>100</w:t>
      </w:r>
      <w:r>
        <w:rPr>
          <w:rFonts w:hint="eastAsia" w:ascii="仿宋" w:hAnsi="仿宋" w:cstheme="minorBidi"/>
          <w:color w:val="auto"/>
          <w:kern w:val="2"/>
          <w:sz w:val="28"/>
          <w:szCs w:val="28"/>
        </w:rPr>
        <w:t>个，</w:t>
      </w:r>
      <w:r>
        <w:rPr>
          <w:rFonts w:ascii="仿宋" w:hAnsi="仿宋" w:cstheme="minorBidi"/>
          <w:color w:val="auto"/>
          <w:kern w:val="2"/>
          <w:sz w:val="28"/>
          <w:szCs w:val="28"/>
        </w:rPr>
        <w:t>15</w:t>
      </w:r>
      <w:r>
        <w:rPr>
          <w:rFonts w:hint="eastAsia" w:ascii="仿宋" w:hAnsi="仿宋" w:cstheme="minorBidi"/>
          <w:color w:val="auto"/>
          <w:kern w:val="2"/>
          <w:sz w:val="28"/>
          <w:szCs w:val="28"/>
        </w:rPr>
        <w:t>、</w:t>
      </w:r>
      <w:r>
        <w:rPr>
          <w:rFonts w:ascii="仿宋" w:hAnsi="仿宋" w:cstheme="minorBidi"/>
          <w:color w:val="auto"/>
          <w:kern w:val="2"/>
          <w:sz w:val="28"/>
          <w:szCs w:val="28"/>
        </w:rPr>
        <w:t>16</w:t>
      </w:r>
      <w:r>
        <w:rPr>
          <w:rFonts w:hint="eastAsia" w:ascii="仿宋" w:hAnsi="仿宋" w:cstheme="minorBidi"/>
          <w:color w:val="auto"/>
          <w:kern w:val="2"/>
          <w:sz w:val="28"/>
          <w:szCs w:val="28"/>
        </w:rPr>
        <w:t>层为开放式办公区。地下为停车场及设备用房，建筑面积</w:t>
      </w:r>
      <w:r>
        <w:rPr>
          <w:rFonts w:ascii="仿宋" w:hAnsi="仿宋" w:cstheme="minorBidi"/>
          <w:color w:val="auto"/>
          <w:kern w:val="2"/>
          <w:sz w:val="28"/>
          <w:szCs w:val="28"/>
        </w:rPr>
        <w:t>3065</w:t>
      </w:r>
      <w:r>
        <w:rPr>
          <w:rFonts w:hint="eastAsia" w:ascii="仿宋" w:hAnsi="仿宋" w:cstheme="minorBidi"/>
          <w:color w:val="auto"/>
          <w:kern w:val="2"/>
          <w:sz w:val="28"/>
          <w:szCs w:val="28"/>
        </w:rPr>
        <w:t>平方米，其中停车面积</w:t>
      </w:r>
      <w:r>
        <w:rPr>
          <w:rFonts w:ascii="仿宋" w:hAnsi="仿宋" w:cstheme="minorBidi"/>
          <w:color w:val="auto"/>
          <w:kern w:val="2"/>
          <w:sz w:val="28"/>
          <w:szCs w:val="28"/>
        </w:rPr>
        <w:t>1523</w:t>
      </w:r>
      <w:r>
        <w:rPr>
          <w:rFonts w:hint="eastAsia" w:ascii="仿宋" w:hAnsi="仿宋" w:cstheme="minorBidi"/>
          <w:color w:val="auto"/>
          <w:kern w:val="2"/>
          <w:sz w:val="28"/>
          <w:szCs w:val="28"/>
        </w:rPr>
        <w:t>平方米，约</w:t>
      </w:r>
      <w:r>
        <w:rPr>
          <w:rFonts w:ascii="仿宋" w:hAnsi="仿宋" w:cstheme="minorBidi"/>
          <w:color w:val="auto"/>
          <w:kern w:val="2"/>
          <w:sz w:val="28"/>
          <w:szCs w:val="28"/>
        </w:rPr>
        <w:t>100</w:t>
      </w:r>
      <w:r>
        <w:rPr>
          <w:rFonts w:hint="eastAsia" w:ascii="仿宋" w:hAnsi="仿宋" w:cstheme="minorBidi"/>
          <w:color w:val="auto"/>
          <w:kern w:val="2"/>
          <w:sz w:val="28"/>
          <w:szCs w:val="28"/>
        </w:rPr>
        <w:t>个车位。其余为设备用房面积。</w:t>
      </w:r>
    </w:p>
    <w:p>
      <w:pPr>
        <w:rPr>
          <w:color w:val="auto"/>
        </w:rPr>
      </w:pPr>
      <w:r>
        <w:rPr>
          <w:rFonts w:hint="eastAsia"/>
          <w:color w:val="auto"/>
        </w:rPr>
        <w:t>五、盘活后项目用途及业态功能定位</w:t>
      </w:r>
    </w:p>
    <w:p>
      <w:pPr>
        <w:spacing w:line="360" w:lineRule="auto"/>
        <w:rPr>
          <w:rFonts w:ascii="仿宋" w:hAnsi="仿宋" w:cstheme="minorBidi"/>
          <w:color w:val="auto"/>
          <w:szCs w:val="28"/>
        </w:rPr>
      </w:pPr>
      <w:r>
        <w:rPr>
          <w:rFonts w:hint="eastAsia" w:ascii="仿宋" w:hAnsi="仿宋" w:cstheme="minorBidi"/>
          <w:color w:val="auto"/>
          <w:szCs w:val="28"/>
        </w:rPr>
        <w:t xml:space="preserve">   1、“鞍山市会展中心”项目：</w:t>
      </w:r>
    </w:p>
    <w:p>
      <w:pPr>
        <w:spacing w:line="360" w:lineRule="auto"/>
        <w:rPr>
          <w:rFonts w:ascii="仿宋" w:hAnsi="仿宋" w:cstheme="minorBidi"/>
          <w:color w:val="auto"/>
          <w:szCs w:val="28"/>
        </w:rPr>
      </w:pPr>
      <w:r>
        <w:rPr>
          <w:rFonts w:hint="eastAsia" w:ascii="仿宋" w:hAnsi="仿宋" w:cstheme="minorBidi"/>
          <w:b/>
          <w:bCs/>
          <w:color w:val="auto"/>
          <w:szCs w:val="28"/>
        </w:rPr>
        <w:t xml:space="preserve">   </w:t>
      </w:r>
      <w:r>
        <w:rPr>
          <w:rFonts w:hint="eastAsia" w:ascii="仿宋" w:hAnsi="仿宋" w:cstheme="minorBidi"/>
          <w:color w:val="auto"/>
          <w:szCs w:val="28"/>
        </w:rPr>
        <w:t>项目盘活后将建成集会展、培训、文体、研学、文化、旅游、体育、健康等于</w:t>
      </w:r>
      <w:r>
        <w:rPr>
          <w:rFonts w:ascii="仿宋" w:hAnsi="仿宋" w:cstheme="minorBidi"/>
          <w:color w:val="auto"/>
          <w:szCs w:val="28"/>
        </w:rPr>
        <w:t>一体</w:t>
      </w:r>
      <w:r>
        <w:rPr>
          <w:rFonts w:hint="eastAsia" w:ascii="仿宋" w:hAnsi="仿宋" w:cstheme="minorBidi"/>
          <w:color w:val="auto"/>
          <w:szCs w:val="28"/>
        </w:rPr>
        <w:t>的吃住行购娱创研产业生态园。</w:t>
      </w:r>
    </w:p>
    <w:p>
      <w:pPr>
        <w:spacing w:line="360" w:lineRule="auto"/>
        <w:rPr>
          <w:rFonts w:ascii="仿宋" w:hAnsi="仿宋" w:cstheme="minorBidi"/>
          <w:color w:val="auto"/>
          <w:szCs w:val="28"/>
        </w:rPr>
      </w:pPr>
      <w:r>
        <w:rPr>
          <w:rFonts w:hint="eastAsia" w:ascii="仿宋" w:hAnsi="仿宋" w:cstheme="minorBidi"/>
          <w:color w:val="auto"/>
          <w:szCs w:val="28"/>
        </w:rPr>
        <w:t xml:space="preserve">    项目业态功能定位:</w:t>
      </w:r>
    </w:p>
    <w:p>
      <w:pPr>
        <w:spacing w:line="360" w:lineRule="auto"/>
        <w:ind w:firstLine="560" w:firstLineChars="200"/>
        <w:rPr>
          <w:rFonts w:ascii="仿宋" w:hAnsi="仿宋" w:cstheme="minorBidi"/>
          <w:color w:val="auto"/>
          <w:szCs w:val="28"/>
        </w:rPr>
      </w:pPr>
      <w:r>
        <w:rPr>
          <w:rFonts w:hint="eastAsia" w:ascii="仿宋" w:hAnsi="仿宋" w:cstheme="minorBidi"/>
          <w:color w:val="auto"/>
          <w:szCs w:val="28"/>
        </w:rPr>
        <w:t>(1)城市展会、国防、爱国主义、红色教育及警示教育；</w:t>
      </w:r>
    </w:p>
    <w:p>
      <w:pPr>
        <w:spacing w:line="360" w:lineRule="auto"/>
        <w:ind w:firstLine="560" w:firstLineChars="200"/>
        <w:rPr>
          <w:rFonts w:ascii="仿宋" w:hAnsi="仿宋" w:cstheme="minorBidi"/>
          <w:color w:val="auto"/>
          <w:szCs w:val="28"/>
        </w:rPr>
      </w:pPr>
      <w:r>
        <w:rPr>
          <w:rFonts w:hint="eastAsia" w:ascii="仿宋" w:hAnsi="仿宋" w:cstheme="minorBidi"/>
          <w:color w:val="auto"/>
          <w:szCs w:val="28"/>
        </w:rPr>
        <w:t>(2)城市应急救援训练、方舱医院</w:t>
      </w:r>
      <w:r>
        <w:rPr>
          <w:rFonts w:ascii="仿宋" w:hAnsi="仿宋" w:cstheme="minorBidi"/>
          <w:color w:val="auto"/>
          <w:szCs w:val="28"/>
        </w:rPr>
        <w:t>、</w:t>
      </w:r>
      <w:r>
        <w:rPr>
          <w:rFonts w:hint="eastAsia" w:ascii="仿宋" w:hAnsi="仿宋" w:cstheme="minorBidi"/>
          <w:color w:val="auto"/>
          <w:szCs w:val="28"/>
        </w:rPr>
        <w:t>社会安全训练、体能运动演练；</w:t>
      </w:r>
    </w:p>
    <w:p>
      <w:pPr>
        <w:spacing w:line="360" w:lineRule="auto"/>
        <w:ind w:firstLine="560" w:firstLineChars="200"/>
        <w:rPr>
          <w:rFonts w:ascii="仿宋" w:hAnsi="仿宋" w:cstheme="minorBidi"/>
          <w:color w:val="auto"/>
          <w:szCs w:val="28"/>
        </w:rPr>
      </w:pPr>
      <w:r>
        <w:rPr>
          <w:rFonts w:hint="eastAsia" w:ascii="仿宋" w:hAnsi="仿宋" w:cstheme="minorBidi"/>
          <w:color w:val="auto"/>
          <w:szCs w:val="28"/>
        </w:rPr>
        <w:t>(3)职业技能再教育培训；</w:t>
      </w:r>
    </w:p>
    <w:p>
      <w:pPr>
        <w:spacing w:line="360" w:lineRule="auto"/>
        <w:ind w:firstLine="560" w:firstLineChars="200"/>
        <w:rPr>
          <w:rFonts w:ascii="仿宋" w:hAnsi="仿宋" w:cstheme="minorBidi"/>
          <w:color w:val="auto"/>
          <w:szCs w:val="28"/>
        </w:rPr>
      </w:pPr>
      <w:r>
        <w:rPr>
          <w:rFonts w:hint="eastAsia" w:ascii="仿宋" w:hAnsi="仿宋" w:cstheme="minorBidi"/>
          <w:color w:val="auto"/>
          <w:szCs w:val="28"/>
        </w:rPr>
        <w:t>(4)未来信息化智能装备软硬件研发生产；</w:t>
      </w:r>
    </w:p>
    <w:p>
      <w:pPr>
        <w:spacing w:line="360" w:lineRule="auto"/>
        <w:rPr>
          <w:rFonts w:ascii="仿宋" w:hAnsi="仿宋" w:cstheme="minorBidi"/>
          <w:color w:val="auto"/>
          <w:szCs w:val="28"/>
        </w:rPr>
      </w:pPr>
      <w:r>
        <w:rPr>
          <w:rFonts w:hint="eastAsia" w:ascii="仿宋" w:hAnsi="仿宋" w:cstheme="minorBidi"/>
          <w:color w:val="auto"/>
          <w:szCs w:val="28"/>
        </w:rPr>
        <w:t xml:space="preserve">    (5)社区生活用品配套。</w:t>
      </w:r>
    </w:p>
    <w:p>
      <w:pPr>
        <w:spacing w:line="360" w:lineRule="auto"/>
        <w:rPr>
          <w:rFonts w:ascii="仿宋" w:hAnsi="仿宋" w:cstheme="minorBidi"/>
          <w:color w:val="auto"/>
          <w:szCs w:val="28"/>
        </w:rPr>
      </w:pPr>
      <w:r>
        <w:rPr>
          <w:rFonts w:hint="eastAsia" w:ascii="仿宋" w:hAnsi="仿宋" w:cstheme="minorBidi"/>
          <w:color w:val="auto"/>
          <w:szCs w:val="28"/>
        </w:rPr>
        <w:t xml:space="preserve">   2、“鞍山市会展宾馆”项目:</w:t>
      </w:r>
    </w:p>
    <w:p>
      <w:pPr>
        <w:spacing w:line="360" w:lineRule="auto"/>
        <w:rPr>
          <w:rFonts w:ascii="仿宋" w:hAnsi="仿宋" w:cstheme="minorBidi"/>
          <w:color w:val="auto"/>
          <w:szCs w:val="28"/>
        </w:rPr>
      </w:pPr>
      <w:r>
        <w:rPr>
          <w:rFonts w:hint="eastAsia" w:ascii="仿宋" w:hAnsi="仿宋" w:cstheme="minorBidi"/>
          <w:b/>
          <w:bCs/>
          <w:color w:val="auto"/>
          <w:szCs w:val="28"/>
        </w:rPr>
        <w:t xml:space="preserve">  </w:t>
      </w:r>
      <w:r>
        <w:rPr>
          <w:rFonts w:hint="eastAsia" w:ascii="仿宋" w:hAnsi="仿宋" w:cstheme="minorBidi"/>
          <w:color w:val="auto"/>
          <w:szCs w:val="28"/>
        </w:rPr>
        <w:t>项目盘活后将建成集宾馆、会议、培训、文体、研学、文化、等于</w:t>
      </w:r>
      <w:r>
        <w:rPr>
          <w:rFonts w:ascii="仿宋" w:hAnsi="仿宋" w:cstheme="minorBidi"/>
          <w:color w:val="auto"/>
          <w:szCs w:val="28"/>
        </w:rPr>
        <w:t>一体</w:t>
      </w:r>
      <w:r>
        <w:rPr>
          <w:rFonts w:hint="eastAsia" w:ascii="仿宋" w:hAnsi="仿宋" w:cstheme="minorBidi"/>
          <w:color w:val="auto"/>
          <w:szCs w:val="28"/>
        </w:rPr>
        <w:t>的星级商务宾馆。</w:t>
      </w:r>
    </w:p>
    <w:p>
      <w:pPr>
        <w:rPr>
          <w:rFonts w:hint="eastAsia"/>
          <w:color w:val="auto"/>
        </w:rPr>
      </w:pPr>
      <w:r>
        <w:rPr>
          <w:rFonts w:hint="eastAsia"/>
          <w:color w:val="auto"/>
          <w:lang w:eastAsia="zh-CN"/>
        </w:rPr>
        <w:t>六</w:t>
      </w:r>
      <w:r>
        <w:rPr>
          <w:rFonts w:hint="eastAsia"/>
          <w:color w:val="auto"/>
        </w:rPr>
        <w:t>、合作方式</w:t>
      </w:r>
    </w:p>
    <w:p>
      <w:pPr>
        <w:rPr>
          <w:rFonts w:ascii="仿宋" w:hAnsi="仿宋" w:cstheme="minorBidi"/>
          <w:color w:val="auto"/>
          <w:szCs w:val="28"/>
        </w:rPr>
      </w:pPr>
      <w:r>
        <w:rPr>
          <w:rFonts w:hint="eastAsia" w:ascii="仿宋" w:hAnsi="仿宋" w:cstheme="minorBidi"/>
          <w:color w:val="auto"/>
          <w:szCs w:val="28"/>
          <w:lang w:eastAsia="zh-CN"/>
        </w:rPr>
        <w:t>（一）</w:t>
      </w:r>
      <w:r>
        <w:rPr>
          <w:rFonts w:hint="eastAsia" w:ascii="仿宋" w:hAnsi="仿宋" w:cstheme="minorBidi"/>
          <w:color w:val="auto"/>
          <w:szCs w:val="28"/>
        </w:rPr>
        <w:t xml:space="preserve"> “鞍山市会展中心”项目：</w:t>
      </w:r>
    </w:p>
    <w:p>
      <w:pPr>
        <w:spacing w:line="360" w:lineRule="auto"/>
        <w:ind w:firstLine="560"/>
        <w:rPr>
          <w:rFonts w:hint="eastAsia" w:ascii="仿宋" w:hAnsi="仿宋" w:cstheme="minorBidi"/>
          <w:color w:val="auto"/>
          <w:szCs w:val="28"/>
        </w:rPr>
      </w:pPr>
      <w:r>
        <w:rPr>
          <w:rFonts w:hint="eastAsia" w:ascii="仿宋" w:hAnsi="仿宋" w:cstheme="minorBidi"/>
          <w:color w:val="auto"/>
          <w:szCs w:val="28"/>
          <w:lang w:val="en-US" w:eastAsia="zh-CN"/>
        </w:rPr>
        <w:t>1、投资合作方式：</w:t>
      </w:r>
      <w:r>
        <w:rPr>
          <w:rFonts w:hint="eastAsia" w:ascii="仿宋" w:hAnsi="仿宋" w:cstheme="minorBidi"/>
          <w:color w:val="auto"/>
          <w:szCs w:val="28"/>
        </w:rPr>
        <w:t>鞍山市城市建设投资发展有限公司与投资合作伙伴对“鞍山市会展中心”项目按2:1比例进行项目投资，拟投资4.6亿元（最终以项目竣工决算为准），鞍山市城市建设投资发展有限公司拟投资3.1亿元，投资合作伙伴拟投资1.5亿元。后续建设由鞍山市城市建设投资发展有限公司做为建设主体，组成项目管理指挥部负责本项目建设公开招标（包括但不限于后续工程施工、装修、设计等）及工程建设管理，投资合作伙伴负责项目完工后的运营，最多运营期限5年，收益归投资合作伙伴所有，运营期结束，鞍山市城市建设投资发展有限公司出售该资产，投资合作伙伴拥有优先购买权。</w:t>
      </w:r>
    </w:p>
    <w:p>
      <w:pPr>
        <w:spacing w:line="360" w:lineRule="auto"/>
        <w:ind w:firstLine="560"/>
        <w:rPr>
          <w:rFonts w:hint="eastAsia" w:ascii="仿宋" w:hAnsi="仿宋" w:cstheme="minorBidi"/>
          <w:color w:val="auto"/>
          <w:szCs w:val="28"/>
        </w:rPr>
      </w:pPr>
      <w:r>
        <w:rPr>
          <w:rFonts w:hint="eastAsia" w:ascii="仿宋" w:hAnsi="仿宋" w:cstheme="minorBidi"/>
          <w:color w:val="auto"/>
          <w:szCs w:val="28"/>
          <w:lang w:val="en-US" w:eastAsia="zh-CN"/>
        </w:rPr>
        <w:t>2、</w:t>
      </w:r>
      <w:r>
        <w:rPr>
          <w:rFonts w:hint="eastAsia" w:ascii="仿宋" w:hAnsi="仿宋" w:cs="Times New Roman"/>
          <w:color w:val="auto"/>
          <w:szCs w:val="28"/>
          <w:lang w:val="en-US" w:eastAsia="zh-CN"/>
        </w:rPr>
        <w:t>投入资</w:t>
      </w:r>
      <w:r>
        <w:rPr>
          <w:rFonts w:hint="eastAsia"/>
          <w:color w:val="auto"/>
        </w:rPr>
        <w:t>金管理方式：</w:t>
      </w:r>
      <w:r>
        <w:rPr>
          <w:rFonts w:hint="eastAsia" w:ascii="仿宋" w:hAnsi="仿宋" w:cstheme="minorBidi"/>
          <w:color w:val="auto"/>
          <w:szCs w:val="28"/>
        </w:rPr>
        <w:t>双方出资同时打入双方设立的共管账户。为保证本项目尽快实施，本次招商活动确定投资合作伙伴后5个工作日内，按照2：1的比例，鞍山市城市建设投资发展有限公司存入共管账户6000万元，投资合作伙伴存入共管账户3000万元。余款及管理细则在投资合作伙伴确定后双方另行约定。</w:t>
      </w:r>
    </w:p>
    <w:p>
      <w:pPr>
        <w:spacing w:line="360" w:lineRule="auto"/>
        <w:rPr>
          <w:rFonts w:ascii="仿宋" w:hAnsi="仿宋" w:cstheme="minorBidi"/>
          <w:color w:val="auto"/>
          <w:szCs w:val="28"/>
        </w:rPr>
      </w:pPr>
      <w:r>
        <w:rPr>
          <w:rFonts w:hint="eastAsia" w:ascii="仿宋" w:hAnsi="仿宋" w:cstheme="minorBidi"/>
          <w:color w:val="auto"/>
          <w:szCs w:val="28"/>
          <w:lang w:eastAsia="zh-CN"/>
        </w:rPr>
        <w:t>（二）</w:t>
      </w:r>
      <w:r>
        <w:rPr>
          <w:rFonts w:hint="eastAsia" w:ascii="仿宋" w:hAnsi="仿宋" w:cstheme="minorBidi"/>
          <w:color w:val="auto"/>
          <w:szCs w:val="28"/>
        </w:rPr>
        <w:t>“鞍山市会展宾馆”项目:</w:t>
      </w:r>
    </w:p>
    <w:p>
      <w:pPr>
        <w:widowControl/>
        <w:shd w:val="clear" w:color="auto" w:fill="FFFFFF"/>
        <w:spacing w:after="240" w:line="360" w:lineRule="auto"/>
        <w:ind w:firstLine="560" w:firstLineChars="200"/>
        <w:jc w:val="left"/>
        <w:rPr>
          <w:rFonts w:hint="eastAsia" w:ascii="仿宋" w:hAnsi="仿宋" w:cstheme="minorBidi"/>
          <w:color w:val="auto"/>
          <w:szCs w:val="28"/>
        </w:rPr>
      </w:pPr>
      <w:r>
        <w:rPr>
          <w:rFonts w:hint="eastAsia" w:ascii="仿宋" w:hAnsi="仿宋" w:cstheme="minorBidi"/>
          <w:color w:val="auto"/>
          <w:szCs w:val="28"/>
          <w:lang w:val="en-US" w:eastAsia="zh-CN"/>
        </w:rPr>
        <w:t>1、投资合作方式：</w:t>
      </w:r>
      <w:r>
        <w:rPr>
          <w:rFonts w:hint="eastAsia" w:ascii="仿宋" w:hAnsi="仿宋" w:cstheme="minorBidi"/>
          <w:color w:val="auto"/>
          <w:szCs w:val="28"/>
        </w:rPr>
        <w:t>1）投资合作伙伴租用会展宾馆；2）投资合作伙伴负责支付鞍山市会展宾馆所欠工程款项并完成余下建设工程；3）投资合作伙伴负责宾馆装修工程；4）投资合作伙伴负责宾馆运营和管理；5</w:t>
      </w:r>
      <w:r>
        <w:rPr>
          <w:rFonts w:hint="eastAsia" w:ascii="仿宋" w:hAnsi="仿宋" w:cstheme="minorBidi"/>
          <w:color w:val="auto"/>
          <w:szCs w:val="28"/>
          <w:lang w:eastAsia="zh-CN"/>
        </w:rPr>
        <w:t>）</w:t>
      </w:r>
      <w:r>
        <w:rPr>
          <w:rFonts w:hint="eastAsia" w:ascii="仿宋" w:hAnsi="仿宋" w:cstheme="minorBidi"/>
          <w:color w:val="auto"/>
          <w:szCs w:val="28"/>
        </w:rPr>
        <w:t>租用期为20年。投资合作伙伴运营、装修投入实际资产约为</w:t>
      </w:r>
      <w:r>
        <w:rPr>
          <w:rFonts w:ascii="仿宋" w:hAnsi="仿宋" w:cstheme="minorBidi"/>
          <w:color w:val="auto"/>
          <w:szCs w:val="28"/>
        </w:rPr>
        <w:t>2.5亿人民币</w:t>
      </w:r>
      <w:r>
        <w:rPr>
          <w:rFonts w:hint="eastAsia" w:ascii="仿宋" w:hAnsi="仿宋" w:cstheme="minorBidi"/>
          <w:color w:val="auto"/>
          <w:szCs w:val="28"/>
        </w:rPr>
        <w:t>。</w:t>
      </w:r>
    </w:p>
    <w:p>
      <w:pPr>
        <w:ind w:firstLine="560"/>
        <w:rPr>
          <w:rFonts w:hint="eastAsia" w:ascii="仿宋" w:hAnsi="仿宋" w:cstheme="minorBidi"/>
          <w:color w:val="auto"/>
          <w:szCs w:val="28"/>
        </w:rPr>
      </w:pPr>
      <w:r>
        <w:rPr>
          <w:rFonts w:hint="eastAsia" w:ascii="仿宋" w:hAnsi="仿宋" w:cstheme="minorBidi"/>
          <w:color w:val="auto"/>
          <w:szCs w:val="28"/>
          <w:lang w:val="en-US" w:eastAsia="zh-CN"/>
        </w:rPr>
        <w:t>2、</w:t>
      </w:r>
      <w:r>
        <w:rPr>
          <w:rFonts w:hint="eastAsia" w:ascii="仿宋" w:hAnsi="仿宋" w:cs="Times New Roman"/>
          <w:color w:val="auto"/>
          <w:szCs w:val="28"/>
          <w:lang w:val="en-US" w:eastAsia="zh-CN"/>
        </w:rPr>
        <w:t>投入资</w:t>
      </w:r>
      <w:r>
        <w:rPr>
          <w:rFonts w:hint="eastAsia"/>
          <w:color w:val="auto"/>
        </w:rPr>
        <w:t>金管理方式：</w:t>
      </w:r>
      <w:r>
        <w:rPr>
          <w:rFonts w:hint="eastAsia" w:ascii="仿宋" w:hAnsi="仿宋" w:cstheme="minorBidi"/>
          <w:color w:val="auto"/>
          <w:szCs w:val="28"/>
        </w:rPr>
        <w:t>投资合作伙伴负责宾馆运营及全部装修费用。</w:t>
      </w:r>
    </w:p>
    <w:p>
      <w:pPr>
        <w:ind w:firstLine="560"/>
        <w:jc w:val="left"/>
        <w:rPr>
          <w:color w:val="auto"/>
        </w:rPr>
      </w:pPr>
      <w:r>
        <w:rPr>
          <w:rFonts w:hint="eastAsia"/>
          <w:color w:val="auto"/>
          <w:lang w:eastAsia="zh-CN"/>
        </w:rPr>
        <w:t>七、招商政策</w:t>
      </w:r>
    </w:p>
    <w:p>
      <w:pPr>
        <w:spacing w:line="360" w:lineRule="auto"/>
        <w:rPr>
          <w:rFonts w:ascii="仿宋" w:hAnsi="仿宋" w:cstheme="minorBidi"/>
          <w:color w:val="auto"/>
          <w:szCs w:val="28"/>
        </w:rPr>
      </w:pPr>
      <w:r>
        <w:rPr>
          <w:rFonts w:hint="eastAsia" w:ascii="仿宋" w:hAnsi="仿宋" w:cstheme="minorBidi"/>
          <w:color w:val="auto"/>
          <w:szCs w:val="28"/>
        </w:rPr>
        <w:t xml:space="preserve"> 1、 “鞍山市会展中心”项目：</w:t>
      </w:r>
    </w:p>
    <w:p>
      <w:pPr>
        <w:spacing w:line="360" w:lineRule="auto"/>
        <w:rPr>
          <w:rFonts w:ascii="仿宋" w:hAnsi="仿宋" w:cstheme="minorBidi"/>
          <w:color w:val="auto"/>
          <w:szCs w:val="28"/>
        </w:rPr>
      </w:pPr>
      <w:r>
        <w:rPr>
          <w:rFonts w:hint="eastAsia" w:ascii="仿宋" w:hAnsi="仿宋" w:cstheme="minorBidi"/>
          <w:color w:val="auto"/>
          <w:szCs w:val="28"/>
        </w:rPr>
        <w:t>（1）项目建成后，由招商引进的投资合作伙伴免租金运营，</w:t>
      </w:r>
      <w:r>
        <w:rPr>
          <w:rFonts w:ascii="仿宋" w:hAnsi="仿宋" w:cstheme="minorBidi"/>
          <w:color w:val="auto"/>
          <w:szCs w:val="28"/>
        </w:rPr>
        <w:t>免租金运营期最多</w:t>
      </w:r>
      <w:r>
        <w:rPr>
          <w:rFonts w:hint="eastAsia" w:ascii="仿宋" w:hAnsi="仿宋" w:cstheme="minorBidi"/>
          <w:color w:val="auto"/>
          <w:szCs w:val="28"/>
        </w:rPr>
        <w:t>五年，收益归投资合作伙伴所有。</w:t>
      </w:r>
    </w:p>
    <w:p>
      <w:pPr>
        <w:spacing w:line="360" w:lineRule="auto"/>
        <w:rPr>
          <w:rFonts w:ascii="仿宋" w:hAnsi="仿宋" w:cstheme="minorBidi"/>
          <w:color w:val="auto"/>
          <w:szCs w:val="28"/>
        </w:rPr>
      </w:pPr>
      <w:r>
        <w:rPr>
          <w:rFonts w:hint="eastAsia" w:ascii="仿宋" w:hAnsi="仿宋" w:cstheme="minorBidi"/>
          <w:color w:val="auto"/>
          <w:szCs w:val="28"/>
        </w:rPr>
        <w:t>（2）投资伙伴对</w:t>
      </w:r>
      <w:r>
        <w:rPr>
          <w:rFonts w:ascii="仿宋" w:hAnsi="仿宋" w:cstheme="minorBidi"/>
          <w:color w:val="auto"/>
          <w:szCs w:val="28"/>
        </w:rPr>
        <w:t>项目资产</w:t>
      </w:r>
      <w:r>
        <w:rPr>
          <w:rFonts w:hint="eastAsia" w:ascii="仿宋" w:hAnsi="仿宋" w:cstheme="minorBidi"/>
          <w:color w:val="auto"/>
          <w:szCs w:val="28"/>
        </w:rPr>
        <w:t>具有优先购买权。运营五年后，招商单位</w:t>
      </w:r>
      <w:r>
        <w:rPr>
          <w:rFonts w:ascii="仿宋" w:hAnsi="仿宋" w:cstheme="minorBidi"/>
          <w:color w:val="auto"/>
          <w:szCs w:val="28"/>
        </w:rPr>
        <w:t>按</w:t>
      </w:r>
      <w:r>
        <w:rPr>
          <w:rFonts w:hint="eastAsia" w:ascii="仿宋" w:hAnsi="仿宋" w:cstheme="minorBidi"/>
          <w:color w:val="auto"/>
          <w:szCs w:val="28"/>
        </w:rPr>
        <w:t>以经</w:t>
      </w:r>
      <w:r>
        <w:rPr>
          <w:rFonts w:ascii="仿宋" w:hAnsi="仿宋" w:cstheme="minorBidi"/>
          <w:color w:val="auto"/>
          <w:szCs w:val="28"/>
        </w:rPr>
        <w:t>评估后的市场价</w:t>
      </w:r>
      <w:r>
        <w:rPr>
          <w:rFonts w:hint="eastAsia" w:ascii="仿宋" w:hAnsi="仿宋" w:cstheme="minorBidi"/>
          <w:color w:val="auto"/>
          <w:szCs w:val="28"/>
        </w:rPr>
        <w:t>出售市会展中心；如评估</w:t>
      </w:r>
      <w:r>
        <w:rPr>
          <w:rFonts w:ascii="仿宋" w:hAnsi="仿宋" w:cstheme="minorBidi"/>
          <w:color w:val="auto"/>
          <w:szCs w:val="28"/>
        </w:rPr>
        <w:t>价低于项目总投资，以总投资</w:t>
      </w:r>
      <w:r>
        <w:rPr>
          <w:rFonts w:hint="eastAsia" w:ascii="仿宋" w:hAnsi="仿宋" w:cstheme="minorBidi"/>
          <w:color w:val="auto"/>
          <w:szCs w:val="28"/>
        </w:rPr>
        <w:t>额</w:t>
      </w:r>
      <w:r>
        <w:rPr>
          <w:rFonts w:ascii="仿宋" w:hAnsi="仿宋" w:cstheme="minorBidi"/>
          <w:color w:val="auto"/>
          <w:szCs w:val="28"/>
        </w:rPr>
        <w:t>作为出售底价并</w:t>
      </w:r>
      <w:r>
        <w:rPr>
          <w:rFonts w:hint="eastAsia" w:ascii="仿宋" w:hAnsi="仿宋" w:cstheme="minorBidi"/>
          <w:color w:val="auto"/>
          <w:szCs w:val="28"/>
        </w:rPr>
        <w:t>在</w:t>
      </w:r>
      <w:r>
        <w:rPr>
          <w:rFonts w:ascii="仿宋" w:hAnsi="仿宋" w:cstheme="minorBidi"/>
          <w:color w:val="auto"/>
          <w:szCs w:val="28"/>
        </w:rPr>
        <w:t>该项目总投入额</w:t>
      </w:r>
      <w:r>
        <w:rPr>
          <w:rFonts w:hint="eastAsia" w:ascii="仿宋" w:hAnsi="仿宋" w:cstheme="minorBidi"/>
          <w:color w:val="auto"/>
          <w:szCs w:val="28"/>
        </w:rPr>
        <w:t>为基础上</w:t>
      </w:r>
      <w:r>
        <w:rPr>
          <w:rFonts w:ascii="仿宋" w:hAnsi="仿宋" w:cstheme="minorBidi"/>
          <w:color w:val="auto"/>
          <w:szCs w:val="28"/>
        </w:rPr>
        <w:t>浮</w:t>
      </w:r>
      <w:r>
        <w:rPr>
          <w:rFonts w:hint="eastAsia" w:ascii="仿宋" w:hAnsi="仿宋" w:cstheme="minorBidi"/>
          <w:color w:val="auto"/>
          <w:szCs w:val="28"/>
        </w:rPr>
        <w:t>10</w:t>
      </w:r>
      <w:r>
        <w:rPr>
          <w:rFonts w:ascii="仿宋" w:hAnsi="仿宋" w:cstheme="minorBidi"/>
          <w:color w:val="auto"/>
          <w:szCs w:val="28"/>
        </w:rPr>
        <w:t>%。</w:t>
      </w:r>
      <w:r>
        <w:rPr>
          <w:rFonts w:hint="eastAsia" w:ascii="仿宋" w:hAnsi="仿宋" w:cstheme="minorBidi"/>
          <w:color w:val="auto"/>
          <w:szCs w:val="28"/>
        </w:rPr>
        <w:t>投资合作伙伴在</w:t>
      </w:r>
      <w:r>
        <w:rPr>
          <w:rFonts w:ascii="仿宋" w:hAnsi="仿宋" w:cstheme="minorBidi"/>
          <w:color w:val="auto"/>
          <w:szCs w:val="28"/>
        </w:rPr>
        <w:t>参与竞买</w:t>
      </w:r>
      <w:r>
        <w:rPr>
          <w:rFonts w:hint="eastAsia" w:ascii="仿宋" w:hAnsi="仿宋" w:cstheme="minorBidi"/>
          <w:color w:val="auto"/>
          <w:szCs w:val="28"/>
        </w:rPr>
        <w:t>并</w:t>
      </w:r>
      <w:r>
        <w:rPr>
          <w:rFonts w:ascii="仿宋" w:hAnsi="仿宋" w:cstheme="minorBidi"/>
          <w:color w:val="auto"/>
          <w:szCs w:val="28"/>
        </w:rPr>
        <w:t>成交</w:t>
      </w:r>
      <w:r>
        <w:rPr>
          <w:rFonts w:hint="eastAsia" w:ascii="仿宋" w:hAnsi="仿宋" w:cstheme="minorBidi"/>
          <w:color w:val="auto"/>
          <w:szCs w:val="28"/>
        </w:rPr>
        <w:t>的</w:t>
      </w:r>
      <w:r>
        <w:rPr>
          <w:rFonts w:ascii="仿宋" w:hAnsi="仿宋" w:cstheme="minorBidi"/>
          <w:color w:val="auto"/>
          <w:szCs w:val="28"/>
        </w:rPr>
        <w:t>前提下，在购买</w:t>
      </w:r>
      <w:r>
        <w:rPr>
          <w:rFonts w:hint="eastAsia" w:ascii="仿宋" w:hAnsi="仿宋" w:cstheme="minorBidi"/>
          <w:color w:val="auto"/>
          <w:szCs w:val="28"/>
        </w:rPr>
        <w:t>的价格</w:t>
      </w:r>
      <w:r>
        <w:rPr>
          <w:rFonts w:ascii="仿宋" w:hAnsi="仿宋" w:cstheme="minorBidi"/>
          <w:color w:val="auto"/>
          <w:szCs w:val="28"/>
        </w:rPr>
        <w:t>上扣除</w:t>
      </w:r>
      <w:r>
        <w:rPr>
          <w:rFonts w:hint="eastAsia" w:ascii="仿宋" w:hAnsi="仿宋" w:cstheme="minorBidi"/>
          <w:color w:val="auto"/>
          <w:szCs w:val="28"/>
        </w:rPr>
        <w:t>已</w:t>
      </w:r>
      <w:r>
        <w:rPr>
          <w:rFonts w:ascii="仿宋" w:hAnsi="仿宋" w:cstheme="minorBidi"/>
          <w:color w:val="auto"/>
          <w:szCs w:val="28"/>
        </w:rPr>
        <w:t>投入的</w:t>
      </w:r>
      <w:r>
        <w:rPr>
          <w:rFonts w:hint="eastAsia" w:ascii="仿宋" w:hAnsi="仿宋" w:cstheme="minorBidi"/>
          <w:color w:val="auto"/>
          <w:szCs w:val="28"/>
        </w:rPr>
        <w:t>1.5亿元资金</w:t>
      </w:r>
      <w:r>
        <w:rPr>
          <w:rFonts w:ascii="仿宋" w:hAnsi="仿宋" w:cstheme="minorBidi"/>
          <w:color w:val="auto"/>
          <w:szCs w:val="28"/>
        </w:rPr>
        <w:t>。如</w:t>
      </w:r>
      <w:r>
        <w:rPr>
          <w:rFonts w:hint="eastAsia" w:ascii="仿宋" w:hAnsi="仿宋" w:cstheme="minorBidi"/>
          <w:color w:val="auto"/>
          <w:szCs w:val="28"/>
        </w:rPr>
        <w:t>投资合作伙伴</w:t>
      </w:r>
      <w:r>
        <w:rPr>
          <w:rFonts w:ascii="仿宋" w:hAnsi="仿宋" w:cstheme="minorBidi"/>
          <w:color w:val="auto"/>
          <w:szCs w:val="28"/>
        </w:rPr>
        <w:t>参与竞买未成交，</w:t>
      </w:r>
      <w:r>
        <w:rPr>
          <w:rFonts w:hint="eastAsia" w:ascii="仿宋" w:hAnsi="仿宋" w:cstheme="minorBidi"/>
          <w:color w:val="auto"/>
          <w:szCs w:val="28"/>
        </w:rPr>
        <w:t>鞍山市城市建设投资发展有限公司</w:t>
      </w:r>
      <w:r>
        <w:rPr>
          <w:rFonts w:ascii="仿宋" w:hAnsi="仿宋" w:cstheme="minorBidi"/>
          <w:color w:val="auto"/>
          <w:szCs w:val="28"/>
        </w:rPr>
        <w:t>出售给第三方时，退还</w:t>
      </w:r>
      <w:r>
        <w:rPr>
          <w:rFonts w:hint="eastAsia" w:ascii="仿宋" w:hAnsi="仿宋" w:cstheme="minorBidi"/>
          <w:color w:val="auto"/>
          <w:szCs w:val="28"/>
        </w:rPr>
        <w:t>投资合作伙伴</w:t>
      </w:r>
      <w:r>
        <w:rPr>
          <w:rFonts w:ascii="仿宋" w:hAnsi="仿宋" w:cstheme="minorBidi"/>
          <w:color w:val="auto"/>
          <w:szCs w:val="28"/>
        </w:rPr>
        <w:t>已付</w:t>
      </w:r>
      <w:r>
        <w:rPr>
          <w:rFonts w:hint="eastAsia" w:ascii="仿宋" w:hAnsi="仿宋" w:cstheme="minorBidi"/>
          <w:color w:val="auto"/>
          <w:szCs w:val="28"/>
        </w:rPr>
        <w:t>的1.5亿元</w:t>
      </w:r>
      <w:r>
        <w:rPr>
          <w:rFonts w:ascii="仿宋" w:hAnsi="仿宋" w:cstheme="minorBidi"/>
          <w:color w:val="auto"/>
          <w:szCs w:val="28"/>
        </w:rPr>
        <w:t>。</w:t>
      </w:r>
      <w:r>
        <w:rPr>
          <w:rFonts w:hint="eastAsia" w:ascii="仿宋" w:hAnsi="仿宋" w:cstheme="minorBidi"/>
          <w:color w:val="auto"/>
          <w:szCs w:val="28"/>
        </w:rPr>
        <w:t>投资合作伙伴</w:t>
      </w:r>
      <w:r>
        <w:rPr>
          <w:rFonts w:ascii="仿宋" w:hAnsi="仿宋" w:cstheme="minorBidi"/>
          <w:color w:val="auto"/>
          <w:szCs w:val="28"/>
        </w:rPr>
        <w:t>如</w:t>
      </w:r>
      <w:r>
        <w:rPr>
          <w:rFonts w:hint="eastAsia" w:ascii="仿宋" w:hAnsi="仿宋" w:cstheme="minorBidi"/>
          <w:color w:val="auto"/>
          <w:szCs w:val="28"/>
        </w:rPr>
        <w:t>不参与竞买</w:t>
      </w:r>
      <w:r>
        <w:rPr>
          <w:rFonts w:ascii="仿宋" w:hAnsi="仿宋" w:cstheme="minorBidi"/>
          <w:color w:val="auto"/>
          <w:szCs w:val="28"/>
        </w:rPr>
        <w:t>或参与竞买后</w:t>
      </w:r>
      <w:r>
        <w:rPr>
          <w:rFonts w:hint="eastAsia" w:ascii="仿宋" w:hAnsi="仿宋" w:cstheme="minorBidi"/>
          <w:color w:val="auto"/>
          <w:szCs w:val="28"/>
        </w:rPr>
        <w:t>又退出</w:t>
      </w:r>
      <w:r>
        <w:rPr>
          <w:rFonts w:ascii="仿宋" w:hAnsi="仿宋" w:cstheme="minorBidi"/>
          <w:color w:val="auto"/>
          <w:szCs w:val="28"/>
        </w:rPr>
        <w:t>，则其投入的</w:t>
      </w:r>
      <w:r>
        <w:rPr>
          <w:rFonts w:hint="eastAsia" w:ascii="仿宋" w:hAnsi="仿宋" w:cstheme="minorBidi"/>
          <w:color w:val="auto"/>
          <w:szCs w:val="28"/>
        </w:rPr>
        <w:t>1.5亿元鞍山市城市建设投资发展有限公司</w:t>
      </w:r>
      <w:r>
        <w:rPr>
          <w:rFonts w:ascii="仿宋" w:hAnsi="仿宋" w:cstheme="minorBidi"/>
          <w:color w:val="auto"/>
          <w:szCs w:val="28"/>
        </w:rPr>
        <w:t>不予返还。本项目建成后</w:t>
      </w:r>
      <w:r>
        <w:rPr>
          <w:rFonts w:hint="eastAsia" w:ascii="仿宋" w:hAnsi="仿宋" w:cstheme="minorBidi"/>
          <w:color w:val="auto"/>
          <w:szCs w:val="28"/>
        </w:rPr>
        <w:t>五年</w:t>
      </w:r>
      <w:r>
        <w:rPr>
          <w:rFonts w:ascii="仿宋" w:hAnsi="仿宋" w:cstheme="minorBidi"/>
          <w:color w:val="auto"/>
          <w:szCs w:val="28"/>
        </w:rPr>
        <w:t>内如</w:t>
      </w:r>
      <w:r>
        <w:rPr>
          <w:rFonts w:hint="eastAsia" w:ascii="仿宋" w:hAnsi="仿宋" w:cstheme="minorBidi"/>
          <w:color w:val="auto"/>
          <w:szCs w:val="28"/>
        </w:rPr>
        <w:t>投资合作伙伴撤出</w:t>
      </w:r>
      <w:r>
        <w:rPr>
          <w:rFonts w:ascii="仿宋" w:hAnsi="仿宋" w:cstheme="minorBidi"/>
          <w:color w:val="auto"/>
          <w:szCs w:val="28"/>
        </w:rPr>
        <w:t>，</w:t>
      </w:r>
      <w:r>
        <w:rPr>
          <w:rFonts w:hint="eastAsia" w:ascii="仿宋" w:hAnsi="仿宋" w:cstheme="minorBidi"/>
          <w:color w:val="auto"/>
          <w:szCs w:val="28"/>
        </w:rPr>
        <w:t>则其已投入的1.5亿元及</w:t>
      </w:r>
      <w:r>
        <w:rPr>
          <w:rFonts w:ascii="仿宋" w:hAnsi="仿宋" w:cstheme="minorBidi"/>
          <w:color w:val="auto"/>
          <w:szCs w:val="28"/>
        </w:rPr>
        <w:t>形成</w:t>
      </w:r>
      <w:r>
        <w:rPr>
          <w:rFonts w:hint="eastAsia" w:ascii="仿宋" w:hAnsi="仿宋" w:cstheme="minorBidi"/>
          <w:color w:val="auto"/>
          <w:szCs w:val="28"/>
        </w:rPr>
        <w:t>的权益</w:t>
      </w:r>
      <w:r>
        <w:rPr>
          <w:rFonts w:ascii="仿宋" w:hAnsi="仿宋" w:cstheme="minorBidi"/>
          <w:color w:val="auto"/>
          <w:szCs w:val="28"/>
        </w:rPr>
        <w:t>归</w:t>
      </w:r>
      <w:r>
        <w:rPr>
          <w:rFonts w:hint="eastAsia" w:ascii="仿宋" w:hAnsi="仿宋" w:cstheme="minorBidi"/>
          <w:color w:val="auto"/>
          <w:szCs w:val="28"/>
        </w:rPr>
        <w:t>鞍山市城市建设投资发展有限公司</w:t>
      </w:r>
      <w:r>
        <w:rPr>
          <w:rFonts w:ascii="仿宋" w:hAnsi="仿宋" w:cstheme="minorBidi"/>
          <w:color w:val="auto"/>
          <w:szCs w:val="28"/>
        </w:rPr>
        <w:t>所有。</w:t>
      </w:r>
    </w:p>
    <w:p>
      <w:pPr>
        <w:spacing w:line="360" w:lineRule="auto"/>
        <w:rPr>
          <w:rFonts w:ascii="仿宋" w:hAnsi="仿宋" w:cstheme="minorBidi"/>
          <w:color w:val="auto"/>
          <w:szCs w:val="28"/>
        </w:rPr>
      </w:pPr>
      <w:r>
        <w:rPr>
          <w:rFonts w:hint="eastAsia" w:ascii="仿宋" w:hAnsi="仿宋" w:cstheme="minorBidi"/>
          <w:color w:val="auto"/>
          <w:szCs w:val="28"/>
        </w:rPr>
        <w:t>（3）在投资合作伙伴经营期间，鞍山市城市建设投资发展有限公司需积极协调鞍山市政府有关部门，为投资伙伴创造良好的营商环境；在同等的条件下优先采购投资伙伴项目中经营的业态产品及服务。</w:t>
      </w:r>
    </w:p>
    <w:p>
      <w:pPr>
        <w:spacing w:line="360" w:lineRule="auto"/>
        <w:rPr>
          <w:rFonts w:ascii="仿宋" w:hAnsi="仿宋" w:cstheme="minorBidi"/>
          <w:color w:val="auto"/>
          <w:szCs w:val="28"/>
        </w:rPr>
      </w:pPr>
      <w:r>
        <w:rPr>
          <w:rFonts w:hint="eastAsia" w:ascii="仿宋" w:hAnsi="仿宋" w:cstheme="minorBidi"/>
          <w:color w:val="auto"/>
          <w:szCs w:val="28"/>
        </w:rPr>
        <w:t>（4）项目经营期间享受鞍山市政府2018年-2030年出台的相关优惠政策。</w:t>
      </w:r>
    </w:p>
    <w:p>
      <w:pPr>
        <w:spacing w:line="360" w:lineRule="auto"/>
        <w:rPr>
          <w:rFonts w:ascii="仿宋" w:hAnsi="仿宋" w:cstheme="minorBidi"/>
          <w:color w:val="auto"/>
          <w:szCs w:val="28"/>
        </w:rPr>
      </w:pPr>
      <w:r>
        <w:rPr>
          <w:rFonts w:hint="eastAsia" w:ascii="仿宋" w:hAnsi="仿宋" w:cstheme="minorBidi"/>
          <w:color w:val="auto"/>
          <w:szCs w:val="28"/>
        </w:rPr>
        <w:t>2、“鞍山市会展宾馆”项目：</w:t>
      </w:r>
    </w:p>
    <w:p>
      <w:pPr>
        <w:spacing w:line="360" w:lineRule="auto"/>
        <w:rPr>
          <w:rFonts w:ascii="仿宋" w:hAnsi="仿宋" w:cstheme="minorBidi"/>
          <w:color w:val="auto"/>
          <w:szCs w:val="28"/>
        </w:rPr>
      </w:pPr>
      <w:r>
        <w:rPr>
          <w:rFonts w:hint="eastAsia" w:ascii="仿宋" w:hAnsi="仿宋" w:cstheme="minorBidi"/>
          <w:color w:val="auto"/>
          <w:szCs w:val="28"/>
        </w:rPr>
        <w:t xml:space="preserve"> （1）完善工程费、支付工程款费、投资合作伙伴装修维护宾馆费用抵顶20年使用租金。</w:t>
      </w:r>
    </w:p>
    <w:p>
      <w:pPr>
        <w:spacing w:line="360" w:lineRule="auto"/>
        <w:rPr>
          <w:rFonts w:ascii="仿宋" w:hAnsi="仿宋" w:cstheme="minorBidi"/>
          <w:color w:val="auto"/>
          <w:szCs w:val="28"/>
        </w:rPr>
      </w:pPr>
      <w:r>
        <w:rPr>
          <w:rFonts w:hint="eastAsia" w:ascii="仿宋" w:hAnsi="仿宋" w:cstheme="minorBidi"/>
          <w:color w:val="auto"/>
          <w:szCs w:val="28"/>
        </w:rPr>
        <w:t>（2）在投资伙伴经营期间，鞍山经济开发区管理委员会需积极协调鞍山市政府有关部门，为投资伙伴创造良好的营商环境；在同等的条件下优先采购投资伙伴项目中经营的业态产品及服务。</w:t>
      </w:r>
    </w:p>
    <w:p>
      <w:pPr>
        <w:spacing w:line="360" w:lineRule="auto"/>
        <w:rPr>
          <w:rFonts w:ascii="仿宋" w:hAnsi="仿宋" w:cstheme="minorBidi"/>
          <w:color w:val="auto"/>
          <w:szCs w:val="28"/>
        </w:rPr>
      </w:pPr>
      <w:r>
        <w:rPr>
          <w:rFonts w:hint="eastAsia" w:ascii="仿宋" w:hAnsi="仿宋" w:cstheme="minorBidi"/>
          <w:color w:val="auto"/>
          <w:szCs w:val="28"/>
        </w:rPr>
        <w:t>（3）项目经营期间享受鞍山市政府2018年-2030年出台的相关优惠政策。</w:t>
      </w:r>
    </w:p>
    <w:p>
      <w:pPr>
        <w:rPr>
          <w:color w:val="auto"/>
        </w:rPr>
      </w:pPr>
      <w:r>
        <w:rPr>
          <w:rFonts w:hint="eastAsia"/>
          <w:color w:val="auto"/>
          <w:lang w:eastAsia="zh-CN"/>
        </w:rPr>
        <w:t>八</w:t>
      </w:r>
      <w:r>
        <w:rPr>
          <w:rFonts w:hint="eastAsia"/>
          <w:color w:val="auto"/>
        </w:rPr>
        <w:t>、资格条件</w:t>
      </w:r>
    </w:p>
    <w:p>
      <w:pPr>
        <w:spacing w:line="360" w:lineRule="auto"/>
        <w:ind w:firstLine="560" w:firstLineChars="200"/>
        <w:rPr>
          <w:rFonts w:hint="eastAsia" w:ascii="仿宋" w:hAnsi="仿宋" w:cstheme="minorBidi"/>
          <w:color w:val="auto"/>
          <w:szCs w:val="28"/>
        </w:rPr>
      </w:pPr>
      <w:r>
        <w:rPr>
          <w:rFonts w:hint="eastAsia" w:ascii="仿宋" w:hAnsi="仿宋" w:cstheme="minorBidi"/>
          <w:color w:val="auto"/>
          <w:szCs w:val="28"/>
        </w:rPr>
        <w:t>谈判小组依据法律法规和招商文件中规定的内容，对投标人的资格进行审查，投标人应按下列要求提交资格证明材料：</w:t>
      </w:r>
    </w:p>
    <w:p>
      <w:pPr>
        <w:spacing w:line="360" w:lineRule="auto"/>
        <w:rPr>
          <w:rFonts w:hint="eastAsia" w:ascii="仿宋" w:hAnsi="仿宋" w:cstheme="minorBidi"/>
          <w:color w:val="auto"/>
          <w:szCs w:val="28"/>
        </w:rPr>
      </w:pPr>
      <w:r>
        <w:rPr>
          <w:rFonts w:hint="eastAsia" w:ascii="仿宋" w:hAnsi="仿宋" w:cstheme="minorBidi"/>
          <w:color w:val="auto"/>
          <w:szCs w:val="28"/>
        </w:rPr>
        <w:t>（1）法定代表人身份证明书原件或授权委托书原件。</w:t>
      </w:r>
    </w:p>
    <w:p>
      <w:pPr>
        <w:spacing w:line="360" w:lineRule="auto"/>
        <w:rPr>
          <w:rFonts w:hint="eastAsia" w:ascii="仿宋" w:hAnsi="仿宋" w:cstheme="minorBidi"/>
          <w:color w:val="auto"/>
          <w:szCs w:val="28"/>
        </w:rPr>
      </w:pPr>
      <w:r>
        <w:rPr>
          <w:rFonts w:hint="eastAsia" w:ascii="仿宋" w:hAnsi="仿宋" w:cstheme="minorBidi"/>
          <w:color w:val="auto"/>
          <w:szCs w:val="28"/>
        </w:rPr>
        <w:t>（2）营业执照副本（复印件加盖单位公章）</w:t>
      </w:r>
    </w:p>
    <w:p>
      <w:pPr>
        <w:spacing w:line="360" w:lineRule="auto"/>
        <w:rPr>
          <w:rFonts w:hint="eastAsia" w:ascii="仿宋" w:hAnsi="仿宋" w:cstheme="minorBidi"/>
          <w:color w:val="auto"/>
          <w:szCs w:val="28"/>
        </w:rPr>
      </w:pPr>
      <w:r>
        <w:rPr>
          <w:rFonts w:hint="eastAsia" w:ascii="仿宋" w:hAnsi="仿宋" w:cstheme="minorBidi"/>
          <w:color w:val="auto"/>
          <w:szCs w:val="28"/>
        </w:rPr>
        <w:t>（3）投资合作伙伴的注册资本在人民币2500万元以上。</w:t>
      </w:r>
    </w:p>
    <w:p>
      <w:pPr>
        <w:spacing w:line="360" w:lineRule="auto"/>
        <w:rPr>
          <w:rFonts w:hint="eastAsia" w:ascii="仿宋" w:hAnsi="仿宋" w:cstheme="minorBidi"/>
          <w:color w:val="auto"/>
          <w:szCs w:val="28"/>
        </w:rPr>
      </w:pPr>
      <w:r>
        <w:rPr>
          <w:rFonts w:hint="eastAsia" w:ascii="仿宋" w:hAnsi="仿宋" w:cstheme="minorBidi"/>
          <w:color w:val="auto"/>
          <w:szCs w:val="28"/>
        </w:rPr>
        <w:t>（4）投资合作伙伴具备成功的类似项目投资经验（类似项目经验需要提供合同或其他证明文件的复印件并加盖单位公章，文件较多，可提供主要页）。  </w:t>
      </w:r>
    </w:p>
    <w:p>
      <w:pPr>
        <w:spacing w:line="360" w:lineRule="auto"/>
        <w:ind w:firstLine="560" w:firstLineChars="200"/>
        <w:rPr>
          <w:rFonts w:ascii="仿宋" w:hAnsi="仿宋" w:cstheme="minorBidi"/>
          <w:color w:val="auto"/>
          <w:szCs w:val="28"/>
        </w:rPr>
      </w:pPr>
      <w:r>
        <w:rPr>
          <w:rFonts w:hint="eastAsia" w:ascii="仿宋" w:hAnsi="仿宋" w:cstheme="minorBidi"/>
          <w:color w:val="auto"/>
          <w:szCs w:val="28"/>
        </w:rPr>
        <w:t>未通过资格审查的投标人不能进入评标，其投标将被认定为投标无效；本次招商经资格审查后，符合要求单位少于三家时，招商工作可继续进行。</w:t>
      </w:r>
    </w:p>
    <w:p>
      <w:pPr>
        <w:rPr>
          <w:color w:val="auto"/>
        </w:rPr>
      </w:pPr>
      <w:r>
        <w:rPr>
          <w:rFonts w:hint="eastAsia"/>
          <w:color w:val="auto"/>
          <w:lang w:eastAsia="zh-CN"/>
        </w:rPr>
        <w:t>九</w:t>
      </w:r>
      <w:r>
        <w:rPr>
          <w:rFonts w:hint="eastAsia"/>
          <w:color w:val="auto"/>
        </w:rPr>
        <w:t>、联合体</w:t>
      </w:r>
    </w:p>
    <w:p>
      <w:pPr>
        <w:spacing w:line="360" w:lineRule="auto"/>
        <w:rPr>
          <w:rFonts w:ascii="仿宋" w:hAnsi="仿宋" w:cstheme="minorBidi"/>
          <w:color w:val="auto"/>
          <w:szCs w:val="28"/>
        </w:rPr>
      </w:pPr>
      <w:r>
        <w:rPr>
          <w:rFonts w:hint="eastAsia" w:ascii="仿宋" w:hAnsi="仿宋" w:cstheme="minorBidi"/>
          <w:color w:val="auto"/>
          <w:szCs w:val="28"/>
        </w:rPr>
        <w:t xml:space="preserve">    本项目招商不允许采用联合体模式。</w:t>
      </w:r>
    </w:p>
    <w:p>
      <w:pPr>
        <w:rPr>
          <w:color w:val="auto"/>
        </w:rPr>
      </w:pPr>
      <w:r>
        <w:rPr>
          <w:rFonts w:hint="eastAsia"/>
          <w:color w:val="auto"/>
        </w:rPr>
        <w:t>十、招商文件获取</w:t>
      </w:r>
    </w:p>
    <w:p>
      <w:pPr>
        <w:spacing w:line="360" w:lineRule="auto"/>
        <w:rPr>
          <w:rFonts w:ascii="仿宋" w:hAnsi="仿宋" w:cstheme="minorBidi"/>
          <w:color w:val="auto"/>
          <w:szCs w:val="28"/>
        </w:rPr>
      </w:pPr>
      <w:r>
        <w:rPr>
          <w:rFonts w:hint="eastAsia" w:ascii="仿宋" w:hAnsi="仿宋" w:cstheme="minorBidi"/>
          <w:color w:val="auto"/>
          <w:szCs w:val="28"/>
        </w:rPr>
        <w:t xml:space="preserve">    </w:t>
      </w:r>
      <w:r>
        <w:rPr>
          <w:rFonts w:hint="eastAsia" w:ascii="仿宋" w:hAnsi="仿宋" w:cs="Times New Roman"/>
          <w:szCs w:val="28"/>
        </w:rPr>
        <w:t>投资合作伙伴</w:t>
      </w:r>
      <w:r>
        <w:rPr>
          <w:rFonts w:hint="eastAsia" w:ascii="仿宋" w:hAnsi="仿宋" w:cs="Times New Roman"/>
          <w:szCs w:val="28"/>
          <w:lang w:eastAsia="zh-CN"/>
        </w:rPr>
        <w:t>从即日起至</w:t>
      </w:r>
      <w:r>
        <w:rPr>
          <w:rFonts w:hint="eastAsia" w:ascii="仿宋" w:hAnsi="仿宋" w:cs="Times New Roman"/>
          <w:szCs w:val="28"/>
          <w:lang w:val="en-US" w:eastAsia="zh-CN"/>
        </w:rPr>
        <w:t>2020年7月28日</w:t>
      </w:r>
      <w:r>
        <w:rPr>
          <w:rFonts w:hint="eastAsia" w:ascii="仿宋" w:hAnsi="仿宋" w:cs="Times New Roman"/>
          <w:szCs w:val="28"/>
        </w:rPr>
        <w:t>在</w:t>
      </w:r>
      <w:r>
        <w:rPr>
          <w:rFonts w:hint="eastAsia" w:ascii="仿宋" w:hAnsi="仿宋" w:cs="Times New Roman"/>
          <w:szCs w:val="28"/>
          <w:lang w:eastAsia="zh-CN"/>
        </w:rPr>
        <w:t>网上免费获取</w:t>
      </w:r>
      <w:r>
        <w:rPr>
          <w:rFonts w:hint="eastAsia" w:ascii="仿宋" w:hAnsi="仿宋" w:cs="Times New Roman"/>
          <w:szCs w:val="28"/>
        </w:rPr>
        <w:t>。</w:t>
      </w:r>
    </w:p>
    <w:p>
      <w:pPr>
        <w:rPr>
          <w:color w:val="auto"/>
        </w:rPr>
      </w:pPr>
      <w:r>
        <w:rPr>
          <w:rFonts w:hint="eastAsia"/>
          <w:color w:val="auto"/>
        </w:rPr>
        <w:t>十</w:t>
      </w:r>
      <w:r>
        <w:rPr>
          <w:rFonts w:hint="eastAsia"/>
          <w:color w:val="auto"/>
          <w:lang w:eastAsia="zh-CN"/>
        </w:rPr>
        <w:t>一</w:t>
      </w:r>
      <w:r>
        <w:rPr>
          <w:rFonts w:hint="eastAsia"/>
          <w:color w:val="auto"/>
        </w:rPr>
        <w:t>、投资合作伙伴要求澄清招商文件的方式、截止时间</w:t>
      </w:r>
    </w:p>
    <w:p>
      <w:pPr>
        <w:spacing w:line="360" w:lineRule="auto"/>
        <w:rPr>
          <w:rFonts w:ascii="仿宋" w:hAnsi="仿宋" w:cstheme="minorBidi"/>
          <w:color w:val="auto"/>
          <w:szCs w:val="28"/>
        </w:rPr>
      </w:pPr>
      <w:r>
        <w:rPr>
          <w:rFonts w:hint="eastAsia" w:ascii="仿宋" w:hAnsi="仿宋" w:cstheme="minorBidi"/>
          <w:color w:val="auto"/>
          <w:szCs w:val="28"/>
        </w:rPr>
        <w:t xml:space="preserve">    投资合作伙伴可向招商人书面提出对招商文件进行澄清的要求，但上述要求需不迟干招商答辩日期前5 (五)日历天提出。对非书面形式提出的澄清要求，将不予以解答。</w:t>
      </w:r>
    </w:p>
    <w:p>
      <w:pPr>
        <w:rPr>
          <w:color w:val="auto"/>
        </w:rPr>
      </w:pPr>
      <w:r>
        <w:rPr>
          <w:rFonts w:hint="eastAsia"/>
          <w:color w:val="auto"/>
        </w:rPr>
        <w:t>十</w:t>
      </w:r>
      <w:r>
        <w:rPr>
          <w:rFonts w:hint="eastAsia"/>
          <w:color w:val="auto"/>
          <w:lang w:eastAsia="zh-CN"/>
        </w:rPr>
        <w:t>二</w:t>
      </w:r>
      <w:r>
        <w:rPr>
          <w:rFonts w:hint="eastAsia"/>
          <w:color w:val="auto"/>
        </w:rPr>
        <w:t>、招商文件的澄清、补充</w:t>
      </w:r>
    </w:p>
    <w:p>
      <w:pPr>
        <w:spacing w:line="360" w:lineRule="auto"/>
        <w:rPr>
          <w:rFonts w:ascii="仿宋" w:hAnsi="仿宋" w:cstheme="minorBidi"/>
          <w:color w:val="auto"/>
          <w:szCs w:val="28"/>
        </w:rPr>
      </w:pPr>
      <w:r>
        <w:rPr>
          <w:rFonts w:hint="eastAsia" w:ascii="仿宋" w:hAnsi="仿宋" w:cstheme="minorBidi"/>
          <w:color w:val="auto"/>
          <w:szCs w:val="28"/>
        </w:rPr>
        <w:t xml:space="preserve">    招商人将以补充通知的形式(书面或电子邮件)不迟于招商答辩日期前3(三)日历天做出答复，并通知所有投资合作伙伴。该答复将不指出问题来源。</w:t>
      </w:r>
    </w:p>
    <w:p>
      <w:pPr>
        <w:rPr>
          <w:rFonts w:hint="eastAsia" w:eastAsia="仿宋"/>
          <w:color w:val="auto"/>
          <w:lang w:eastAsia="zh-CN"/>
        </w:rPr>
      </w:pPr>
      <w:r>
        <w:rPr>
          <w:rFonts w:hint="eastAsia"/>
          <w:color w:val="auto"/>
        </w:rPr>
        <w:t>十</w:t>
      </w:r>
      <w:r>
        <w:rPr>
          <w:rFonts w:hint="eastAsia"/>
          <w:color w:val="auto"/>
          <w:lang w:eastAsia="zh-CN"/>
        </w:rPr>
        <w:t>三</w:t>
      </w:r>
      <w:r>
        <w:rPr>
          <w:rFonts w:hint="eastAsia"/>
          <w:color w:val="auto"/>
        </w:rPr>
        <w:t>、招商答辩</w:t>
      </w:r>
      <w:r>
        <w:rPr>
          <w:rFonts w:hint="eastAsia"/>
          <w:color w:val="auto"/>
          <w:lang w:eastAsia="zh-CN"/>
        </w:rPr>
        <w:t>、招商文件递交</w:t>
      </w:r>
    </w:p>
    <w:p>
      <w:pPr>
        <w:spacing w:line="360" w:lineRule="auto"/>
        <w:rPr>
          <w:rFonts w:hint="default" w:ascii="仿宋" w:hAnsi="仿宋" w:eastAsia="仿宋" w:cstheme="minorBidi"/>
          <w:color w:val="auto"/>
          <w:szCs w:val="28"/>
          <w:lang w:val="en-US" w:eastAsia="zh-CN"/>
        </w:rPr>
      </w:pPr>
      <w:r>
        <w:rPr>
          <w:rFonts w:hint="eastAsia" w:ascii="仿宋" w:hAnsi="仿宋" w:cstheme="minorBidi"/>
          <w:color w:val="auto"/>
          <w:szCs w:val="28"/>
        </w:rPr>
        <w:t>1、时间:</w:t>
      </w:r>
      <w:r>
        <w:rPr>
          <w:rFonts w:ascii="仿宋" w:hAnsi="仿宋" w:cstheme="minorBidi"/>
          <w:color w:val="auto"/>
          <w:szCs w:val="28"/>
        </w:rPr>
        <w:t xml:space="preserve"> </w:t>
      </w:r>
      <w:r>
        <w:rPr>
          <w:rFonts w:hint="eastAsia" w:ascii="仿宋" w:hAnsi="仿宋" w:cstheme="minorBidi"/>
          <w:color w:val="auto"/>
          <w:szCs w:val="28"/>
        </w:rPr>
        <w:t>2020年7月29日</w:t>
      </w:r>
      <w:r>
        <w:rPr>
          <w:rFonts w:hint="eastAsia" w:ascii="仿宋" w:hAnsi="仿宋" w:cstheme="minorBidi"/>
          <w:color w:val="auto"/>
          <w:szCs w:val="28"/>
          <w:lang w:val="en-US" w:eastAsia="zh-CN"/>
        </w:rPr>
        <w:t>10：00</w:t>
      </w:r>
    </w:p>
    <w:p>
      <w:pPr>
        <w:spacing w:line="360" w:lineRule="auto"/>
        <w:rPr>
          <w:rFonts w:ascii="仿宋" w:hAnsi="仿宋" w:cstheme="minorBidi"/>
          <w:color w:val="auto"/>
          <w:szCs w:val="28"/>
        </w:rPr>
      </w:pPr>
      <w:r>
        <w:rPr>
          <w:rFonts w:hint="eastAsia" w:ascii="仿宋" w:hAnsi="仿宋" w:cstheme="minorBidi"/>
          <w:color w:val="auto"/>
          <w:szCs w:val="28"/>
        </w:rPr>
        <w:t>2、地点:</w:t>
      </w:r>
      <w:r>
        <w:rPr>
          <w:rFonts w:hint="eastAsia" w:ascii="仿宋" w:hAnsi="仿宋" w:cstheme="minorBidi"/>
          <w:color w:val="auto"/>
          <w:szCs w:val="28"/>
          <w:lang w:eastAsia="zh-CN"/>
        </w:rPr>
        <w:t>鞍山市公共资源交易中心</w:t>
      </w:r>
      <w:r>
        <w:rPr>
          <w:rFonts w:hint="eastAsia" w:ascii="仿宋" w:hAnsi="仿宋" w:cstheme="minorBidi"/>
          <w:color w:val="auto"/>
          <w:szCs w:val="28"/>
          <w:lang w:val="en-US" w:eastAsia="zh-CN"/>
        </w:rPr>
        <w:t>221</w:t>
      </w:r>
      <w:r>
        <w:rPr>
          <w:rFonts w:hint="eastAsia" w:ascii="仿宋" w:hAnsi="仿宋" w:cstheme="minorBidi"/>
          <w:color w:val="auto"/>
          <w:szCs w:val="28"/>
        </w:rPr>
        <w:t xml:space="preserve"> </w:t>
      </w:r>
    </w:p>
    <w:p>
      <w:pPr>
        <w:spacing w:line="360" w:lineRule="auto"/>
        <w:rPr>
          <w:rFonts w:hint="eastAsia" w:ascii="仿宋" w:hAnsi="仿宋" w:cstheme="minorBidi"/>
          <w:color w:val="auto"/>
          <w:szCs w:val="28"/>
        </w:rPr>
      </w:pPr>
      <w:r>
        <w:rPr>
          <w:rFonts w:hint="eastAsia" w:ascii="仿宋" w:hAnsi="仿宋" w:cstheme="minorBidi"/>
          <w:color w:val="auto"/>
          <w:szCs w:val="28"/>
        </w:rPr>
        <w:t>3、招商答辩时投资合作伙伴应当递交招商文件中要求的响应文件</w:t>
      </w:r>
    </w:p>
    <w:p>
      <w:pPr>
        <w:spacing w:line="360" w:lineRule="auto"/>
        <w:rPr>
          <w:rFonts w:hint="eastAsia" w:ascii="仿宋" w:hAnsi="仿宋" w:eastAsia="仿宋" w:cstheme="minorBidi"/>
          <w:color w:val="auto"/>
          <w:szCs w:val="28"/>
          <w:lang w:val="en-US" w:eastAsia="zh-CN"/>
        </w:rPr>
      </w:pPr>
      <w:r>
        <w:rPr>
          <w:rFonts w:hint="eastAsia" w:ascii="仿宋" w:hAnsi="仿宋" w:cstheme="minorBidi"/>
          <w:color w:val="auto"/>
          <w:szCs w:val="28"/>
          <w:lang w:val="en-US" w:eastAsia="zh-CN"/>
        </w:rPr>
        <w:t>4、对于到现场参与答辩活动所有人员，按照国家、省市疫情防控最新部署相关要求执行。</w:t>
      </w:r>
    </w:p>
    <w:p>
      <w:pPr>
        <w:rPr>
          <w:color w:val="auto"/>
        </w:rPr>
      </w:pPr>
      <w:r>
        <w:rPr>
          <w:rFonts w:hint="eastAsia"/>
          <w:color w:val="auto"/>
        </w:rPr>
        <w:t>十</w:t>
      </w:r>
      <w:r>
        <w:rPr>
          <w:rFonts w:hint="eastAsia"/>
          <w:color w:val="auto"/>
          <w:lang w:eastAsia="zh-CN"/>
        </w:rPr>
        <w:t>四</w:t>
      </w:r>
      <w:r>
        <w:rPr>
          <w:rFonts w:hint="eastAsia"/>
          <w:color w:val="auto"/>
        </w:rPr>
        <w:t>、招商谈判小组</w:t>
      </w:r>
    </w:p>
    <w:p>
      <w:pPr>
        <w:spacing w:line="360" w:lineRule="auto"/>
        <w:rPr>
          <w:rFonts w:ascii="仿宋" w:hAnsi="仿宋" w:cstheme="minorBidi"/>
          <w:color w:val="auto"/>
          <w:szCs w:val="28"/>
        </w:rPr>
      </w:pPr>
      <w:r>
        <w:rPr>
          <w:rFonts w:hint="eastAsia" w:ascii="仿宋" w:hAnsi="仿宋" w:cstheme="minorBidi"/>
          <w:color w:val="auto"/>
          <w:szCs w:val="28"/>
        </w:rPr>
        <w:t xml:space="preserve">   招商单位组建7人以上单数的谈判小组(小组成员由招商单位及相关专家组成，招商单位进入2人，其余5人按1:3的比例建库后随机抽取)，小组中成员包含工程、法律、财务等专家，与投资合作伙伴进行项目答辩，谈判小组采用综合评分法对投资合作伙伴进行评分。</w:t>
      </w:r>
    </w:p>
    <w:p>
      <w:pPr>
        <w:rPr>
          <w:color w:val="auto"/>
        </w:rPr>
      </w:pPr>
      <w:r>
        <w:rPr>
          <w:rFonts w:hint="eastAsia"/>
          <w:color w:val="auto"/>
        </w:rPr>
        <w:t>十</w:t>
      </w:r>
      <w:r>
        <w:rPr>
          <w:rFonts w:hint="eastAsia"/>
          <w:color w:val="auto"/>
          <w:lang w:eastAsia="zh-CN"/>
        </w:rPr>
        <w:t>五</w:t>
      </w:r>
      <w:r>
        <w:rPr>
          <w:rFonts w:hint="eastAsia"/>
          <w:color w:val="auto"/>
        </w:rPr>
        <w:t>、投资合作伙伴答辩小组</w:t>
      </w:r>
    </w:p>
    <w:p>
      <w:pPr>
        <w:spacing w:line="360" w:lineRule="auto"/>
        <w:rPr>
          <w:rFonts w:ascii="仿宋" w:hAnsi="仿宋" w:cstheme="minorBidi"/>
          <w:color w:val="auto"/>
          <w:szCs w:val="28"/>
        </w:rPr>
      </w:pPr>
      <w:r>
        <w:rPr>
          <w:rFonts w:hint="eastAsia" w:ascii="仿宋" w:hAnsi="仿宋" w:cstheme="minorBidi"/>
          <w:color w:val="auto"/>
          <w:szCs w:val="28"/>
        </w:rPr>
        <w:t>1、投资合作伙伴应组建答辩小组，答辩小组组长由投资合作伙伴的法定代表人或经过授权的</w:t>
      </w:r>
      <w:r>
        <w:rPr>
          <w:rFonts w:hint="eastAsia" w:ascii="仿宋" w:hAnsi="仿宋" w:cstheme="minorBidi"/>
          <w:color w:val="auto"/>
          <w:szCs w:val="28"/>
          <w:lang w:eastAsia="zh-CN"/>
        </w:rPr>
        <w:t>授权委托人</w:t>
      </w:r>
      <w:r>
        <w:rPr>
          <w:rFonts w:hint="eastAsia" w:ascii="仿宋" w:hAnsi="仿宋" w:cstheme="minorBidi"/>
          <w:color w:val="auto"/>
          <w:szCs w:val="28"/>
        </w:rPr>
        <w:t>(均需提供证明文件)担任，小组成员应当包括且不限于工程、财务、法律等方面的专业人才。</w:t>
      </w:r>
    </w:p>
    <w:p>
      <w:pPr>
        <w:spacing w:line="360" w:lineRule="auto"/>
        <w:rPr>
          <w:rFonts w:ascii="仿宋" w:hAnsi="仿宋" w:cstheme="minorBidi"/>
          <w:color w:val="auto"/>
          <w:szCs w:val="28"/>
        </w:rPr>
      </w:pPr>
      <w:r>
        <w:rPr>
          <w:rFonts w:hint="eastAsia" w:ascii="仿宋" w:hAnsi="仿宋" w:cstheme="minorBidi"/>
          <w:color w:val="auto"/>
          <w:szCs w:val="28"/>
        </w:rPr>
        <w:t>2、法定代表人或经过授权的</w:t>
      </w:r>
      <w:r>
        <w:rPr>
          <w:rFonts w:hint="eastAsia" w:ascii="仿宋" w:hAnsi="仿宋" w:cstheme="minorBidi"/>
          <w:color w:val="auto"/>
          <w:szCs w:val="28"/>
          <w:lang w:eastAsia="zh-CN"/>
        </w:rPr>
        <w:t>授权委托人</w:t>
      </w:r>
      <w:r>
        <w:rPr>
          <w:rFonts w:hint="eastAsia" w:ascii="仿宋" w:hAnsi="仿宋" w:cstheme="minorBidi"/>
          <w:color w:val="auto"/>
          <w:szCs w:val="28"/>
        </w:rPr>
        <w:t>参加招商答辩会须对项目的响应文件进行说明及答辩，其中说明时间不超过30分钟。</w:t>
      </w:r>
    </w:p>
    <w:p>
      <w:pPr>
        <w:spacing w:line="360" w:lineRule="auto"/>
        <w:rPr>
          <w:rFonts w:ascii="仿宋" w:hAnsi="仿宋" w:cstheme="minorBidi"/>
          <w:color w:val="auto"/>
          <w:szCs w:val="28"/>
        </w:rPr>
      </w:pPr>
      <w:r>
        <w:rPr>
          <w:rFonts w:hint="eastAsia" w:ascii="仿宋" w:hAnsi="仿宋" w:cstheme="minorBidi"/>
          <w:color w:val="auto"/>
          <w:szCs w:val="28"/>
        </w:rPr>
        <w:t>3、如投资合作伙伴招商答辩的内容与响应文件不一致，以招商答辩为准。</w:t>
      </w:r>
    </w:p>
    <w:p>
      <w:pPr>
        <w:rPr>
          <w:rFonts w:hint="eastAsia"/>
          <w:color w:val="auto"/>
        </w:rPr>
      </w:pPr>
      <w:r>
        <w:rPr>
          <w:rFonts w:hint="eastAsia"/>
          <w:color w:val="auto"/>
        </w:rPr>
        <w:t>十</w:t>
      </w:r>
      <w:r>
        <w:rPr>
          <w:rFonts w:hint="eastAsia"/>
          <w:color w:val="auto"/>
          <w:lang w:eastAsia="zh-CN"/>
        </w:rPr>
        <w:t>六</w:t>
      </w:r>
      <w:r>
        <w:rPr>
          <w:rFonts w:hint="eastAsia"/>
          <w:color w:val="auto"/>
        </w:rPr>
        <w:t>、本项目不允许递交备选投资合作伙伴案</w:t>
      </w:r>
    </w:p>
    <w:p>
      <w:pPr>
        <w:rPr>
          <w:rFonts w:hint="eastAsia"/>
          <w:color w:val="auto"/>
          <w:lang w:eastAsia="zh-CN"/>
        </w:rPr>
      </w:pPr>
      <w:r>
        <w:rPr>
          <w:rFonts w:hint="eastAsia"/>
          <w:color w:val="auto"/>
          <w:lang w:eastAsia="zh-CN"/>
        </w:rPr>
        <w:t>十七、招商公告发布的媒体：在鞍山市政府网站、鞍山市公共资源交易服务平台。</w:t>
      </w:r>
    </w:p>
    <w:p>
      <w:pPr>
        <w:spacing w:line="360" w:lineRule="auto"/>
        <w:jc w:val="right"/>
        <w:rPr>
          <w:rFonts w:ascii="仿宋" w:hAnsi="仿宋" w:cs="Times New Roman"/>
          <w:szCs w:val="28"/>
        </w:rPr>
      </w:pPr>
      <w:r>
        <w:rPr>
          <w:rFonts w:hint="eastAsia" w:ascii="仿宋" w:hAnsi="仿宋" w:cs="Times New Roman"/>
          <w:szCs w:val="28"/>
        </w:rPr>
        <w:t>辽宁方信工程咨询有限公司</w:t>
      </w:r>
    </w:p>
    <w:p>
      <w:pPr>
        <w:jc w:val="right"/>
        <w:rPr>
          <w:rFonts w:hint="default" w:eastAsia="仿宋"/>
          <w:color w:val="auto"/>
          <w:lang w:val="en-US" w:eastAsia="zh-CN"/>
        </w:rPr>
      </w:pPr>
      <w:bookmarkStart w:id="25" w:name="_GoBack"/>
      <w:bookmarkEnd w:id="25"/>
      <w:r>
        <w:rPr>
          <w:rFonts w:hint="eastAsia"/>
          <w:color w:val="auto"/>
          <w:lang w:val="en-US" w:eastAsia="zh-CN"/>
        </w:rPr>
        <w:t>2020年7月8日</w:t>
      </w:r>
    </w:p>
    <w:p>
      <w:pPr>
        <w:spacing w:line="360" w:lineRule="auto"/>
        <w:rPr>
          <w:rFonts w:ascii="仿宋" w:hAnsi="仿宋" w:cstheme="minorBidi"/>
          <w:color w:val="auto"/>
          <w:szCs w:val="28"/>
        </w:rPr>
      </w:pPr>
    </w:p>
    <w:p>
      <w:pPr>
        <w:spacing w:line="360" w:lineRule="auto"/>
        <w:rPr>
          <w:rFonts w:ascii="仿宋" w:hAnsi="仿宋" w:cstheme="minorBidi"/>
          <w:color w:val="auto"/>
          <w:szCs w:val="28"/>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hint="eastAsia" w:ascii="仿宋" w:hAnsi="仿宋"/>
          <w:b/>
          <w:bCs/>
          <w:color w:val="auto"/>
          <w:spacing w:val="56"/>
          <w:sz w:val="24"/>
        </w:rPr>
      </w:pPr>
    </w:p>
    <w:p>
      <w:pPr>
        <w:spacing w:line="360" w:lineRule="auto"/>
        <w:rPr>
          <w:rFonts w:hint="eastAsia" w:ascii="仿宋" w:hAnsi="仿宋"/>
          <w:b/>
          <w:bCs/>
          <w:color w:val="auto"/>
          <w:spacing w:val="56"/>
          <w:sz w:val="24"/>
        </w:rPr>
      </w:pPr>
    </w:p>
    <w:p>
      <w:pPr>
        <w:spacing w:line="360" w:lineRule="auto"/>
        <w:rPr>
          <w:rFonts w:hint="eastAsia" w:ascii="仿宋" w:hAnsi="仿宋"/>
          <w:b/>
          <w:bCs/>
          <w:color w:val="auto"/>
          <w:spacing w:val="56"/>
          <w:sz w:val="24"/>
        </w:rPr>
      </w:pPr>
    </w:p>
    <w:p>
      <w:pPr>
        <w:spacing w:line="360" w:lineRule="auto"/>
        <w:rPr>
          <w:rFonts w:hint="eastAsia"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spacing w:line="360" w:lineRule="auto"/>
        <w:rPr>
          <w:rFonts w:ascii="仿宋" w:hAnsi="仿宋"/>
          <w:b/>
          <w:bCs/>
          <w:color w:val="auto"/>
          <w:spacing w:val="56"/>
          <w:sz w:val="24"/>
        </w:rPr>
      </w:pPr>
    </w:p>
    <w:p>
      <w:pPr>
        <w:pStyle w:val="2"/>
        <w:rPr>
          <w:b w:val="0"/>
          <w:bCs w:val="0"/>
          <w:color w:val="auto"/>
          <w:spacing w:val="56"/>
        </w:rPr>
      </w:pPr>
      <w:bookmarkStart w:id="1" w:name="_Toc76184871"/>
      <w:bookmarkStart w:id="2" w:name="_Toc105551447"/>
      <w:bookmarkStart w:id="3" w:name="_Toc76185473"/>
      <w:bookmarkStart w:id="4" w:name="_Toc24223"/>
      <w:r>
        <w:rPr>
          <w:rFonts w:hint="eastAsia"/>
          <w:color w:val="auto"/>
        </w:rPr>
        <w:t>投标须知及投标须知前附表</w:t>
      </w:r>
      <w:bookmarkEnd w:id="1"/>
      <w:bookmarkEnd w:id="2"/>
      <w:bookmarkEnd w:id="3"/>
      <w:bookmarkEnd w:id="4"/>
    </w:p>
    <w:p>
      <w:pPr>
        <w:pStyle w:val="3"/>
        <w:rPr>
          <w:color w:val="auto"/>
        </w:rPr>
      </w:pPr>
      <w:bookmarkStart w:id="5" w:name="_Toc105551448"/>
      <w:bookmarkStart w:id="6" w:name="_Toc76185474"/>
      <w:bookmarkStart w:id="7" w:name="_Toc6859"/>
      <w:bookmarkStart w:id="8" w:name="_Toc76184872"/>
      <w:r>
        <w:rPr>
          <w:rFonts w:hint="eastAsia"/>
          <w:color w:val="auto"/>
        </w:rPr>
        <w:t>一、投标须知前附表</w:t>
      </w:r>
      <w:bookmarkEnd w:id="5"/>
      <w:bookmarkEnd w:id="6"/>
      <w:bookmarkEnd w:id="7"/>
      <w:bookmarkEnd w:id="8"/>
    </w:p>
    <w:tbl>
      <w:tblPr>
        <w:tblStyle w:val="32"/>
        <w:tblW w:w="8431" w:type="dxa"/>
        <w:tblInd w:w="10" w:type="dxa"/>
        <w:tblLayout w:type="fixed"/>
        <w:tblCellMar>
          <w:top w:w="0" w:type="dxa"/>
          <w:left w:w="0" w:type="dxa"/>
          <w:bottom w:w="0" w:type="dxa"/>
          <w:right w:w="0" w:type="dxa"/>
        </w:tblCellMar>
      </w:tblPr>
      <w:tblGrid>
        <w:gridCol w:w="567"/>
        <w:gridCol w:w="2435"/>
        <w:gridCol w:w="5429"/>
      </w:tblGrid>
      <w:tr>
        <w:trPr>
          <w:trHeight w:val="658"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序号</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名称</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内    容</w:t>
            </w:r>
          </w:p>
        </w:tc>
      </w:tr>
      <w:tr>
        <w:tblPrEx>
          <w:tblCellMar>
            <w:top w:w="0" w:type="dxa"/>
            <w:left w:w="0" w:type="dxa"/>
            <w:bottom w:w="0" w:type="dxa"/>
            <w:right w:w="0" w:type="dxa"/>
          </w:tblCellMar>
        </w:tblPrEx>
        <w:trPr>
          <w:trHeight w:val="589"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kern w:val="0"/>
                <w:sz w:val="24"/>
              </w:rPr>
            </w:pPr>
            <w:r>
              <w:rPr>
                <w:rFonts w:hint="eastAsia" w:ascii="仿宋" w:hAnsi="仿宋" w:cs="宋体"/>
                <w:color w:val="auto"/>
                <w:kern w:val="0"/>
                <w:sz w:val="24"/>
              </w:rPr>
              <w:t>1</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kern w:val="0"/>
                <w:sz w:val="24"/>
              </w:rPr>
            </w:pPr>
            <w:r>
              <w:rPr>
                <w:rFonts w:hint="eastAsia" w:ascii="仿宋" w:hAnsi="仿宋"/>
                <w:color w:val="auto"/>
                <w:sz w:val="24"/>
              </w:rPr>
              <w:t>响应文件的组成</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olor w:val="auto"/>
                <w:sz w:val="24"/>
              </w:rPr>
            </w:pPr>
            <w:r>
              <w:rPr>
                <w:rFonts w:hint="eastAsia" w:ascii="仿宋" w:hAnsi="仿宋"/>
                <w:color w:val="auto"/>
                <w:sz w:val="24"/>
              </w:rPr>
              <w:t>响应文件主要包括以下部分：</w:t>
            </w:r>
          </w:p>
          <w:p>
            <w:pPr>
              <w:spacing w:line="360" w:lineRule="auto"/>
              <w:jc w:val="left"/>
              <w:rPr>
                <w:rFonts w:ascii="仿宋" w:hAnsi="仿宋"/>
                <w:color w:val="auto"/>
                <w:sz w:val="24"/>
              </w:rPr>
            </w:pPr>
            <w:r>
              <w:rPr>
                <w:rFonts w:hint="eastAsia" w:ascii="仿宋" w:hAnsi="仿宋"/>
                <w:color w:val="auto"/>
                <w:sz w:val="24"/>
              </w:rPr>
              <w:t>1、投资合作伙伴致函</w:t>
            </w:r>
          </w:p>
          <w:p>
            <w:pPr>
              <w:spacing w:line="360" w:lineRule="auto"/>
              <w:jc w:val="left"/>
              <w:rPr>
                <w:rFonts w:ascii="仿宋" w:hAnsi="仿宋"/>
                <w:color w:val="auto"/>
                <w:sz w:val="24"/>
              </w:rPr>
            </w:pPr>
            <w:r>
              <w:rPr>
                <w:rFonts w:hint="eastAsia" w:ascii="仿宋" w:hAnsi="仿宋"/>
                <w:color w:val="auto"/>
                <w:sz w:val="24"/>
              </w:rPr>
              <w:t>2.营业执照；</w:t>
            </w:r>
          </w:p>
          <w:p>
            <w:pPr>
              <w:spacing w:line="360" w:lineRule="auto"/>
              <w:jc w:val="left"/>
              <w:rPr>
                <w:rFonts w:ascii="仿宋" w:hAnsi="仿宋"/>
                <w:color w:val="auto"/>
                <w:sz w:val="24"/>
              </w:rPr>
            </w:pPr>
            <w:r>
              <w:rPr>
                <w:rFonts w:hint="eastAsia" w:ascii="仿宋" w:hAnsi="仿宋"/>
                <w:color w:val="auto"/>
                <w:sz w:val="24"/>
              </w:rPr>
              <w:t>3法定代表人身份证明书；</w:t>
            </w:r>
          </w:p>
          <w:p>
            <w:pPr>
              <w:spacing w:line="360" w:lineRule="auto"/>
              <w:jc w:val="left"/>
              <w:rPr>
                <w:rFonts w:ascii="仿宋" w:hAnsi="仿宋"/>
                <w:color w:val="auto"/>
                <w:sz w:val="24"/>
              </w:rPr>
            </w:pPr>
            <w:r>
              <w:rPr>
                <w:rFonts w:hint="eastAsia" w:ascii="仿宋" w:hAnsi="仿宋"/>
                <w:color w:val="auto"/>
                <w:sz w:val="24"/>
              </w:rPr>
              <w:t>4.授权委托书（授权委托人参加的须提供）；</w:t>
            </w:r>
          </w:p>
          <w:p>
            <w:pPr>
              <w:spacing w:line="360" w:lineRule="auto"/>
              <w:jc w:val="left"/>
              <w:rPr>
                <w:rFonts w:ascii="仿宋" w:hAnsi="仿宋"/>
                <w:color w:val="auto"/>
                <w:sz w:val="24"/>
              </w:rPr>
            </w:pPr>
            <w:r>
              <w:rPr>
                <w:rFonts w:hint="eastAsia" w:ascii="仿宋" w:hAnsi="仿宋"/>
                <w:color w:val="auto"/>
                <w:sz w:val="24"/>
              </w:rPr>
              <w:t>5.商务部分；</w:t>
            </w:r>
          </w:p>
          <w:p>
            <w:pPr>
              <w:spacing w:line="360" w:lineRule="auto"/>
              <w:jc w:val="left"/>
              <w:rPr>
                <w:rFonts w:ascii="仿宋" w:hAnsi="仿宋"/>
                <w:color w:val="auto"/>
                <w:sz w:val="24"/>
              </w:rPr>
            </w:pPr>
            <w:r>
              <w:rPr>
                <w:rFonts w:hint="eastAsia" w:ascii="仿宋" w:hAnsi="仿宋"/>
                <w:color w:val="auto"/>
                <w:sz w:val="24"/>
              </w:rPr>
              <w:t>6.技术部分；</w:t>
            </w:r>
          </w:p>
          <w:p>
            <w:pPr>
              <w:spacing w:line="360" w:lineRule="auto"/>
              <w:jc w:val="left"/>
              <w:rPr>
                <w:rFonts w:ascii="仿宋" w:hAnsi="仿宋"/>
                <w:color w:val="auto"/>
                <w:sz w:val="24"/>
              </w:rPr>
            </w:pPr>
            <w:r>
              <w:rPr>
                <w:rFonts w:hint="eastAsia" w:ascii="仿宋" w:hAnsi="仿宋"/>
                <w:color w:val="auto"/>
                <w:sz w:val="24"/>
              </w:rPr>
              <w:t>7.投资响应表；</w:t>
            </w:r>
          </w:p>
          <w:p>
            <w:pPr>
              <w:spacing w:line="360" w:lineRule="auto"/>
              <w:jc w:val="left"/>
              <w:rPr>
                <w:rFonts w:ascii="仿宋" w:hAnsi="仿宋"/>
                <w:color w:val="auto"/>
                <w:sz w:val="24"/>
              </w:rPr>
            </w:pPr>
            <w:r>
              <w:rPr>
                <w:rFonts w:hint="eastAsia" w:ascii="仿宋" w:hAnsi="仿宋"/>
                <w:color w:val="auto"/>
                <w:sz w:val="24"/>
              </w:rPr>
              <w:t>8、其他必要文件。</w:t>
            </w:r>
          </w:p>
          <w:p>
            <w:pPr>
              <w:spacing w:line="360" w:lineRule="auto"/>
              <w:jc w:val="left"/>
              <w:rPr>
                <w:rFonts w:ascii="仿宋" w:hAnsi="仿宋"/>
                <w:color w:val="auto"/>
                <w:sz w:val="24"/>
              </w:rPr>
            </w:pPr>
            <w:r>
              <w:rPr>
                <w:rFonts w:hint="eastAsia" w:ascii="仿宋" w:hAnsi="仿宋"/>
                <w:color w:val="auto"/>
                <w:sz w:val="24"/>
              </w:rPr>
              <w:t>说明：响应文件在加装封面以后，其余部分应当严格按照上述顺序编列。</w:t>
            </w:r>
          </w:p>
        </w:tc>
      </w:tr>
      <w:tr>
        <w:tblPrEx>
          <w:tblCellMar>
            <w:top w:w="0" w:type="dxa"/>
            <w:left w:w="0" w:type="dxa"/>
            <w:bottom w:w="0" w:type="dxa"/>
            <w:right w:w="0" w:type="dxa"/>
          </w:tblCellMar>
        </w:tblPrEx>
        <w:trPr>
          <w:trHeight w:val="581"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2</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构成响应文件的其他材料</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s="宋体"/>
                <w:color w:val="auto"/>
                <w:sz w:val="24"/>
              </w:rPr>
            </w:pPr>
            <w:r>
              <w:rPr>
                <w:rFonts w:hint="eastAsia" w:ascii="仿宋" w:hAnsi="仿宋"/>
                <w:color w:val="auto"/>
                <w:sz w:val="24"/>
              </w:rPr>
              <w:t>投资合作伙伴认为需要提交的其他材料</w:t>
            </w:r>
          </w:p>
        </w:tc>
      </w:tr>
      <w:tr>
        <w:tblPrEx>
          <w:tblCellMar>
            <w:top w:w="0" w:type="dxa"/>
            <w:left w:w="0" w:type="dxa"/>
            <w:bottom w:w="0" w:type="dxa"/>
            <w:right w:w="0" w:type="dxa"/>
          </w:tblCellMar>
        </w:tblPrEx>
        <w:trPr>
          <w:trHeight w:val="603"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3</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olor w:val="auto"/>
                <w:sz w:val="24"/>
              </w:rPr>
              <w:t>响应文件有效期</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s="宋体"/>
                <w:color w:val="auto"/>
                <w:sz w:val="24"/>
              </w:rPr>
            </w:pPr>
            <w:r>
              <w:rPr>
                <w:rFonts w:hint="eastAsia" w:ascii="仿宋" w:hAnsi="仿宋"/>
                <w:color w:val="auto"/>
                <w:sz w:val="24"/>
              </w:rPr>
              <w:t>响应文件有效期必须声明至少保持至招商答辩日期后90天。</w:t>
            </w:r>
          </w:p>
        </w:tc>
      </w:tr>
      <w:tr>
        <w:tblPrEx>
          <w:tblCellMar>
            <w:top w:w="0" w:type="dxa"/>
            <w:left w:w="0" w:type="dxa"/>
            <w:bottom w:w="0" w:type="dxa"/>
            <w:right w:w="0" w:type="dxa"/>
          </w:tblCellMar>
        </w:tblPrEx>
        <w:trPr>
          <w:trHeight w:val="589"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4</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签字及盖章要求</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olor w:val="auto"/>
                <w:sz w:val="24"/>
              </w:rPr>
            </w:pPr>
            <w:r>
              <w:rPr>
                <w:rFonts w:hint="eastAsia" w:ascii="仿宋" w:hAnsi="仿宋"/>
                <w:color w:val="auto"/>
                <w:sz w:val="24"/>
              </w:rPr>
              <w:t>纸质响应文件签字或盖章要求</w:t>
            </w:r>
          </w:p>
          <w:p>
            <w:pPr>
              <w:spacing w:line="360" w:lineRule="auto"/>
              <w:jc w:val="left"/>
              <w:rPr>
                <w:rFonts w:ascii="仿宋" w:hAnsi="仿宋"/>
                <w:color w:val="auto"/>
                <w:sz w:val="24"/>
              </w:rPr>
            </w:pPr>
            <w:r>
              <w:rPr>
                <w:rFonts w:hint="eastAsia" w:ascii="仿宋" w:hAnsi="仿宋"/>
                <w:color w:val="auto"/>
                <w:sz w:val="24"/>
              </w:rPr>
              <w:t>1.响应文件应由投资合作伙伴的法定代表人或其书面授权代表（须附有效授权委托书）签署并加盖公章，以约束投资合作伙伴遵守根据响应文件签署的有关协议；</w:t>
            </w:r>
          </w:p>
          <w:p>
            <w:pPr>
              <w:spacing w:line="360" w:lineRule="auto"/>
              <w:jc w:val="left"/>
              <w:rPr>
                <w:rFonts w:ascii="仿宋" w:hAnsi="仿宋" w:cs="宋体"/>
                <w:color w:val="auto"/>
                <w:sz w:val="24"/>
              </w:rPr>
            </w:pPr>
            <w:r>
              <w:rPr>
                <w:rFonts w:hint="eastAsia" w:ascii="仿宋" w:hAnsi="仿宋"/>
                <w:color w:val="auto"/>
                <w:sz w:val="24"/>
              </w:rPr>
              <w:t>2.响应文件的任何改动之处应加盖投资合作伙伴公章或由投资合作伙伴的法定代表人或其授权代表签署确认。</w:t>
            </w:r>
          </w:p>
        </w:tc>
      </w:tr>
      <w:tr>
        <w:tblPrEx>
          <w:tblCellMar>
            <w:top w:w="0" w:type="dxa"/>
            <w:left w:w="0" w:type="dxa"/>
            <w:bottom w:w="0" w:type="dxa"/>
            <w:right w:w="0" w:type="dxa"/>
          </w:tblCellMar>
        </w:tblPrEx>
        <w:trPr>
          <w:trHeight w:val="429"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5</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响应文件份数</w:t>
            </w:r>
          </w:p>
        </w:tc>
        <w:tc>
          <w:tcPr>
            <w:tcW w:w="5429" w:type="dxa"/>
            <w:tcBorders>
              <w:top w:val="single" w:color="auto" w:sz="8" w:space="0"/>
              <w:left w:val="single" w:color="auto" w:sz="8" w:space="0"/>
              <w:bottom w:val="single" w:color="auto" w:sz="8" w:space="0"/>
              <w:right w:val="single" w:color="auto" w:sz="8" w:space="0"/>
            </w:tcBorders>
            <w:vAlign w:val="center"/>
          </w:tcPr>
          <w:p>
            <w:pPr>
              <w:pStyle w:val="18"/>
              <w:spacing w:line="360" w:lineRule="auto"/>
              <w:jc w:val="left"/>
              <w:rPr>
                <w:rFonts w:ascii="仿宋" w:hAnsi="仿宋" w:cs="宋体"/>
                <w:color w:val="auto"/>
                <w:sz w:val="24"/>
              </w:rPr>
            </w:pPr>
            <w:r>
              <w:rPr>
                <w:rFonts w:hint="eastAsia" w:ascii="仿宋" w:hAnsi="仿宋" w:cs="宋体"/>
                <w:color w:val="auto"/>
                <w:sz w:val="24"/>
              </w:rPr>
              <w:t>1.响应文件份数：一式7份，正本1份，副本6份，含响应文件电子版U盘1个（全部响应文件电子版）；</w:t>
            </w:r>
          </w:p>
          <w:p>
            <w:pPr>
              <w:spacing w:line="360" w:lineRule="auto"/>
              <w:jc w:val="left"/>
              <w:rPr>
                <w:rFonts w:ascii="仿宋" w:hAnsi="仿宋"/>
                <w:color w:val="auto"/>
              </w:rPr>
            </w:pPr>
            <w:r>
              <w:rPr>
                <w:rFonts w:hint="eastAsia" w:ascii="仿宋" w:hAnsi="仿宋"/>
                <w:color w:val="auto"/>
              </w:rPr>
              <w:t>2.</w:t>
            </w:r>
            <w:r>
              <w:rPr>
                <w:rFonts w:hint="eastAsia" w:ascii="仿宋" w:hAnsi="仿宋" w:cs="宋体"/>
                <w:color w:val="auto"/>
                <w:sz w:val="24"/>
                <w:szCs w:val="20"/>
              </w:rPr>
              <w:t>响应文件正本与副本之间有差异，以正本为准。</w:t>
            </w:r>
          </w:p>
        </w:tc>
      </w:tr>
      <w:tr>
        <w:tblPrEx>
          <w:tblCellMar>
            <w:top w:w="0" w:type="dxa"/>
            <w:left w:w="0" w:type="dxa"/>
            <w:bottom w:w="0" w:type="dxa"/>
            <w:right w:w="0" w:type="dxa"/>
          </w:tblCellMar>
        </w:tblPrEx>
        <w:trPr>
          <w:trHeight w:val="2346"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6</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响应文件装订要求</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olor w:val="auto"/>
                <w:sz w:val="24"/>
              </w:rPr>
            </w:pPr>
            <w:r>
              <w:rPr>
                <w:rFonts w:hint="eastAsia" w:ascii="仿宋" w:hAnsi="仿宋"/>
                <w:color w:val="auto"/>
                <w:sz w:val="24"/>
              </w:rPr>
              <w:t>1.投资合作伙伴应将响应文件装订成册、密封，将正本和所有的副本单独密封，且在包封上表明“正本”、“副本”字样，然后再将正、副本两个包封，统封在一个包封中；</w:t>
            </w:r>
          </w:p>
          <w:p>
            <w:pPr>
              <w:spacing w:line="360" w:lineRule="auto"/>
              <w:jc w:val="left"/>
              <w:rPr>
                <w:rFonts w:ascii="仿宋" w:hAnsi="仿宋"/>
                <w:color w:val="auto"/>
                <w:sz w:val="24"/>
              </w:rPr>
            </w:pPr>
            <w:r>
              <w:rPr>
                <w:rFonts w:hint="eastAsia" w:ascii="仿宋" w:hAnsi="仿宋"/>
                <w:color w:val="auto"/>
                <w:sz w:val="24"/>
              </w:rPr>
              <w:t>2.如果投资合作伙伴没有按照要求密封、标记，招商代理机构对于响应文件的误投、错投以及提前拆封概不负责。</w:t>
            </w:r>
          </w:p>
        </w:tc>
      </w:tr>
      <w:tr>
        <w:tblPrEx>
          <w:tblCellMar>
            <w:top w:w="0" w:type="dxa"/>
            <w:left w:w="0" w:type="dxa"/>
            <w:bottom w:w="0" w:type="dxa"/>
            <w:right w:w="0" w:type="dxa"/>
          </w:tblCellMar>
        </w:tblPrEx>
        <w:trPr>
          <w:trHeight w:val="505"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7</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kern w:val="0"/>
                <w:sz w:val="24"/>
              </w:rPr>
            </w:pPr>
            <w:r>
              <w:rPr>
                <w:rFonts w:hint="eastAsia" w:ascii="仿宋" w:hAnsi="仿宋" w:cs="宋体"/>
                <w:color w:val="auto"/>
                <w:kern w:val="0"/>
                <w:sz w:val="24"/>
              </w:rPr>
              <w:t>纸质响应文件封套上写明</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olor w:val="auto"/>
                <w:sz w:val="24"/>
              </w:rPr>
            </w:pPr>
            <w:r>
              <w:rPr>
                <w:rFonts w:hint="eastAsia" w:ascii="仿宋" w:hAnsi="仿宋"/>
                <w:color w:val="auto"/>
                <w:sz w:val="24"/>
              </w:rPr>
              <w:t>在封套上要载明以下信息并在投资名称处和密封处加盖公章：</w:t>
            </w:r>
          </w:p>
          <w:p>
            <w:pPr>
              <w:spacing w:line="360" w:lineRule="auto"/>
              <w:jc w:val="left"/>
              <w:rPr>
                <w:rFonts w:ascii="仿宋" w:hAnsi="仿宋"/>
                <w:color w:val="auto"/>
                <w:sz w:val="24"/>
              </w:rPr>
            </w:pPr>
            <w:r>
              <w:rPr>
                <w:rFonts w:hint="eastAsia" w:ascii="仿宋" w:hAnsi="仿宋"/>
                <w:color w:val="auto"/>
                <w:sz w:val="24"/>
              </w:rPr>
              <w:t>1“鞍山市会展中心、会展宾馆项目资产盘活”招商响应文件</w:t>
            </w:r>
          </w:p>
          <w:p>
            <w:pPr>
              <w:spacing w:line="360" w:lineRule="auto"/>
              <w:jc w:val="left"/>
              <w:rPr>
                <w:rFonts w:ascii="仿宋" w:hAnsi="仿宋"/>
                <w:color w:val="auto"/>
                <w:sz w:val="24"/>
              </w:rPr>
            </w:pPr>
            <w:r>
              <w:rPr>
                <w:rFonts w:hint="eastAsia" w:ascii="仿宋" w:hAnsi="仿宋"/>
                <w:color w:val="auto"/>
                <w:sz w:val="24"/>
              </w:rPr>
              <w:t>2.投资合作伙伴名称：</w:t>
            </w:r>
          </w:p>
          <w:p>
            <w:pPr>
              <w:spacing w:line="360" w:lineRule="auto"/>
              <w:jc w:val="left"/>
              <w:rPr>
                <w:rFonts w:ascii="仿宋" w:hAnsi="仿宋"/>
                <w:color w:val="auto"/>
                <w:sz w:val="24"/>
              </w:rPr>
            </w:pPr>
            <w:r>
              <w:rPr>
                <w:rFonts w:hint="eastAsia" w:ascii="仿宋" w:hAnsi="仿宋"/>
                <w:color w:val="auto"/>
                <w:sz w:val="24"/>
              </w:rPr>
              <w:t>3.法定代表人或授权代表人：</w:t>
            </w:r>
          </w:p>
          <w:p>
            <w:pPr>
              <w:spacing w:line="360" w:lineRule="auto"/>
              <w:jc w:val="left"/>
              <w:rPr>
                <w:rFonts w:ascii="仿宋" w:hAnsi="仿宋"/>
                <w:color w:val="auto"/>
                <w:sz w:val="24"/>
              </w:rPr>
            </w:pPr>
            <w:r>
              <w:rPr>
                <w:rFonts w:hint="eastAsia" w:ascii="仿宋" w:hAnsi="仿宋"/>
                <w:color w:val="auto"/>
                <w:sz w:val="24"/>
              </w:rPr>
              <w:t>4.投资合作伙伴地址：</w:t>
            </w:r>
          </w:p>
          <w:p>
            <w:pPr>
              <w:spacing w:line="360" w:lineRule="auto"/>
              <w:jc w:val="left"/>
              <w:rPr>
                <w:rFonts w:ascii="仿宋" w:hAnsi="仿宋"/>
                <w:color w:val="auto"/>
                <w:sz w:val="24"/>
              </w:rPr>
            </w:pPr>
            <w:r>
              <w:rPr>
                <w:rFonts w:hint="eastAsia" w:ascii="仿宋" w:hAnsi="仿宋"/>
                <w:color w:val="auto"/>
                <w:sz w:val="24"/>
              </w:rPr>
              <w:t>5.在2020年7月29日</w:t>
            </w:r>
            <w:r>
              <w:rPr>
                <w:rFonts w:hint="eastAsia" w:ascii="仿宋" w:hAnsi="仿宋"/>
                <w:color w:val="auto"/>
                <w:sz w:val="24"/>
                <w:lang w:val="en-US" w:eastAsia="zh-CN"/>
              </w:rPr>
              <w:t>10：0</w:t>
            </w:r>
            <w:r>
              <w:rPr>
                <w:rFonts w:hint="eastAsia" w:ascii="仿宋" w:hAnsi="仿宋"/>
                <w:color w:val="auto"/>
                <w:sz w:val="24"/>
              </w:rPr>
              <w:t>0时前不得开启</w:t>
            </w:r>
          </w:p>
        </w:tc>
      </w:tr>
      <w:tr>
        <w:tblPrEx>
          <w:tblCellMar>
            <w:top w:w="0" w:type="dxa"/>
            <w:left w:w="0" w:type="dxa"/>
            <w:bottom w:w="0" w:type="dxa"/>
            <w:right w:w="0" w:type="dxa"/>
          </w:tblCellMar>
        </w:tblPrEx>
        <w:trPr>
          <w:trHeight w:val="473"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8</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是否退还响应文件</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s="宋体"/>
                <w:color w:val="auto"/>
                <w:sz w:val="24"/>
              </w:rPr>
            </w:pPr>
            <w:r>
              <w:rPr>
                <w:rFonts w:hint="eastAsia" w:ascii="仿宋" w:hAnsi="仿宋" w:cs="宋体"/>
                <w:color w:val="auto"/>
                <w:kern w:val="0"/>
                <w:sz w:val="24"/>
              </w:rPr>
              <w:t xml:space="preserve"> 否</w:t>
            </w:r>
          </w:p>
        </w:tc>
      </w:tr>
      <w:tr>
        <w:tblPrEx>
          <w:tblCellMar>
            <w:top w:w="0" w:type="dxa"/>
            <w:left w:w="0" w:type="dxa"/>
            <w:bottom w:w="0" w:type="dxa"/>
            <w:right w:w="0" w:type="dxa"/>
          </w:tblCellMar>
        </w:tblPrEx>
        <w:trPr>
          <w:trHeight w:val="519"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sz w:val="24"/>
              </w:rPr>
              <w:t>9</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sz w:val="24"/>
              </w:rPr>
            </w:pPr>
            <w:r>
              <w:rPr>
                <w:rFonts w:hint="eastAsia" w:ascii="仿宋" w:hAnsi="仿宋" w:cs="宋体"/>
                <w:color w:val="auto"/>
                <w:kern w:val="0"/>
                <w:sz w:val="24"/>
              </w:rPr>
              <w:t>答辩程序</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仿宋" w:hAnsi="仿宋"/>
                <w:color w:val="auto"/>
                <w:sz w:val="24"/>
              </w:rPr>
            </w:pPr>
            <w:r>
              <w:rPr>
                <w:rFonts w:hint="eastAsia" w:ascii="仿宋" w:hAnsi="仿宋"/>
                <w:color w:val="auto"/>
                <w:sz w:val="24"/>
              </w:rPr>
              <w:t>一、谈判小组宣布答辩开始</w:t>
            </w:r>
          </w:p>
          <w:p>
            <w:pPr>
              <w:spacing w:line="360" w:lineRule="auto"/>
              <w:jc w:val="left"/>
              <w:rPr>
                <w:rFonts w:ascii="仿宋" w:hAnsi="仿宋"/>
                <w:color w:val="auto"/>
                <w:sz w:val="24"/>
              </w:rPr>
            </w:pPr>
            <w:r>
              <w:rPr>
                <w:rFonts w:hint="eastAsia" w:ascii="仿宋" w:hAnsi="仿宋"/>
                <w:color w:val="auto"/>
                <w:sz w:val="24"/>
              </w:rPr>
              <w:t>宣布答辩开始时，招商单位组建的谈判小组将宣布以下信息并加以记录：</w:t>
            </w:r>
          </w:p>
          <w:p>
            <w:pPr>
              <w:spacing w:line="360" w:lineRule="auto"/>
              <w:jc w:val="left"/>
              <w:rPr>
                <w:rFonts w:ascii="仿宋" w:hAnsi="仿宋"/>
                <w:color w:val="auto"/>
                <w:sz w:val="24"/>
              </w:rPr>
            </w:pPr>
            <w:r>
              <w:rPr>
                <w:rFonts w:hint="eastAsia" w:ascii="仿宋" w:hAnsi="仿宋"/>
                <w:color w:val="auto"/>
                <w:sz w:val="24"/>
              </w:rPr>
              <w:t>1.投资合作伙伴名称；</w:t>
            </w:r>
          </w:p>
          <w:p>
            <w:pPr>
              <w:spacing w:line="360" w:lineRule="auto"/>
              <w:jc w:val="left"/>
              <w:rPr>
                <w:rFonts w:ascii="仿宋" w:hAnsi="仿宋"/>
                <w:color w:val="auto"/>
                <w:sz w:val="24"/>
              </w:rPr>
            </w:pPr>
            <w:r>
              <w:rPr>
                <w:rFonts w:hint="eastAsia" w:ascii="仿宋" w:hAnsi="仿宋"/>
                <w:color w:val="auto"/>
                <w:sz w:val="24"/>
              </w:rPr>
              <w:t>2.响应文件递交时间；</w:t>
            </w:r>
          </w:p>
          <w:p>
            <w:pPr>
              <w:spacing w:line="360" w:lineRule="auto"/>
              <w:jc w:val="left"/>
              <w:rPr>
                <w:rFonts w:ascii="仿宋" w:hAnsi="仿宋"/>
                <w:color w:val="auto"/>
                <w:sz w:val="24"/>
              </w:rPr>
            </w:pPr>
            <w:r>
              <w:rPr>
                <w:rFonts w:hint="eastAsia" w:ascii="仿宋" w:hAnsi="仿宋"/>
                <w:color w:val="auto"/>
                <w:sz w:val="24"/>
              </w:rPr>
              <w:t>3.响应文件是否封装完好；</w:t>
            </w:r>
          </w:p>
          <w:p>
            <w:pPr>
              <w:spacing w:line="360" w:lineRule="auto"/>
              <w:jc w:val="left"/>
              <w:rPr>
                <w:rFonts w:ascii="仿宋" w:hAnsi="仿宋"/>
                <w:color w:val="auto"/>
                <w:sz w:val="24"/>
              </w:rPr>
            </w:pPr>
            <w:r>
              <w:rPr>
                <w:rFonts w:hint="eastAsia" w:ascii="仿宋" w:hAnsi="仿宋"/>
                <w:color w:val="auto"/>
                <w:sz w:val="24"/>
              </w:rPr>
              <w:t>4.响应文件是否完整，是否符合序号6中的要求。</w:t>
            </w:r>
          </w:p>
          <w:p>
            <w:pPr>
              <w:spacing w:line="360" w:lineRule="auto"/>
              <w:jc w:val="left"/>
              <w:rPr>
                <w:rFonts w:ascii="仿宋" w:hAnsi="仿宋"/>
                <w:color w:val="auto"/>
                <w:sz w:val="24"/>
              </w:rPr>
            </w:pPr>
            <w:r>
              <w:rPr>
                <w:rFonts w:hint="eastAsia" w:ascii="仿宋" w:hAnsi="仿宋"/>
                <w:color w:val="auto"/>
                <w:sz w:val="24"/>
              </w:rPr>
              <w:t>二、谈判小组拆封响应文件</w:t>
            </w:r>
          </w:p>
          <w:p>
            <w:pPr>
              <w:spacing w:line="360" w:lineRule="auto"/>
              <w:jc w:val="left"/>
              <w:rPr>
                <w:rFonts w:ascii="仿宋" w:hAnsi="仿宋"/>
                <w:color w:val="auto"/>
                <w:sz w:val="24"/>
              </w:rPr>
            </w:pPr>
            <w:r>
              <w:rPr>
                <w:rFonts w:hint="eastAsia" w:ascii="仿宋" w:hAnsi="仿宋"/>
                <w:color w:val="auto"/>
                <w:sz w:val="24"/>
              </w:rPr>
              <w:t>三、投资合作伙伴答辩小组组长介绍响应文件</w:t>
            </w:r>
          </w:p>
          <w:p>
            <w:pPr>
              <w:spacing w:line="360" w:lineRule="auto"/>
              <w:jc w:val="left"/>
              <w:rPr>
                <w:rFonts w:ascii="仿宋" w:hAnsi="仿宋"/>
                <w:color w:val="auto"/>
                <w:sz w:val="24"/>
              </w:rPr>
            </w:pPr>
            <w:r>
              <w:rPr>
                <w:rFonts w:hint="eastAsia" w:ascii="仿宋" w:hAnsi="仿宋"/>
                <w:color w:val="auto"/>
                <w:sz w:val="24"/>
              </w:rPr>
              <w:t>四、招商单位谈判小组向投资合作伙伴答辩小组提问</w:t>
            </w:r>
          </w:p>
          <w:p>
            <w:pPr>
              <w:spacing w:line="360" w:lineRule="auto"/>
              <w:jc w:val="left"/>
              <w:rPr>
                <w:rFonts w:ascii="仿宋" w:hAnsi="仿宋"/>
                <w:color w:val="auto"/>
                <w:sz w:val="24"/>
              </w:rPr>
            </w:pPr>
            <w:r>
              <w:rPr>
                <w:rFonts w:hint="eastAsia" w:ascii="仿宋" w:hAnsi="仿宋"/>
                <w:color w:val="auto"/>
                <w:sz w:val="24"/>
              </w:rPr>
              <w:t>五、双方协商</w:t>
            </w:r>
          </w:p>
          <w:p>
            <w:pPr>
              <w:spacing w:line="360" w:lineRule="auto"/>
              <w:jc w:val="left"/>
              <w:rPr>
                <w:rFonts w:ascii="仿宋" w:hAnsi="仿宋"/>
                <w:color w:val="auto"/>
                <w:sz w:val="24"/>
              </w:rPr>
            </w:pPr>
            <w:r>
              <w:rPr>
                <w:rFonts w:hint="eastAsia" w:ascii="仿宋" w:hAnsi="仿宋"/>
                <w:color w:val="auto"/>
                <w:sz w:val="24"/>
              </w:rPr>
              <w:t>六、双方签署答辩备忘录</w:t>
            </w:r>
          </w:p>
          <w:p>
            <w:pPr>
              <w:spacing w:line="360" w:lineRule="auto"/>
              <w:jc w:val="left"/>
              <w:rPr>
                <w:rFonts w:ascii="仿宋" w:hAnsi="仿宋"/>
                <w:color w:val="auto"/>
                <w:sz w:val="24"/>
              </w:rPr>
            </w:pPr>
            <w:r>
              <w:rPr>
                <w:rFonts w:hint="eastAsia" w:ascii="仿宋" w:hAnsi="仿宋"/>
                <w:color w:val="auto"/>
                <w:sz w:val="24"/>
              </w:rPr>
              <w:t>七、谈判小组对投资合作伙伴进行打分（分数在招商结果公告中发布）</w:t>
            </w:r>
          </w:p>
          <w:p>
            <w:pPr>
              <w:spacing w:line="360" w:lineRule="auto"/>
              <w:jc w:val="left"/>
              <w:rPr>
                <w:rFonts w:ascii="仿宋" w:hAnsi="仿宋"/>
                <w:color w:val="auto"/>
                <w:sz w:val="24"/>
              </w:rPr>
            </w:pPr>
            <w:r>
              <w:rPr>
                <w:rFonts w:hint="eastAsia" w:ascii="仿宋" w:hAnsi="仿宋"/>
                <w:color w:val="auto"/>
                <w:sz w:val="24"/>
              </w:rPr>
              <w:t>八．答辩结束（答辩未全部结束时，投资合作伙伴不得离开。单个投资合作伙伴答辩结束后应当到指定地点等候，待所有投资合作伙伴答辩结束后且招商单位通知离开时方可离场。）</w:t>
            </w:r>
          </w:p>
        </w:tc>
      </w:tr>
      <w:tr>
        <w:tblPrEx>
          <w:tblCellMar>
            <w:top w:w="0" w:type="dxa"/>
            <w:left w:w="0" w:type="dxa"/>
            <w:bottom w:w="0" w:type="dxa"/>
            <w:right w:w="0" w:type="dxa"/>
          </w:tblCellMar>
        </w:tblPrEx>
        <w:trPr>
          <w:trHeight w:val="659" w:hRule="atLeast"/>
        </w:trPr>
        <w:tc>
          <w:tcPr>
            <w:tcW w:w="567"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kern w:val="0"/>
                <w:sz w:val="24"/>
              </w:rPr>
            </w:pPr>
            <w:r>
              <w:rPr>
                <w:rFonts w:hint="eastAsia" w:ascii="仿宋" w:hAnsi="仿宋" w:cs="宋体"/>
                <w:color w:val="auto"/>
                <w:kern w:val="0"/>
                <w:sz w:val="24"/>
              </w:rPr>
              <w:t>10</w:t>
            </w:r>
          </w:p>
        </w:tc>
        <w:tc>
          <w:tcPr>
            <w:tcW w:w="24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仿宋" w:hAnsi="仿宋" w:cs="宋体"/>
                <w:color w:val="auto"/>
                <w:kern w:val="0"/>
                <w:sz w:val="24"/>
              </w:rPr>
            </w:pPr>
            <w:r>
              <w:rPr>
                <w:rFonts w:hint="eastAsia" w:ascii="仿宋" w:hAnsi="仿宋" w:cs="宋体"/>
                <w:color w:val="auto"/>
                <w:sz w:val="24"/>
              </w:rPr>
              <w:t>打分细则</w:t>
            </w:r>
          </w:p>
        </w:tc>
        <w:tc>
          <w:tcPr>
            <w:tcW w:w="5429"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仿宋" w:hAnsi="仿宋"/>
                <w:color w:val="auto"/>
                <w:sz w:val="24"/>
              </w:rPr>
            </w:pPr>
            <w:r>
              <w:rPr>
                <w:rFonts w:hint="eastAsia" w:ascii="仿宋" w:hAnsi="仿宋" w:cs="宋体"/>
                <w:color w:val="auto"/>
                <w:kern w:val="0"/>
                <w:sz w:val="24"/>
              </w:rPr>
              <w:t>详见评分办法</w:t>
            </w:r>
          </w:p>
        </w:tc>
      </w:tr>
    </w:tbl>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pStyle w:val="3"/>
        <w:rPr>
          <w:color w:val="auto"/>
        </w:rPr>
      </w:pPr>
      <w:bookmarkStart w:id="9" w:name="_Toc21011"/>
      <w:r>
        <w:rPr>
          <w:rFonts w:hint="eastAsia"/>
          <w:color w:val="auto"/>
        </w:rPr>
        <w:t>二、评分办法</w:t>
      </w:r>
      <w:bookmarkEnd w:id="9"/>
    </w:p>
    <w:p>
      <w:pPr>
        <w:pStyle w:val="4"/>
        <w:rPr>
          <w:color w:val="auto"/>
        </w:rPr>
      </w:pPr>
      <w:bookmarkStart w:id="10" w:name="_Toc13704"/>
      <w:bookmarkStart w:id="11" w:name="_Toc105551449"/>
      <w:bookmarkStart w:id="12" w:name="_Toc76185475"/>
      <w:bookmarkStart w:id="13" w:name="_Toc76184873"/>
      <w:r>
        <w:rPr>
          <w:rFonts w:hint="eastAsia"/>
          <w:color w:val="auto"/>
        </w:rPr>
        <w:t>1、评分方法</w:t>
      </w:r>
      <w:bookmarkEnd w:id="10"/>
    </w:p>
    <w:p>
      <w:pPr>
        <w:spacing w:line="360" w:lineRule="auto"/>
        <w:rPr>
          <w:rFonts w:ascii="仿宋" w:hAnsi="仿宋"/>
          <w:color w:val="auto"/>
          <w:sz w:val="24"/>
        </w:rPr>
      </w:pPr>
      <w:r>
        <w:rPr>
          <w:rFonts w:hint="eastAsia" w:ascii="仿宋" w:hAnsi="仿宋"/>
          <w:color w:val="auto"/>
          <w:sz w:val="24"/>
        </w:rPr>
        <w:t>本次答辩采用综合评分法。谈判小组会对满足资格要求投资合作伙伴的响应文件,按照本章第2款规定的评分标准进行打分，并按得分由高到低顺序确定投资合作伙伴候选人，综合评分相等时,以现场答辩分高者优先，如现场答辩分相同，则以商务部分得分高者优先,如出商务部分得分又相同，则以技术方案分高者优先。</w:t>
      </w:r>
    </w:p>
    <w:p>
      <w:pPr>
        <w:pStyle w:val="4"/>
        <w:rPr>
          <w:color w:val="auto"/>
        </w:rPr>
      </w:pPr>
      <w:bookmarkStart w:id="14" w:name="_Toc18735"/>
      <w:r>
        <w:rPr>
          <w:rFonts w:hint="eastAsia"/>
          <w:color w:val="auto"/>
        </w:rPr>
        <w:t>2、分值构成与评分标准</w:t>
      </w:r>
      <w:bookmarkEnd w:id="14"/>
    </w:p>
    <w:p>
      <w:pPr>
        <w:spacing w:line="360" w:lineRule="auto"/>
        <w:rPr>
          <w:rFonts w:ascii="仿宋" w:hAnsi="仿宋"/>
          <w:color w:val="auto"/>
          <w:sz w:val="24"/>
        </w:rPr>
      </w:pPr>
      <w:r>
        <w:rPr>
          <w:rFonts w:hint="eastAsia" w:ascii="仿宋" w:hAnsi="仿宋"/>
          <w:color w:val="auto"/>
          <w:sz w:val="24"/>
        </w:rPr>
        <w:t>2.1分值构成</w:t>
      </w:r>
    </w:p>
    <w:p>
      <w:pPr>
        <w:spacing w:line="360" w:lineRule="auto"/>
        <w:rPr>
          <w:rFonts w:ascii="仿宋" w:hAnsi="仿宋"/>
          <w:color w:val="auto"/>
          <w:sz w:val="24"/>
        </w:rPr>
      </w:pPr>
      <w:r>
        <w:rPr>
          <w:rFonts w:hint="eastAsia" w:ascii="仿宋" w:hAnsi="仿宋"/>
          <w:color w:val="auto"/>
          <w:sz w:val="24"/>
        </w:rPr>
        <w:t>(1)商务部分55分;</w:t>
      </w:r>
    </w:p>
    <w:p>
      <w:pPr>
        <w:spacing w:line="360" w:lineRule="auto"/>
        <w:rPr>
          <w:rFonts w:ascii="仿宋" w:hAnsi="仿宋"/>
          <w:color w:val="auto"/>
          <w:sz w:val="24"/>
        </w:rPr>
      </w:pPr>
      <w:r>
        <w:rPr>
          <w:rFonts w:hint="eastAsia" w:ascii="仿宋" w:hAnsi="仿宋"/>
          <w:color w:val="auto"/>
          <w:sz w:val="24"/>
        </w:rPr>
        <w:t>(2)技术部分25分;</w:t>
      </w:r>
    </w:p>
    <w:p>
      <w:pPr>
        <w:spacing w:line="360" w:lineRule="auto"/>
        <w:rPr>
          <w:rFonts w:ascii="仿宋" w:hAnsi="仿宋"/>
          <w:color w:val="auto"/>
          <w:sz w:val="24"/>
        </w:rPr>
      </w:pPr>
      <w:r>
        <w:rPr>
          <w:rFonts w:hint="eastAsia" w:ascii="仿宋" w:hAnsi="仿宋"/>
          <w:color w:val="auto"/>
          <w:sz w:val="24"/>
        </w:rPr>
        <w:t>(3)现场答辩20分;</w:t>
      </w:r>
    </w:p>
    <w:p>
      <w:pPr>
        <w:spacing w:line="360" w:lineRule="auto"/>
        <w:rPr>
          <w:rFonts w:ascii="仿宋" w:hAnsi="仿宋"/>
          <w:color w:val="auto"/>
          <w:sz w:val="24"/>
        </w:rPr>
      </w:pPr>
      <w:r>
        <w:rPr>
          <w:rFonts w:hint="eastAsia" w:ascii="仿宋" w:hAnsi="仿宋"/>
          <w:color w:val="auto"/>
          <w:sz w:val="24"/>
        </w:rPr>
        <w:t>2.2评分标准</w:t>
      </w:r>
      <w:bookmarkEnd w:id="11"/>
      <w:bookmarkEnd w:id="12"/>
      <w:bookmarkEnd w:id="13"/>
    </w:p>
    <w:tbl>
      <w:tblPr>
        <w:tblStyle w:val="33"/>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276"/>
        <w:gridCol w:w="1507"/>
        <w:gridCol w:w="464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pPr>
              <w:spacing w:line="360" w:lineRule="auto"/>
              <w:jc w:val="left"/>
              <w:rPr>
                <w:rFonts w:ascii="仿宋" w:hAnsi="仿宋"/>
                <w:color w:val="auto"/>
                <w:sz w:val="24"/>
              </w:rPr>
            </w:pPr>
            <w:r>
              <w:rPr>
                <w:rFonts w:hint="eastAsia" w:ascii="仿宋" w:hAnsi="仿宋"/>
                <w:color w:val="auto"/>
                <w:sz w:val="24"/>
              </w:rPr>
              <w:t>项目</w:t>
            </w:r>
          </w:p>
        </w:tc>
        <w:tc>
          <w:tcPr>
            <w:tcW w:w="1276" w:type="dxa"/>
            <w:vAlign w:val="center"/>
          </w:tcPr>
          <w:p>
            <w:pPr>
              <w:spacing w:line="360" w:lineRule="auto"/>
              <w:jc w:val="left"/>
              <w:rPr>
                <w:rFonts w:ascii="仿宋" w:hAnsi="仿宋"/>
                <w:color w:val="auto"/>
                <w:sz w:val="24"/>
              </w:rPr>
            </w:pPr>
            <w:r>
              <w:rPr>
                <w:rFonts w:hint="eastAsia" w:ascii="仿宋" w:hAnsi="仿宋"/>
                <w:color w:val="auto"/>
                <w:sz w:val="24"/>
              </w:rPr>
              <w:t>总分值</w:t>
            </w:r>
          </w:p>
        </w:tc>
        <w:tc>
          <w:tcPr>
            <w:tcW w:w="1507" w:type="dxa"/>
            <w:vAlign w:val="center"/>
          </w:tcPr>
          <w:p>
            <w:pPr>
              <w:spacing w:line="360" w:lineRule="auto"/>
              <w:jc w:val="left"/>
              <w:rPr>
                <w:rFonts w:ascii="仿宋" w:hAnsi="仿宋"/>
                <w:color w:val="auto"/>
                <w:sz w:val="24"/>
              </w:rPr>
            </w:pPr>
            <w:r>
              <w:rPr>
                <w:rFonts w:hint="eastAsia" w:ascii="仿宋" w:hAnsi="仿宋"/>
                <w:color w:val="auto"/>
                <w:sz w:val="24"/>
              </w:rPr>
              <w:t>评分项</w:t>
            </w:r>
          </w:p>
        </w:tc>
        <w:tc>
          <w:tcPr>
            <w:tcW w:w="4640" w:type="dxa"/>
            <w:vAlign w:val="center"/>
          </w:tcPr>
          <w:p>
            <w:pPr>
              <w:spacing w:line="360" w:lineRule="auto"/>
              <w:jc w:val="left"/>
              <w:rPr>
                <w:rFonts w:ascii="仿宋" w:hAnsi="仿宋"/>
                <w:color w:val="auto"/>
                <w:sz w:val="24"/>
              </w:rPr>
            </w:pPr>
            <w:r>
              <w:rPr>
                <w:rFonts w:hint="eastAsia" w:ascii="仿宋" w:hAnsi="仿宋"/>
                <w:color w:val="auto"/>
                <w:sz w:val="24"/>
              </w:rPr>
              <w:t>评分标准</w:t>
            </w:r>
          </w:p>
        </w:tc>
        <w:tc>
          <w:tcPr>
            <w:tcW w:w="709" w:type="dxa"/>
            <w:vAlign w:val="center"/>
          </w:tcPr>
          <w:p>
            <w:pPr>
              <w:spacing w:line="360" w:lineRule="auto"/>
              <w:jc w:val="left"/>
              <w:rPr>
                <w:rFonts w:ascii="仿宋" w:hAnsi="仿宋"/>
                <w:color w:val="auto"/>
                <w:sz w:val="24"/>
              </w:rPr>
            </w:pPr>
            <w:r>
              <w:rPr>
                <w:rFonts w:hint="eastAsia" w:ascii="仿宋" w:hAnsi="仿宋"/>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765" w:type="dxa"/>
            <w:vMerge w:val="restart"/>
            <w:vAlign w:val="center"/>
          </w:tcPr>
          <w:p>
            <w:pPr>
              <w:spacing w:line="360" w:lineRule="auto"/>
              <w:jc w:val="left"/>
              <w:rPr>
                <w:rFonts w:ascii="仿宋" w:hAnsi="仿宋"/>
                <w:color w:val="auto"/>
                <w:sz w:val="24"/>
              </w:rPr>
            </w:pPr>
            <w:r>
              <w:rPr>
                <w:rFonts w:hint="eastAsia" w:ascii="仿宋" w:hAnsi="仿宋"/>
                <w:color w:val="auto"/>
                <w:sz w:val="24"/>
              </w:rPr>
              <w:t>商务部分</w:t>
            </w:r>
          </w:p>
        </w:tc>
        <w:tc>
          <w:tcPr>
            <w:tcW w:w="1276" w:type="dxa"/>
            <w:vMerge w:val="restart"/>
            <w:vAlign w:val="center"/>
          </w:tcPr>
          <w:p>
            <w:pPr>
              <w:spacing w:line="360" w:lineRule="auto"/>
              <w:jc w:val="left"/>
              <w:rPr>
                <w:rFonts w:ascii="仿宋" w:hAnsi="仿宋"/>
                <w:color w:val="auto"/>
                <w:sz w:val="24"/>
              </w:rPr>
            </w:pPr>
            <w:r>
              <w:rPr>
                <w:rFonts w:hint="eastAsia" w:ascii="仿宋" w:hAnsi="仿宋"/>
                <w:color w:val="auto"/>
                <w:sz w:val="24"/>
              </w:rPr>
              <w:t>满分55分</w:t>
            </w:r>
          </w:p>
        </w:tc>
        <w:tc>
          <w:tcPr>
            <w:tcW w:w="1507" w:type="dxa"/>
            <w:vAlign w:val="center"/>
          </w:tcPr>
          <w:p>
            <w:pPr>
              <w:spacing w:line="360" w:lineRule="auto"/>
              <w:jc w:val="left"/>
              <w:rPr>
                <w:rFonts w:ascii="仿宋" w:hAnsi="仿宋"/>
                <w:color w:val="auto"/>
                <w:sz w:val="24"/>
              </w:rPr>
            </w:pPr>
            <w:r>
              <w:rPr>
                <w:rFonts w:hint="eastAsia" w:ascii="仿宋" w:hAnsi="仿宋"/>
                <w:color w:val="auto"/>
                <w:sz w:val="24"/>
              </w:rPr>
              <w:t>项目运营经验</w:t>
            </w:r>
          </w:p>
        </w:tc>
        <w:tc>
          <w:tcPr>
            <w:tcW w:w="4640" w:type="dxa"/>
            <w:vAlign w:val="center"/>
          </w:tcPr>
          <w:p>
            <w:pPr>
              <w:spacing w:line="360" w:lineRule="auto"/>
              <w:jc w:val="left"/>
              <w:rPr>
                <w:rFonts w:ascii="仿宋" w:hAnsi="仿宋"/>
                <w:color w:val="auto"/>
                <w:sz w:val="24"/>
              </w:rPr>
            </w:pPr>
            <w:r>
              <w:rPr>
                <w:rFonts w:hint="eastAsia" w:ascii="仿宋" w:hAnsi="仿宋"/>
                <w:color w:val="auto"/>
                <w:sz w:val="24"/>
              </w:rPr>
              <w:t>投资人具备成功的展会、培训、文体、研学、文化、旅游、体育等运营经验，每有一个得5分，最多得20分。</w:t>
            </w:r>
          </w:p>
          <w:p>
            <w:pPr>
              <w:spacing w:line="360" w:lineRule="auto"/>
              <w:jc w:val="left"/>
              <w:rPr>
                <w:rFonts w:ascii="仿宋" w:hAnsi="仿宋"/>
                <w:color w:val="auto"/>
                <w:sz w:val="24"/>
              </w:rPr>
            </w:pPr>
            <w:r>
              <w:rPr>
                <w:rFonts w:hint="eastAsia" w:ascii="仿宋" w:hAnsi="仿宋"/>
                <w:color w:val="auto"/>
                <w:sz w:val="24"/>
              </w:rPr>
              <w:t>说明：运营经验，需要提供合同或其他证明文件，复印件的需要加盖公章，合同内容较多的可以提供主要页。</w:t>
            </w:r>
          </w:p>
        </w:tc>
        <w:tc>
          <w:tcPr>
            <w:tcW w:w="709" w:type="dxa"/>
            <w:vAlign w:val="center"/>
          </w:tcPr>
          <w:p>
            <w:pPr>
              <w:spacing w:line="360" w:lineRule="auto"/>
              <w:jc w:val="left"/>
              <w:rPr>
                <w:rFonts w:ascii="仿宋" w:hAnsi="仿宋"/>
                <w:color w:val="auto"/>
                <w:sz w:val="24"/>
              </w:rPr>
            </w:pPr>
            <w:r>
              <w:rPr>
                <w:rFonts w:hint="eastAsia" w:ascii="仿宋" w:hAnsi="仿宋"/>
                <w:color w:val="auto"/>
                <w:sz w:val="24"/>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65" w:type="dxa"/>
            <w:vMerge w:val="continue"/>
            <w:vAlign w:val="center"/>
          </w:tcPr>
          <w:p>
            <w:pPr>
              <w:spacing w:line="360" w:lineRule="auto"/>
              <w:jc w:val="left"/>
              <w:rPr>
                <w:rFonts w:ascii="仿宋" w:hAnsi="仿宋"/>
                <w:color w:val="auto"/>
                <w:sz w:val="24"/>
              </w:rPr>
            </w:pPr>
          </w:p>
        </w:tc>
        <w:tc>
          <w:tcPr>
            <w:tcW w:w="1276" w:type="dxa"/>
            <w:vMerge w:val="continue"/>
            <w:vAlign w:val="center"/>
          </w:tcPr>
          <w:p>
            <w:pPr>
              <w:spacing w:line="360" w:lineRule="auto"/>
              <w:jc w:val="left"/>
              <w:rPr>
                <w:rFonts w:ascii="仿宋" w:hAnsi="仿宋"/>
                <w:color w:val="auto"/>
                <w:sz w:val="24"/>
              </w:rPr>
            </w:pPr>
          </w:p>
        </w:tc>
        <w:tc>
          <w:tcPr>
            <w:tcW w:w="1507" w:type="dxa"/>
            <w:vAlign w:val="center"/>
          </w:tcPr>
          <w:p>
            <w:pPr>
              <w:adjustRightInd w:val="0"/>
              <w:snapToGrid w:val="0"/>
              <w:spacing w:line="360" w:lineRule="auto"/>
              <w:jc w:val="left"/>
              <w:rPr>
                <w:rFonts w:ascii="仿宋" w:hAnsi="仿宋"/>
                <w:color w:val="auto"/>
                <w:sz w:val="24"/>
                <w:lang w:val="zh-CN"/>
              </w:rPr>
            </w:pPr>
            <w:r>
              <w:rPr>
                <w:rFonts w:hint="eastAsia" w:ascii="仿宋" w:hAnsi="仿宋"/>
                <w:color w:val="auto"/>
                <w:sz w:val="24"/>
                <w:lang w:val="zh-CN"/>
              </w:rPr>
              <w:t>财务状况</w:t>
            </w:r>
          </w:p>
        </w:tc>
        <w:tc>
          <w:tcPr>
            <w:tcW w:w="4640" w:type="dxa"/>
            <w:vAlign w:val="center"/>
          </w:tcPr>
          <w:p>
            <w:pPr>
              <w:adjustRightInd w:val="0"/>
              <w:snapToGrid w:val="0"/>
              <w:spacing w:line="360" w:lineRule="auto"/>
              <w:jc w:val="left"/>
              <w:rPr>
                <w:rFonts w:ascii="仿宋" w:hAnsi="仿宋" w:cs="宋体"/>
                <w:color w:val="auto"/>
                <w:sz w:val="24"/>
              </w:rPr>
            </w:pPr>
            <w:r>
              <w:rPr>
                <w:rFonts w:hint="eastAsia" w:ascii="仿宋" w:hAnsi="仿宋" w:cs="宋体"/>
                <w:color w:val="auto"/>
                <w:sz w:val="24"/>
              </w:rPr>
              <w:t>2019年盈利的，得5分，亏损不得分。</w:t>
            </w:r>
          </w:p>
          <w:p>
            <w:pPr>
              <w:spacing w:line="360" w:lineRule="auto"/>
              <w:jc w:val="left"/>
              <w:rPr>
                <w:rFonts w:ascii="仿宋" w:hAnsi="仿宋"/>
                <w:color w:val="auto"/>
                <w:sz w:val="24"/>
              </w:rPr>
            </w:pPr>
            <w:r>
              <w:rPr>
                <w:rFonts w:hint="eastAsia" w:ascii="仿宋" w:hAnsi="仿宋" w:cs="宋体"/>
                <w:color w:val="auto"/>
                <w:sz w:val="24"/>
              </w:rPr>
              <w:t>注：需要提供相关财务报表等证明材料复印件。</w:t>
            </w:r>
          </w:p>
        </w:tc>
        <w:tc>
          <w:tcPr>
            <w:tcW w:w="709" w:type="dxa"/>
            <w:vAlign w:val="center"/>
          </w:tcPr>
          <w:p>
            <w:pPr>
              <w:spacing w:line="360" w:lineRule="auto"/>
              <w:jc w:val="left"/>
              <w:rPr>
                <w:rFonts w:ascii="仿宋" w:hAnsi="仿宋"/>
                <w:color w:val="auto"/>
                <w:sz w:val="24"/>
              </w:rPr>
            </w:pPr>
            <w:r>
              <w:rPr>
                <w:rFonts w:hint="eastAsia" w:ascii="仿宋" w:hAnsi="仿宋"/>
                <w:color w:val="auto"/>
                <w:sz w:val="24"/>
              </w:rPr>
              <w:t>满分5分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65" w:type="dxa"/>
            <w:vMerge w:val="continue"/>
            <w:vAlign w:val="center"/>
          </w:tcPr>
          <w:p>
            <w:pPr>
              <w:spacing w:line="360" w:lineRule="auto"/>
              <w:jc w:val="left"/>
              <w:rPr>
                <w:rFonts w:ascii="仿宋" w:hAnsi="仿宋"/>
                <w:color w:val="auto"/>
                <w:sz w:val="24"/>
              </w:rPr>
            </w:pPr>
          </w:p>
        </w:tc>
        <w:tc>
          <w:tcPr>
            <w:tcW w:w="1276" w:type="dxa"/>
            <w:vMerge w:val="continue"/>
            <w:vAlign w:val="center"/>
          </w:tcPr>
          <w:p>
            <w:pPr>
              <w:spacing w:line="360" w:lineRule="auto"/>
              <w:jc w:val="left"/>
              <w:rPr>
                <w:rFonts w:ascii="仿宋" w:hAnsi="仿宋"/>
                <w:color w:val="auto"/>
                <w:sz w:val="24"/>
              </w:rPr>
            </w:pPr>
          </w:p>
        </w:tc>
        <w:tc>
          <w:tcPr>
            <w:tcW w:w="1507" w:type="dxa"/>
            <w:vAlign w:val="center"/>
          </w:tcPr>
          <w:p>
            <w:pPr>
              <w:spacing w:line="360" w:lineRule="auto"/>
              <w:jc w:val="left"/>
              <w:rPr>
                <w:rFonts w:ascii="仿宋" w:hAnsi="仿宋"/>
                <w:color w:val="auto"/>
                <w:sz w:val="24"/>
              </w:rPr>
            </w:pPr>
            <w:r>
              <w:rPr>
                <w:rFonts w:hint="eastAsia" w:ascii="仿宋" w:hAnsi="仿宋"/>
                <w:color w:val="auto"/>
                <w:sz w:val="24"/>
              </w:rPr>
              <w:t>投资人承诺的投资额</w:t>
            </w:r>
          </w:p>
        </w:tc>
        <w:tc>
          <w:tcPr>
            <w:tcW w:w="4640" w:type="dxa"/>
            <w:vAlign w:val="center"/>
          </w:tcPr>
          <w:p>
            <w:pPr>
              <w:spacing w:line="360" w:lineRule="auto"/>
              <w:jc w:val="left"/>
              <w:rPr>
                <w:rFonts w:ascii="仿宋" w:hAnsi="仿宋"/>
                <w:color w:val="auto"/>
                <w:sz w:val="24"/>
              </w:rPr>
            </w:pPr>
            <w:r>
              <w:rPr>
                <w:rFonts w:hint="eastAsia" w:ascii="仿宋" w:hAnsi="仿宋"/>
                <w:color w:val="auto"/>
                <w:sz w:val="24"/>
              </w:rPr>
              <w:t>承诺项目总投资额高于4个亿，每多出1个亿得2分，最多得20分；</w:t>
            </w:r>
            <w:r>
              <w:rPr>
                <w:rFonts w:ascii="仿宋" w:hAnsi="仿宋"/>
                <w:color w:val="auto"/>
                <w:sz w:val="24"/>
              </w:rPr>
              <w:t xml:space="preserve"> </w:t>
            </w:r>
          </w:p>
        </w:tc>
        <w:tc>
          <w:tcPr>
            <w:tcW w:w="709" w:type="dxa"/>
            <w:vAlign w:val="center"/>
          </w:tcPr>
          <w:p>
            <w:pPr>
              <w:spacing w:line="360" w:lineRule="auto"/>
              <w:jc w:val="left"/>
              <w:rPr>
                <w:rFonts w:ascii="仿宋" w:hAnsi="仿宋"/>
                <w:color w:val="auto"/>
                <w:sz w:val="24"/>
              </w:rPr>
            </w:pPr>
            <w:r>
              <w:rPr>
                <w:rFonts w:hint="eastAsia" w:ascii="仿宋" w:hAnsi="仿宋"/>
                <w:color w:val="auto"/>
                <w:sz w:val="24"/>
              </w:rPr>
              <w:t>满分20分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765" w:type="dxa"/>
            <w:vMerge w:val="continue"/>
            <w:vAlign w:val="center"/>
          </w:tcPr>
          <w:p>
            <w:pPr>
              <w:spacing w:line="360" w:lineRule="auto"/>
              <w:jc w:val="left"/>
              <w:rPr>
                <w:rFonts w:ascii="仿宋" w:hAnsi="仿宋"/>
                <w:color w:val="auto"/>
                <w:sz w:val="24"/>
              </w:rPr>
            </w:pPr>
          </w:p>
        </w:tc>
        <w:tc>
          <w:tcPr>
            <w:tcW w:w="1276" w:type="dxa"/>
            <w:vMerge w:val="continue"/>
            <w:vAlign w:val="center"/>
          </w:tcPr>
          <w:p>
            <w:pPr>
              <w:spacing w:line="360" w:lineRule="auto"/>
              <w:jc w:val="left"/>
              <w:rPr>
                <w:rFonts w:ascii="仿宋" w:hAnsi="仿宋"/>
                <w:color w:val="auto"/>
                <w:sz w:val="24"/>
              </w:rPr>
            </w:pPr>
          </w:p>
        </w:tc>
        <w:tc>
          <w:tcPr>
            <w:tcW w:w="1507" w:type="dxa"/>
            <w:vAlign w:val="center"/>
          </w:tcPr>
          <w:p>
            <w:pPr>
              <w:spacing w:line="360" w:lineRule="auto"/>
              <w:jc w:val="left"/>
              <w:rPr>
                <w:rFonts w:hint="eastAsia" w:ascii="仿宋" w:hAnsi="仿宋"/>
                <w:color w:val="auto"/>
                <w:sz w:val="24"/>
              </w:rPr>
            </w:pPr>
            <w:r>
              <w:rPr>
                <w:rFonts w:hint="eastAsia" w:ascii="仿宋" w:hAnsi="仿宋"/>
                <w:color w:val="auto"/>
                <w:sz w:val="24"/>
              </w:rPr>
              <w:t>投资项目</w:t>
            </w:r>
          </w:p>
        </w:tc>
        <w:tc>
          <w:tcPr>
            <w:tcW w:w="4640" w:type="dxa"/>
            <w:vAlign w:val="center"/>
          </w:tcPr>
          <w:p>
            <w:pPr>
              <w:spacing w:line="360" w:lineRule="auto"/>
              <w:jc w:val="left"/>
              <w:rPr>
                <w:rFonts w:hint="eastAsia" w:ascii="仿宋" w:hAnsi="仿宋"/>
                <w:color w:val="auto"/>
                <w:sz w:val="24"/>
              </w:rPr>
            </w:pPr>
            <w:r>
              <w:rPr>
                <w:rFonts w:hint="eastAsia" w:ascii="仿宋" w:hAnsi="仿宋"/>
                <w:color w:val="auto"/>
                <w:sz w:val="24"/>
              </w:rPr>
              <w:t>投资合作伙伴每成功投资1个项目得5分，最多得10分。</w:t>
            </w:r>
          </w:p>
          <w:p>
            <w:pPr>
              <w:spacing w:line="360" w:lineRule="auto"/>
              <w:jc w:val="left"/>
              <w:rPr>
                <w:rFonts w:hint="eastAsia" w:ascii="仿宋" w:hAnsi="仿宋"/>
                <w:color w:val="auto"/>
                <w:sz w:val="24"/>
              </w:rPr>
            </w:pPr>
            <w:r>
              <w:rPr>
                <w:rFonts w:hint="eastAsia" w:ascii="仿宋" w:hAnsi="仿宋"/>
                <w:color w:val="auto"/>
                <w:sz w:val="24"/>
              </w:rPr>
              <w:t>说明：成功投资项目，需要提供合同或其他证明文件，复印件的需要加盖公章，合同较多的可以提供主要页。</w:t>
            </w:r>
          </w:p>
        </w:tc>
        <w:tc>
          <w:tcPr>
            <w:tcW w:w="709" w:type="dxa"/>
            <w:vAlign w:val="center"/>
          </w:tcPr>
          <w:p>
            <w:pPr>
              <w:spacing w:line="360" w:lineRule="auto"/>
              <w:jc w:val="left"/>
              <w:rPr>
                <w:rFonts w:hint="eastAsia" w:ascii="仿宋" w:hAnsi="仿宋"/>
                <w:color w:val="auto"/>
                <w:sz w:val="24"/>
              </w:rPr>
            </w:pPr>
            <w:r>
              <w:rPr>
                <w:rFonts w:hint="eastAsia" w:ascii="仿宋" w:hAnsi="仿宋"/>
                <w:color w:val="auto"/>
                <w:sz w:val="24"/>
              </w:rPr>
              <w:t>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765" w:type="dxa"/>
            <w:vAlign w:val="center"/>
          </w:tcPr>
          <w:p>
            <w:pPr>
              <w:spacing w:line="360" w:lineRule="auto"/>
              <w:jc w:val="left"/>
              <w:rPr>
                <w:rFonts w:ascii="仿宋" w:hAnsi="仿宋"/>
                <w:color w:val="auto"/>
                <w:sz w:val="24"/>
              </w:rPr>
            </w:pPr>
            <w:r>
              <w:rPr>
                <w:rFonts w:hint="eastAsia" w:ascii="仿宋" w:hAnsi="仿宋"/>
                <w:color w:val="auto"/>
                <w:sz w:val="24"/>
              </w:rPr>
              <w:t>技术部分</w:t>
            </w:r>
          </w:p>
        </w:tc>
        <w:tc>
          <w:tcPr>
            <w:tcW w:w="1276" w:type="dxa"/>
            <w:vAlign w:val="center"/>
          </w:tcPr>
          <w:p>
            <w:pPr>
              <w:spacing w:line="360" w:lineRule="auto"/>
              <w:jc w:val="left"/>
              <w:rPr>
                <w:rFonts w:ascii="仿宋" w:hAnsi="仿宋"/>
                <w:color w:val="auto"/>
                <w:sz w:val="24"/>
              </w:rPr>
            </w:pPr>
            <w:r>
              <w:rPr>
                <w:rFonts w:hint="eastAsia" w:ascii="仿宋" w:hAnsi="仿宋"/>
                <w:color w:val="auto"/>
                <w:sz w:val="24"/>
              </w:rPr>
              <w:t>满分25分</w:t>
            </w:r>
          </w:p>
        </w:tc>
        <w:tc>
          <w:tcPr>
            <w:tcW w:w="1507" w:type="dxa"/>
            <w:vAlign w:val="center"/>
          </w:tcPr>
          <w:p>
            <w:pPr>
              <w:spacing w:line="360" w:lineRule="auto"/>
              <w:jc w:val="left"/>
              <w:rPr>
                <w:rFonts w:ascii="仿宋" w:hAnsi="仿宋"/>
                <w:color w:val="auto"/>
                <w:sz w:val="24"/>
              </w:rPr>
            </w:pPr>
            <w:r>
              <w:rPr>
                <w:rFonts w:hint="eastAsia" w:ascii="仿宋" w:hAnsi="仿宋"/>
                <w:color w:val="auto"/>
                <w:sz w:val="24"/>
              </w:rPr>
              <w:t>策划运营方案</w:t>
            </w:r>
          </w:p>
        </w:tc>
        <w:tc>
          <w:tcPr>
            <w:tcW w:w="4640" w:type="dxa"/>
            <w:vAlign w:val="center"/>
          </w:tcPr>
          <w:p>
            <w:pPr>
              <w:spacing w:line="360" w:lineRule="auto"/>
              <w:jc w:val="left"/>
              <w:rPr>
                <w:rFonts w:ascii="仿宋" w:hAnsi="仿宋"/>
                <w:color w:val="auto"/>
                <w:sz w:val="24"/>
              </w:rPr>
            </w:pPr>
            <w:r>
              <w:rPr>
                <w:rFonts w:hint="eastAsia" w:ascii="仿宋" w:hAnsi="仿宋"/>
                <w:color w:val="auto"/>
                <w:sz w:val="24"/>
              </w:rPr>
              <w:t>综合考量策划运营方案的完整性与可行性，包括但不限于招商计划的详细性、与相关联程度以及风险识别与控制方案的科学性等因素，得出评判结果：</w:t>
            </w:r>
          </w:p>
          <w:p>
            <w:pPr>
              <w:numPr>
                <w:ilvl w:val="0"/>
                <w:numId w:val="1"/>
              </w:numPr>
              <w:spacing w:line="360" w:lineRule="auto"/>
              <w:jc w:val="left"/>
              <w:rPr>
                <w:rFonts w:ascii="仿宋" w:hAnsi="仿宋"/>
                <w:color w:val="auto"/>
                <w:sz w:val="24"/>
              </w:rPr>
            </w:pPr>
            <w:r>
              <w:rPr>
                <w:rFonts w:hint="eastAsia" w:ascii="仿宋" w:hAnsi="仿宋"/>
                <w:color w:val="auto"/>
                <w:sz w:val="24"/>
              </w:rPr>
              <w:t>招标计划详细明确，有时间节点安排且能满足项目实际运作情况的，得5-7分；有时间节点安排但不满足项目实际运作情况的，得1-4分；没有时间节点安排的得0分。</w:t>
            </w:r>
          </w:p>
          <w:p>
            <w:pPr>
              <w:numPr>
                <w:ilvl w:val="0"/>
                <w:numId w:val="1"/>
              </w:numPr>
              <w:spacing w:line="360" w:lineRule="auto"/>
              <w:jc w:val="left"/>
              <w:rPr>
                <w:rFonts w:ascii="仿宋" w:hAnsi="仿宋"/>
                <w:color w:val="auto"/>
                <w:sz w:val="24"/>
              </w:rPr>
            </w:pPr>
            <w:r>
              <w:rPr>
                <w:rFonts w:hint="eastAsia" w:ascii="仿宋" w:hAnsi="仿宋"/>
                <w:color w:val="auto"/>
                <w:sz w:val="24"/>
              </w:rPr>
              <w:t>与本项目的相关联程度，关联程度较高的，得5-7分；关联程度不高的，得1-4分。</w:t>
            </w:r>
          </w:p>
          <w:p>
            <w:pPr>
              <w:numPr>
                <w:ilvl w:val="0"/>
                <w:numId w:val="1"/>
              </w:numPr>
              <w:spacing w:line="360" w:lineRule="auto"/>
              <w:jc w:val="left"/>
              <w:rPr>
                <w:rFonts w:ascii="仿宋" w:hAnsi="仿宋"/>
                <w:color w:val="auto"/>
                <w:sz w:val="24"/>
              </w:rPr>
            </w:pPr>
            <w:r>
              <w:rPr>
                <w:rFonts w:hint="eastAsia" w:ascii="仿宋" w:hAnsi="仿宋"/>
                <w:color w:val="auto"/>
                <w:sz w:val="24"/>
              </w:rPr>
              <w:t>能够识别出相关风险的，得1-4分；能够识别出相关风险并且设计出科学的控制方案的，得5-7分。</w:t>
            </w:r>
          </w:p>
          <w:p>
            <w:pPr>
              <w:numPr>
                <w:ilvl w:val="0"/>
                <w:numId w:val="1"/>
              </w:numPr>
              <w:spacing w:line="360" w:lineRule="auto"/>
              <w:jc w:val="left"/>
              <w:rPr>
                <w:rFonts w:ascii="仿宋" w:hAnsi="仿宋"/>
                <w:color w:val="auto"/>
                <w:sz w:val="24"/>
              </w:rPr>
            </w:pPr>
            <w:r>
              <w:rPr>
                <w:rFonts w:hint="eastAsia" w:ascii="仿宋" w:hAnsi="仿宋"/>
                <w:color w:val="auto"/>
                <w:sz w:val="24"/>
              </w:rPr>
              <w:t>投资者设计的其他方案科学合理的，得1-4分。</w:t>
            </w:r>
          </w:p>
        </w:tc>
        <w:tc>
          <w:tcPr>
            <w:tcW w:w="709" w:type="dxa"/>
            <w:vAlign w:val="center"/>
          </w:tcPr>
          <w:p>
            <w:pPr>
              <w:spacing w:line="360" w:lineRule="auto"/>
              <w:jc w:val="left"/>
              <w:rPr>
                <w:rFonts w:ascii="仿宋" w:hAnsi="仿宋"/>
                <w:color w:val="auto"/>
                <w:sz w:val="24"/>
              </w:rPr>
            </w:pPr>
          </w:p>
          <w:p>
            <w:pPr>
              <w:spacing w:line="360" w:lineRule="auto"/>
              <w:jc w:val="left"/>
              <w:rPr>
                <w:rFonts w:ascii="仿宋" w:hAnsi="仿宋"/>
                <w:color w:val="auto"/>
                <w:sz w:val="24"/>
              </w:rPr>
            </w:pPr>
            <w:r>
              <w:rPr>
                <w:rFonts w:hint="eastAsia" w:ascii="仿宋" w:hAnsi="仿宋"/>
                <w:color w:val="auto"/>
                <w:sz w:val="24"/>
              </w:rPr>
              <w:t>满分25分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right w:val="single" w:color="auto" w:sz="4" w:space="0"/>
            </w:tcBorders>
            <w:vAlign w:val="center"/>
          </w:tcPr>
          <w:p>
            <w:pPr>
              <w:spacing w:line="360" w:lineRule="auto"/>
              <w:jc w:val="left"/>
              <w:rPr>
                <w:rFonts w:ascii="仿宋" w:hAnsi="仿宋"/>
                <w:color w:val="auto"/>
                <w:sz w:val="24"/>
              </w:rPr>
            </w:pPr>
            <w:r>
              <w:rPr>
                <w:rFonts w:hint="eastAsia" w:ascii="仿宋" w:hAnsi="仿宋"/>
                <w:color w:val="auto"/>
                <w:sz w:val="24"/>
              </w:rPr>
              <w:t>现场答辩</w:t>
            </w:r>
          </w:p>
        </w:tc>
        <w:tc>
          <w:tcPr>
            <w:tcW w:w="1276" w:type="dxa"/>
            <w:tcBorders>
              <w:top w:val="single" w:color="auto" w:sz="4" w:space="0"/>
              <w:left w:val="single" w:color="auto" w:sz="4" w:space="0"/>
              <w:right w:val="single" w:color="auto" w:sz="4" w:space="0"/>
            </w:tcBorders>
            <w:vAlign w:val="center"/>
          </w:tcPr>
          <w:p>
            <w:pPr>
              <w:spacing w:line="360" w:lineRule="auto"/>
              <w:jc w:val="left"/>
              <w:rPr>
                <w:rFonts w:ascii="仿宋" w:hAnsi="仿宋"/>
                <w:color w:val="auto"/>
                <w:sz w:val="24"/>
              </w:rPr>
            </w:pPr>
            <w:r>
              <w:rPr>
                <w:rFonts w:hint="eastAsia" w:ascii="仿宋" w:hAnsi="仿宋"/>
                <w:color w:val="auto"/>
                <w:sz w:val="24"/>
              </w:rPr>
              <w:t>满分20分</w:t>
            </w:r>
          </w:p>
        </w:tc>
        <w:tc>
          <w:tcPr>
            <w:tcW w:w="1507" w:type="dxa"/>
            <w:tcBorders>
              <w:top w:val="single" w:color="auto" w:sz="4" w:space="0"/>
              <w:left w:val="single" w:color="auto" w:sz="4" w:space="0"/>
              <w:right w:val="single" w:color="auto" w:sz="4" w:space="0"/>
            </w:tcBorders>
            <w:vAlign w:val="center"/>
          </w:tcPr>
          <w:p>
            <w:pPr>
              <w:spacing w:line="360" w:lineRule="auto"/>
              <w:jc w:val="left"/>
              <w:rPr>
                <w:rFonts w:ascii="仿宋" w:hAnsi="仿宋"/>
                <w:color w:val="auto"/>
                <w:sz w:val="24"/>
              </w:rPr>
            </w:pPr>
            <w:r>
              <w:rPr>
                <w:rFonts w:hint="eastAsia" w:ascii="仿宋" w:hAnsi="仿宋"/>
                <w:color w:val="auto"/>
                <w:sz w:val="24"/>
              </w:rPr>
              <w:t>针对本项目的定位、运营的理解</w:t>
            </w:r>
          </w:p>
        </w:tc>
        <w:tc>
          <w:tcPr>
            <w:tcW w:w="4640" w:type="dxa"/>
            <w:tcBorders>
              <w:top w:val="single" w:color="auto" w:sz="4" w:space="0"/>
              <w:left w:val="single" w:color="auto" w:sz="4" w:space="0"/>
              <w:right w:val="single" w:color="auto" w:sz="4" w:space="0"/>
            </w:tcBorders>
            <w:vAlign w:val="center"/>
          </w:tcPr>
          <w:p>
            <w:pPr>
              <w:numPr>
                <w:ilvl w:val="0"/>
                <w:numId w:val="2"/>
              </w:numPr>
              <w:spacing w:line="360" w:lineRule="auto"/>
              <w:jc w:val="left"/>
              <w:rPr>
                <w:rFonts w:ascii="仿宋" w:hAnsi="仿宋"/>
                <w:color w:val="auto"/>
                <w:sz w:val="24"/>
              </w:rPr>
            </w:pPr>
            <w:r>
              <w:rPr>
                <w:rFonts w:hint="eastAsia" w:ascii="仿宋" w:hAnsi="仿宋"/>
                <w:color w:val="auto"/>
                <w:sz w:val="24"/>
              </w:rPr>
              <w:t>答辩内容准确、合理，符合本项目产业定位，且具有明确的运营思路，与运营方案不偏离的，得15-20分；</w:t>
            </w:r>
          </w:p>
          <w:p>
            <w:pPr>
              <w:numPr>
                <w:ilvl w:val="0"/>
                <w:numId w:val="2"/>
              </w:numPr>
              <w:spacing w:line="360" w:lineRule="auto"/>
              <w:jc w:val="left"/>
              <w:rPr>
                <w:rFonts w:ascii="仿宋" w:hAnsi="仿宋"/>
                <w:color w:val="auto"/>
                <w:sz w:val="24"/>
              </w:rPr>
            </w:pPr>
            <w:r>
              <w:rPr>
                <w:rFonts w:hint="eastAsia" w:ascii="仿宋" w:hAnsi="仿宋"/>
                <w:color w:val="auto"/>
                <w:sz w:val="24"/>
              </w:rPr>
              <w:t>答辩内容基本准确、合理，基本符合本项目产业定位，运营思路基本明确，与运营方案有少部分偏离的，得10-14分；</w:t>
            </w:r>
          </w:p>
          <w:p>
            <w:pPr>
              <w:numPr>
                <w:ilvl w:val="0"/>
                <w:numId w:val="2"/>
              </w:numPr>
              <w:spacing w:line="360" w:lineRule="auto"/>
              <w:jc w:val="left"/>
              <w:rPr>
                <w:rFonts w:ascii="仿宋" w:hAnsi="仿宋"/>
                <w:color w:val="auto"/>
                <w:sz w:val="24"/>
              </w:rPr>
            </w:pPr>
            <w:r>
              <w:rPr>
                <w:rFonts w:hint="eastAsia" w:ascii="仿宋" w:hAnsi="仿宋"/>
                <w:color w:val="auto"/>
                <w:sz w:val="24"/>
              </w:rPr>
              <w:t>答辩内容基本准确、合理，基本符合本项目产业定位，但运营思路不太明确或与运营方案偏离较大的，得5-9分；</w:t>
            </w:r>
          </w:p>
          <w:p>
            <w:pPr>
              <w:numPr>
                <w:ilvl w:val="0"/>
                <w:numId w:val="2"/>
              </w:numPr>
              <w:spacing w:line="360" w:lineRule="auto"/>
              <w:jc w:val="left"/>
              <w:rPr>
                <w:rFonts w:ascii="仿宋" w:hAnsi="仿宋"/>
                <w:color w:val="auto"/>
                <w:sz w:val="24"/>
              </w:rPr>
            </w:pPr>
            <w:r>
              <w:rPr>
                <w:rFonts w:hint="eastAsia" w:ascii="仿宋" w:hAnsi="仿宋"/>
                <w:color w:val="auto"/>
                <w:sz w:val="24"/>
              </w:rPr>
              <w:t>答辩内容不太准确合理，与本项目产业定位有偏差的得1-4分。</w:t>
            </w:r>
          </w:p>
        </w:tc>
        <w:tc>
          <w:tcPr>
            <w:tcW w:w="709" w:type="dxa"/>
            <w:tcBorders>
              <w:top w:val="single" w:color="auto" w:sz="4" w:space="0"/>
              <w:left w:val="single" w:color="auto" w:sz="4" w:space="0"/>
            </w:tcBorders>
            <w:vAlign w:val="center"/>
          </w:tcPr>
          <w:p>
            <w:pPr>
              <w:spacing w:line="360" w:lineRule="auto"/>
              <w:jc w:val="left"/>
              <w:rPr>
                <w:rFonts w:ascii="仿宋" w:hAnsi="仿宋"/>
                <w:color w:val="auto"/>
                <w:sz w:val="24"/>
              </w:rPr>
            </w:pPr>
            <w:r>
              <w:rPr>
                <w:rFonts w:hint="eastAsia" w:ascii="仿宋" w:hAnsi="仿宋"/>
                <w:color w:val="auto"/>
                <w:sz w:val="24"/>
              </w:rPr>
              <w:t>满分20分</w:t>
            </w:r>
          </w:p>
        </w:tc>
      </w:tr>
    </w:tbl>
    <w:p>
      <w:pPr>
        <w:pStyle w:val="4"/>
        <w:rPr>
          <w:rFonts w:hint="eastAsia"/>
          <w:color w:val="auto"/>
        </w:rPr>
      </w:pPr>
    </w:p>
    <w:p>
      <w:pPr>
        <w:pStyle w:val="4"/>
        <w:rPr>
          <w:rFonts w:hint="eastAsia"/>
          <w:color w:val="auto"/>
        </w:rPr>
      </w:pPr>
      <w:bookmarkStart w:id="15" w:name="_Toc1622"/>
      <w:r>
        <w:rPr>
          <w:rFonts w:hint="eastAsia"/>
          <w:color w:val="auto"/>
        </w:rPr>
        <w:t>3、资格条件审查</w:t>
      </w:r>
      <w:bookmarkEnd w:id="15"/>
    </w:p>
    <w:p>
      <w:pPr>
        <w:spacing w:line="360" w:lineRule="auto"/>
        <w:rPr>
          <w:rFonts w:hint="eastAsia" w:ascii="仿宋" w:hAnsi="仿宋"/>
          <w:color w:val="auto"/>
          <w:sz w:val="24"/>
        </w:rPr>
      </w:pPr>
      <w:r>
        <w:rPr>
          <w:rFonts w:hint="eastAsia" w:ascii="仿宋" w:hAnsi="仿宋"/>
          <w:color w:val="auto"/>
          <w:sz w:val="24"/>
        </w:rPr>
        <w:t>谈判小组依据法律法规和招商文件中规定的内容，对投标人的资格进行审查，投标人应按下列要求提交资格证明材料：</w:t>
      </w:r>
    </w:p>
    <w:p>
      <w:pPr>
        <w:spacing w:line="360" w:lineRule="auto"/>
        <w:rPr>
          <w:rFonts w:hint="eastAsia" w:ascii="仿宋" w:hAnsi="仿宋"/>
          <w:color w:val="auto"/>
          <w:sz w:val="24"/>
        </w:rPr>
      </w:pPr>
      <w:r>
        <w:rPr>
          <w:rFonts w:hint="eastAsia" w:ascii="仿宋" w:hAnsi="仿宋"/>
          <w:color w:val="auto"/>
          <w:sz w:val="24"/>
        </w:rPr>
        <w:t>（1）法定代表人身份证明书原件或授权委托书原件。</w:t>
      </w:r>
    </w:p>
    <w:p>
      <w:pPr>
        <w:spacing w:line="360" w:lineRule="auto"/>
        <w:rPr>
          <w:rFonts w:hint="eastAsia" w:ascii="仿宋" w:hAnsi="仿宋"/>
          <w:color w:val="auto"/>
          <w:sz w:val="24"/>
        </w:rPr>
      </w:pPr>
      <w:r>
        <w:rPr>
          <w:rFonts w:hint="eastAsia" w:ascii="仿宋" w:hAnsi="仿宋"/>
          <w:color w:val="auto"/>
          <w:sz w:val="24"/>
        </w:rPr>
        <w:t>（2）营业执照副本（复印件加盖单位公章）</w:t>
      </w:r>
    </w:p>
    <w:p>
      <w:pPr>
        <w:spacing w:line="360" w:lineRule="auto"/>
        <w:rPr>
          <w:rFonts w:hint="eastAsia" w:ascii="仿宋" w:hAnsi="仿宋"/>
          <w:color w:val="auto"/>
          <w:sz w:val="24"/>
        </w:rPr>
      </w:pPr>
      <w:r>
        <w:rPr>
          <w:rFonts w:hint="eastAsia" w:ascii="仿宋" w:hAnsi="仿宋"/>
          <w:color w:val="auto"/>
          <w:sz w:val="24"/>
        </w:rPr>
        <w:t>（3）投资合作伙伴的注册资本在人民币2500万元以上。</w:t>
      </w:r>
    </w:p>
    <w:p>
      <w:pPr>
        <w:spacing w:line="360" w:lineRule="auto"/>
        <w:rPr>
          <w:rFonts w:hint="eastAsia" w:ascii="仿宋" w:hAnsi="仿宋"/>
          <w:color w:val="auto"/>
          <w:sz w:val="24"/>
        </w:rPr>
      </w:pPr>
      <w:r>
        <w:rPr>
          <w:rFonts w:hint="eastAsia" w:ascii="仿宋" w:hAnsi="仿宋"/>
          <w:color w:val="auto"/>
          <w:sz w:val="24"/>
        </w:rPr>
        <w:t>（4）投资合作伙伴具备成功的类似项目投资经验（类似项目经验需要提供合同或其他证明文件的复印件并加盖单位公章，文件较多，可提供主要页）。  </w:t>
      </w:r>
    </w:p>
    <w:p>
      <w:pPr>
        <w:spacing w:line="360" w:lineRule="auto"/>
        <w:rPr>
          <w:rFonts w:hint="eastAsia"/>
          <w:color w:val="auto"/>
        </w:rPr>
      </w:pPr>
      <w:r>
        <w:rPr>
          <w:rFonts w:hint="eastAsia" w:ascii="仿宋" w:hAnsi="仿宋"/>
          <w:color w:val="auto"/>
          <w:sz w:val="24"/>
        </w:rPr>
        <w:t>未通过资格审查的投标人不能进入评标，其投标将被认定为投标无效；本次招商经资格审查后，符合要求单位少于三家时，招商工作可继续进行。</w:t>
      </w:r>
    </w:p>
    <w:p>
      <w:pPr>
        <w:pStyle w:val="4"/>
        <w:rPr>
          <w:color w:val="auto"/>
        </w:rPr>
      </w:pPr>
      <w:bookmarkStart w:id="16" w:name="_Toc4093"/>
      <w:r>
        <w:rPr>
          <w:rFonts w:hint="eastAsia"/>
          <w:color w:val="auto"/>
          <w:lang w:val="en-US" w:eastAsia="zh-CN"/>
        </w:rPr>
        <w:t>4</w:t>
      </w:r>
      <w:r>
        <w:rPr>
          <w:rFonts w:hint="eastAsia"/>
          <w:color w:val="auto"/>
        </w:rPr>
        <w:t>、答辩程序</w:t>
      </w:r>
      <w:bookmarkEnd w:id="16"/>
    </w:p>
    <w:p>
      <w:pPr>
        <w:spacing w:line="360" w:lineRule="auto"/>
        <w:rPr>
          <w:rFonts w:ascii="仿宋" w:hAnsi="仿宋"/>
          <w:color w:val="auto"/>
          <w:sz w:val="24"/>
        </w:rPr>
      </w:pPr>
      <w:r>
        <w:rPr>
          <w:rFonts w:hint="eastAsia" w:ascii="仿宋" w:hAnsi="仿宋"/>
          <w:color w:val="auto"/>
          <w:sz w:val="24"/>
        </w:rPr>
        <w:t>答辩按照以下程序进行</w:t>
      </w:r>
    </w:p>
    <w:p>
      <w:pPr>
        <w:spacing w:line="360" w:lineRule="auto"/>
        <w:rPr>
          <w:rFonts w:ascii="仿宋" w:hAnsi="仿宋"/>
          <w:color w:val="auto"/>
          <w:sz w:val="24"/>
        </w:rPr>
      </w:pPr>
      <w:r>
        <w:rPr>
          <w:rFonts w:hint="eastAsia" w:ascii="仿宋" w:hAnsi="仿宋"/>
          <w:color w:val="auto"/>
          <w:sz w:val="24"/>
        </w:rPr>
        <w:t>(1)谈判小组宣布答辩开始</w:t>
      </w:r>
    </w:p>
    <w:p>
      <w:pPr>
        <w:spacing w:line="360" w:lineRule="auto"/>
        <w:rPr>
          <w:rFonts w:ascii="仿宋" w:hAnsi="仿宋"/>
          <w:color w:val="auto"/>
          <w:sz w:val="24"/>
        </w:rPr>
      </w:pPr>
      <w:r>
        <w:rPr>
          <w:rFonts w:hint="eastAsia" w:ascii="仿宋" w:hAnsi="仿宋"/>
          <w:color w:val="auto"/>
          <w:sz w:val="24"/>
        </w:rPr>
        <w:t>宣布答辩开始时，招商单位组建的谈判小组将宣布以下信息并加以记录:</w:t>
      </w:r>
    </w:p>
    <w:p>
      <w:pPr>
        <w:spacing w:line="360" w:lineRule="auto"/>
        <w:rPr>
          <w:rFonts w:ascii="仿宋" w:hAnsi="仿宋"/>
          <w:color w:val="auto"/>
          <w:sz w:val="24"/>
        </w:rPr>
      </w:pPr>
      <w:r>
        <w:rPr>
          <w:rFonts w:hint="eastAsia" w:ascii="仿宋" w:hAnsi="仿宋"/>
          <w:color w:val="auto"/>
          <w:sz w:val="24"/>
        </w:rPr>
        <w:t>1投资合作伙伴名称;</w:t>
      </w:r>
    </w:p>
    <w:p>
      <w:pPr>
        <w:spacing w:line="360" w:lineRule="auto"/>
        <w:rPr>
          <w:rFonts w:ascii="仿宋" w:hAnsi="仿宋"/>
          <w:color w:val="auto"/>
          <w:sz w:val="24"/>
        </w:rPr>
      </w:pPr>
      <w:r>
        <w:rPr>
          <w:rFonts w:hint="eastAsia" w:ascii="仿宋" w:hAnsi="仿宋"/>
          <w:color w:val="auto"/>
          <w:sz w:val="24"/>
        </w:rPr>
        <w:t>2.响应文件递交时间;</w:t>
      </w:r>
    </w:p>
    <w:p>
      <w:pPr>
        <w:spacing w:line="360" w:lineRule="auto"/>
        <w:rPr>
          <w:rFonts w:ascii="仿宋" w:hAnsi="仿宋"/>
          <w:color w:val="auto"/>
          <w:sz w:val="24"/>
        </w:rPr>
      </w:pPr>
      <w:r>
        <w:rPr>
          <w:rFonts w:hint="eastAsia" w:ascii="仿宋" w:hAnsi="仿宋"/>
          <w:color w:val="auto"/>
          <w:sz w:val="24"/>
        </w:rPr>
        <w:t>3.响应文件是否封装完好;</w:t>
      </w:r>
    </w:p>
    <w:p>
      <w:pPr>
        <w:spacing w:line="360" w:lineRule="auto"/>
        <w:rPr>
          <w:rFonts w:ascii="仿宋" w:hAnsi="仿宋"/>
          <w:color w:val="auto"/>
          <w:sz w:val="24"/>
        </w:rPr>
      </w:pPr>
      <w:r>
        <w:rPr>
          <w:rFonts w:hint="eastAsia" w:ascii="仿宋" w:hAnsi="仿宋"/>
          <w:color w:val="auto"/>
          <w:sz w:val="24"/>
        </w:rPr>
        <w:t>4.响应文件是否完整，是否符合投资合作伙伴须知序号6中的要求。</w:t>
      </w:r>
    </w:p>
    <w:p>
      <w:pPr>
        <w:spacing w:line="360" w:lineRule="auto"/>
        <w:rPr>
          <w:rFonts w:ascii="仿宋" w:hAnsi="仿宋"/>
          <w:color w:val="auto"/>
          <w:sz w:val="24"/>
        </w:rPr>
      </w:pPr>
      <w:r>
        <w:rPr>
          <w:rFonts w:hint="eastAsia" w:ascii="仿宋" w:hAnsi="仿宋"/>
          <w:color w:val="auto"/>
          <w:sz w:val="24"/>
        </w:rPr>
        <w:t>(2)谈判小组拆封响应文件</w:t>
      </w:r>
    </w:p>
    <w:p>
      <w:pPr>
        <w:spacing w:line="360" w:lineRule="auto"/>
        <w:rPr>
          <w:rFonts w:ascii="仿宋" w:hAnsi="仿宋"/>
          <w:color w:val="auto"/>
          <w:sz w:val="24"/>
        </w:rPr>
      </w:pPr>
      <w:r>
        <w:rPr>
          <w:rFonts w:hint="eastAsia" w:ascii="仿宋" w:hAnsi="仿宋"/>
          <w:color w:val="auto"/>
          <w:sz w:val="24"/>
        </w:rPr>
        <w:t>(3)投资合作伙伴答辩小组长介绍响应文件</w:t>
      </w:r>
    </w:p>
    <w:p>
      <w:pPr>
        <w:spacing w:line="360" w:lineRule="auto"/>
        <w:rPr>
          <w:rFonts w:ascii="仿宋" w:hAnsi="仿宋"/>
          <w:color w:val="auto"/>
          <w:sz w:val="24"/>
        </w:rPr>
      </w:pPr>
      <w:r>
        <w:rPr>
          <w:rFonts w:hint="eastAsia" w:ascii="仿宋" w:hAnsi="仿宋"/>
          <w:color w:val="auto"/>
          <w:sz w:val="24"/>
        </w:rPr>
        <w:t>(4)招商单位谈判小组向投资合作伙伴答辩小组提问</w:t>
      </w:r>
    </w:p>
    <w:p>
      <w:pPr>
        <w:spacing w:line="360" w:lineRule="auto"/>
        <w:rPr>
          <w:rFonts w:ascii="仿宋" w:hAnsi="仿宋"/>
          <w:color w:val="auto"/>
          <w:sz w:val="24"/>
        </w:rPr>
      </w:pPr>
      <w:r>
        <w:rPr>
          <w:rFonts w:hint="eastAsia" w:ascii="仿宋" w:hAnsi="仿宋"/>
          <w:color w:val="auto"/>
          <w:sz w:val="24"/>
        </w:rPr>
        <w:t>(5)双方协商</w:t>
      </w:r>
    </w:p>
    <w:p>
      <w:pPr>
        <w:spacing w:line="360" w:lineRule="auto"/>
        <w:rPr>
          <w:rFonts w:ascii="仿宋" w:hAnsi="仿宋"/>
          <w:color w:val="auto"/>
          <w:sz w:val="24"/>
        </w:rPr>
      </w:pPr>
      <w:r>
        <w:rPr>
          <w:rFonts w:hint="eastAsia" w:ascii="仿宋" w:hAnsi="仿宋"/>
          <w:color w:val="auto"/>
          <w:sz w:val="24"/>
        </w:rPr>
        <w:t>(6)双方签署答辩备忘录</w:t>
      </w:r>
    </w:p>
    <w:p>
      <w:pPr>
        <w:spacing w:line="360" w:lineRule="auto"/>
        <w:rPr>
          <w:rFonts w:ascii="仿宋" w:hAnsi="仿宋"/>
          <w:color w:val="auto"/>
          <w:sz w:val="24"/>
        </w:rPr>
      </w:pPr>
      <w:r>
        <w:rPr>
          <w:rFonts w:hint="eastAsia" w:ascii="仿宋" w:hAnsi="仿宋"/>
          <w:color w:val="auto"/>
          <w:sz w:val="24"/>
        </w:rPr>
        <w:t>(7)谈判小组对投资合作伙伴进行打分</w:t>
      </w:r>
    </w:p>
    <w:p>
      <w:pPr>
        <w:spacing w:line="360" w:lineRule="auto"/>
        <w:rPr>
          <w:rFonts w:ascii="仿宋" w:hAnsi="仿宋"/>
          <w:color w:val="auto"/>
          <w:sz w:val="24"/>
        </w:rPr>
      </w:pPr>
      <w:r>
        <w:rPr>
          <w:rFonts w:hint="eastAsia" w:ascii="仿宋" w:hAnsi="仿宋"/>
          <w:color w:val="auto"/>
          <w:sz w:val="24"/>
        </w:rPr>
        <w:t>(8)答辩结束</w:t>
      </w:r>
    </w:p>
    <w:p>
      <w:pPr>
        <w:spacing w:line="360" w:lineRule="auto"/>
        <w:rPr>
          <w:rFonts w:ascii="仿宋" w:hAnsi="仿宋"/>
          <w:color w:val="auto"/>
          <w:sz w:val="22"/>
          <w:szCs w:val="22"/>
        </w:rPr>
      </w:pPr>
      <w:r>
        <w:rPr>
          <w:rFonts w:hint="eastAsia" w:ascii="仿宋" w:hAnsi="仿宋"/>
          <w:b/>
          <w:bCs/>
          <w:color w:val="auto"/>
          <w:sz w:val="22"/>
          <w:szCs w:val="22"/>
          <w:lang w:val="en-US" w:eastAsia="zh-CN"/>
        </w:rPr>
        <w:t>4</w:t>
      </w:r>
      <w:r>
        <w:rPr>
          <w:rFonts w:hint="eastAsia" w:ascii="仿宋" w:hAnsi="仿宋"/>
          <w:b/>
          <w:bCs/>
          <w:color w:val="auto"/>
          <w:sz w:val="22"/>
          <w:szCs w:val="22"/>
        </w:rPr>
        <w:t>.1初步评审</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.1.1宣布答辩开始时，招商单位组建的谈判小组将宣布以下信息并加以记录:</w:t>
      </w:r>
    </w:p>
    <w:p>
      <w:pPr>
        <w:spacing w:line="360" w:lineRule="auto"/>
        <w:rPr>
          <w:rFonts w:ascii="仿宋" w:hAnsi="仿宋"/>
          <w:color w:val="auto"/>
          <w:sz w:val="24"/>
        </w:rPr>
      </w:pPr>
      <w:r>
        <w:rPr>
          <w:rFonts w:hint="eastAsia" w:ascii="仿宋" w:hAnsi="仿宋"/>
          <w:color w:val="auto"/>
          <w:sz w:val="24"/>
        </w:rPr>
        <w:t>(1)投资合作伙伴名称;</w:t>
      </w:r>
    </w:p>
    <w:p>
      <w:pPr>
        <w:spacing w:line="360" w:lineRule="auto"/>
        <w:rPr>
          <w:rFonts w:ascii="仿宋" w:hAnsi="仿宋"/>
          <w:color w:val="auto"/>
          <w:sz w:val="24"/>
        </w:rPr>
      </w:pPr>
      <w:r>
        <w:rPr>
          <w:rFonts w:hint="eastAsia" w:ascii="仿宋" w:hAnsi="仿宋"/>
          <w:color w:val="auto"/>
          <w:sz w:val="24"/>
        </w:rPr>
        <w:t>(2)响应文件递交时间;</w:t>
      </w:r>
    </w:p>
    <w:p>
      <w:pPr>
        <w:spacing w:line="360" w:lineRule="auto"/>
        <w:rPr>
          <w:rFonts w:ascii="仿宋" w:hAnsi="仿宋"/>
          <w:color w:val="auto"/>
          <w:sz w:val="24"/>
        </w:rPr>
      </w:pPr>
      <w:r>
        <w:rPr>
          <w:rFonts w:hint="eastAsia" w:ascii="仿宋" w:hAnsi="仿宋"/>
          <w:color w:val="auto"/>
          <w:sz w:val="24"/>
        </w:rPr>
        <w:t>(3)响应文件是否封装完好;</w:t>
      </w:r>
    </w:p>
    <w:p>
      <w:pPr>
        <w:spacing w:line="360" w:lineRule="auto"/>
        <w:rPr>
          <w:rFonts w:ascii="仿宋" w:hAnsi="仿宋"/>
          <w:color w:val="auto"/>
          <w:sz w:val="24"/>
        </w:rPr>
      </w:pPr>
      <w:r>
        <w:rPr>
          <w:rFonts w:hint="eastAsia" w:ascii="仿宋" w:hAnsi="仿宋"/>
          <w:color w:val="auto"/>
          <w:sz w:val="24"/>
        </w:rPr>
        <w:t>(4)响应文件是否完整,是否符合序号6中的要求。</w:t>
      </w:r>
    </w:p>
    <w:p>
      <w:pPr>
        <w:spacing w:line="360" w:lineRule="auto"/>
        <w:rPr>
          <w:rFonts w:ascii="仿宋" w:hAnsi="仿宋"/>
          <w:color w:val="auto"/>
          <w:sz w:val="24"/>
        </w:rPr>
      </w:pPr>
      <w:r>
        <w:rPr>
          <w:rFonts w:hint="eastAsia" w:ascii="仿宋" w:hAnsi="仿宋"/>
          <w:color w:val="auto"/>
          <w:sz w:val="24"/>
        </w:rPr>
        <w:t>谈判小组会依据投资合作伙伴须知中的有关要求对响应文件进行初步评审。有一项不符合评审标准的，作无效报名处理。</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.1.2投资合作伙伴有以下情形之一的,其响应文件作无效报名处理:</w:t>
      </w:r>
    </w:p>
    <w:p>
      <w:pPr>
        <w:spacing w:line="360" w:lineRule="auto"/>
        <w:rPr>
          <w:rFonts w:ascii="仿宋" w:hAnsi="仿宋"/>
          <w:color w:val="auto"/>
          <w:sz w:val="24"/>
        </w:rPr>
      </w:pPr>
      <w:r>
        <w:rPr>
          <w:rFonts w:hint="eastAsia" w:ascii="仿宋" w:hAnsi="仿宋"/>
          <w:color w:val="auto"/>
          <w:sz w:val="24"/>
        </w:rPr>
        <w:t>( 1 )串通报名或弄虚作假或有其他违法行为的;</w:t>
      </w:r>
    </w:p>
    <w:p>
      <w:pPr>
        <w:spacing w:line="360" w:lineRule="auto"/>
        <w:rPr>
          <w:rFonts w:ascii="仿宋" w:hAnsi="仿宋"/>
          <w:color w:val="auto"/>
          <w:sz w:val="24"/>
        </w:rPr>
      </w:pPr>
      <w:r>
        <w:rPr>
          <w:rFonts w:hint="eastAsia" w:ascii="仿宋" w:hAnsi="仿宋"/>
          <w:color w:val="auto"/>
          <w:sz w:val="24"/>
        </w:rPr>
        <w:t>( 2 )不按谈判小组会要求澄清、说明或补正的。</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.1. 3响应文件中有关数额有算术错误的，谈判小组会按以下原则对数额进行修正，修正的数额经投资合作伙伴确认后具有约束力。投资合作伙伴不接受修正数额的，其响应文件作无效处理。</w:t>
      </w:r>
    </w:p>
    <w:p>
      <w:pPr>
        <w:spacing w:line="360" w:lineRule="auto"/>
        <w:rPr>
          <w:rFonts w:ascii="仿宋" w:hAnsi="仿宋"/>
          <w:color w:val="auto"/>
          <w:sz w:val="24"/>
        </w:rPr>
      </w:pPr>
      <w:r>
        <w:rPr>
          <w:rFonts w:hint="eastAsia" w:ascii="仿宋" w:hAnsi="仿宋"/>
          <w:color w:val="auto"/>
          <w:sz w:val="24"/>
        </w:rPr>
        <w:t>(1 )响应文件中的大写金额与小写金额不一致的，以大写金额为准。</w:t>
      </w:r>
    </w:p>
    <w:p>
      <w:pPr>
        <w:spacing w:line="360" w:lineRule="auto"/>
        <w:rPr>
          <w:rFonts w:ascii="仿宋" w:hAnsi="仿宋"/>
          <w:b/>
          <w:bCs/>
          <w:color w:val="auto"/>
          <w:sz w:val="22"/>
          <w:szCs w:val="22"/>
        </w:rPr>
      </w:pPr>
      <w:r>
        <w:rPr>
          <w:rFonts w:hint="eastAsia" w:ascii="仿宋" w:hAnsi="仿宋"/>
          <w:color w:val="auto"/>
          <w:sz w:val="24"/>
          <w:lang w:val="en-US" w:eastAsia="zh-CN"/>
        </w:rPr>
        <w:t>4</w:t>
      </w:r>
      <w:r>
        <w:rPr>
          <w:rFonts w:hint="eastAsia" w:ascii="仿宋" w:hAnsi="仿宋"/>
          <w:color w:val="auto"/>
          <w:sz w:val="24"/>
        </w:rPr>
        <w:t>.1.4修正后的最终数额作为日后签订合同的一个依据 ，不参与投资合作伙伴得分的计算。</w:t>
      </w:r>
    </w:p>
    <w:p>
      <w:pPr>
        <w:spacing w:line="360" w:lineRule="auto"/>
        <w:rPr>
          <w:rFonts w:ascii="仿宋" w:hAnsi="仿宋"/>
          <w:b/>
          <w:bCs/>
          <w:color w:val="auto"/>
          <w:sz w:val="22"/>
          <w:szCs w:val="22"/>
        </w:rPr>
      </w:pPr>
      <w:r>
        <w:rPr>
          <w:rFonts w:hint="eastAsia" w:ascii="仿宋" w:hAnsi="仿宋"/>
          <w:b/>
          <w:bCs/>
          <w:color w:val="auto"/>
          <w:sz w:val="22"/>
          <w:szCs w:val="22"/>
          <w:lang w:val="en-US" w:eastAsia="zh-CN"/>
        </w:rPr>
        <w:t>4</w:t>
      </w:r>
      <w:r>
        <w:rPr>
          <w:rFonts w:hint="eastAsia" w:ascii="仿宋" w:hAnsi="仿宋"/>
          <w:b/>
          <w:bCs/>
          <w:color w:val="auto"/>
          <w:sz w:val="22"/>
          <w:szCs w:val="22"/>
        </w:rPr>
        <w:t>.2详细评审</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.2.1谈判小组会按本章第2.2款规定的量化因素和分值进行打分，并计算出综合评估得分。</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.2.2投资合作伙伴得分=商务部分得分+技术部分得分+现场答辩得分</w:t>
      </w:r>
    </w:p>
    <w:p>
      <w:pPr>
        <w:spacing w:line="360" w:lineRule="auto"/>
        <w:rPr>
          <w:rFonts w:ascii="仿宋" w:hAnsi="仿宋"/>
          <w:b/>
          <w:bCs/>
          <w:color w:val="auto"/>
          <w:sz w:val="22"/>
          <w:szCs w:val="22"/>
        </w:rPr>
      </w:pPr>
      <w:r>
        <w:rPr>
          <w:rFonts w:hint="eastAsia" w:ascii="仿宋" w:hAnsi="仿宋"/>
          <w:b/>
          <w:bCs/>
          <w:color w:val="auto"/>
          <w:sz w:val="22"/>
          <w:szCs w:val="22"/>
          <w:lang w:val="en-US" w:eastAsia="zh-CN"/>
        </w:rPr>
        <w:t>4</w:t>
      </w:r>
      <w:r>
        <w:rPr>
          <w:rFonts w:hint="eastAsia" w:ascii="仿宋" w:hAnsi="仿宋"/>
          <w:b/>
          <w:bCs/>
          <w:color w:val="auto"/>
          <w:sz w:val="22"/>
          <w:szCs w:val="22"/>
        </w:rPr>
        <w:t>.3响应文件的澄清和补正</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.3.1在答辩过程中，谈判小组会可以通过书面形式要求投资合作伙伴对所提交响应文件中不明确的内容进行澄清或说明，或者对细微偏差进行补正。</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.3.2澄清、说明和补正不得改变响应文件的实质性内容(算术性错误修正的除外)投资合作伙伴的澄清、说明和补正属于响应文件的组成部分。</w:t>
      </w:r>
    </w:p>
    <w:p>
      <w:pPr>
        <w:spacing w:line="360" w:lineRule="auto"/>
        <w:rPr>
          <w:rFonts w:ascii="仿宋" w:hAnsi="仿宋"/>
          <w:color w:val="auto"/>
          <w:sz w:val="24"/>
        </w:rPr>
      </w:pPr>
      <w:r>
        <w:rPr>
          <w:rFonts w:hint="eastAsia" w:ascii="仿宋" w:hAnsi="仿宋"/>
          <w:color w:val="auto"/>
          <w:sz w:val="24"/>
          <w:lang w:val="en-US" w:eastAsia="zh-CN"/>
        </w:rPr>
        <w:t>4</w:t>
      </w:r>
      <w:r>
        <w:rPr>
          <w:rFonts w:hint="eastAsia" w:ascii="仿宋" w:hAnsi="仿宋"/>
          <w:color w:val="auto"/>
          <w:sz w:val="24"/>
        </w:rPr>
        <w:t>.3.3谈判小组会对投资合作伙伴提交的澄清、说明或补正有疑问的，可以要求投资合作伙伴进一步澄清、说明或补正，直至满足谈判小组会的要求。</w:t>
      </w:r>
    </w:p>
    <w:p>
      <w:pPr>
        <w:spacing w:line="360" w:lineRule="auto"/>
        <w:rPr>
          <w:rFonts w:ascii="仿宋" w:hAnsi="仿宋"/>
          <w:b/>
          <w:bCs/>
          <w:color w:val="auto"/>
          <w:sz w:val="22"/>
          <w:szCs w:val="22"/>
        </w:rPr>
      </w:pPr>
      <w:r>
        <w:rPr>
          <w:rFonts w:hint="eastAsia" w:ascii="仿宋" w:hAnsi="仿宋"/>
          <w:b/>
          <w:bCs/>
          <w:color w:val="auto"/>
          <w:sz w:val="22"/>
          <w:szCs w:val="22"/>
          <w:lang w:val="en-US" w:eastAsia="zh-CN"/>
        </w:rPr>
        <w:t>4</w:t>
      </w:r>
      <w:r>
        <w:rPr>
          <w:rFonts w:hint="eastAsia" w:ascii="仿宋" w:hAnsi="仿宋"/>
          <w:b/>
          <w:bCs/>
          <w:color w:val="auto"/>
          <w:sz w:val="22"/>
          <w:szCs w:val="22"/>
        </w:rPr>
        <w:t>.4答辩结果</w:t>
      </w:r>
    </w:p>
    <w:p>
      <w:pPr>
        <w:spacing w:line="360" w:lineRule="auto"/>
        <w:rPr>
          <w:rFonts w:ascii="仿宋" w:hAnsi="仿宋"/>
          <w:color w:val="auto"/>
          <w:sz w:val="24"/>
        </w:rPr>
      </w:pPr>
      <w:r>
        <w:rPr>
          <w:rFonts w:hint="eastAsia" w:ascii="仿宋" w:hAnsi="仿宋"/>
          <w:color w:val="auto"/>
          <w:sz w:val="24"/>
        </w:rPr>
        <w:t>谈判小组根据答辩结果对投资合作伙伴进行打分，分数统一在招商结果公告中公布，投资合作伙伴不得现场询问得分情况。</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rPr>
          <w:color w:val="auto"/>
        </w:rPr>
      </w:pPr>
      <w:bookmarkStart w:id="17" w:name="_Toc29537"/>
      <w:r>
        <w:rPr>
          <w:rFonts w:hint="eastAsia"/>
          <w:color w:val="auto"/>
        </w:rPr>
        <w:t>三、招商文件格式</w:t>
      </w:r>
      <w:bookmarkEnd w:id="17"/>
    </w:p>
    <w:p>
      <w:pPr>
        <w:pStyle w:val="4"/>
        <w:rPr>
          <w:color w:val="auto"/>
        </w:rPr>
      </w:pPr>
      <w:bookmarkStart w:id="18" w:name="_Toc15644"/>
      <w:r>
        <w:rPr>
          <w:rFonts w:hint="eastAsia"/>
          <w:color w:val="auto"/>
        </w:rPr>
        <w:t>1、投资合作伙伴致函</w:t>
      </w:r>
      <w:bookmarkEnd w:id="18"/>
    </w:p>
    <w:p>
      <w:pPr>
        <w:spacing w:line="360" w:lineRule="auto"/>
        <w:rPr>
          <w:rFonts w:ascii="仿宋" w:hAnsi="仿宋"/>
          <w:color w:val="auto"/>
          <w:sz w:val="24"/>
        </w:rPr>
      </w:pPr>
      <w:r>
        <w:rPr>
          <w:rFonts w:hint="eastAsia" w:ascii="仿宋" w:hAnsi="仿宋"/>
          <w:color w:val="auto"/>
          <w:sz w:val="24"/>
        </w:rPr>
        <w:t>鞍山市城市建设投资发展有限公司:</w:t>
      </w:r>
    </w:p>
    <w:p>
      <w:pPr>
        <w:spacing w:line="360" w:lineRule="auto"/>
        <w:rPr>
          <w:rFonts w:ascii="仿宋" w:hAnsi="仿宋"/>
          <w:color w:val="auto"/>
          <w:sz w:val="24"/>
        </w:rPr>
      </w:pPr>
      <w:r>
        <w:rPr>
          <w:rFonts w:hint="eastAsia" w:ascii="仿宋" w:hAnsi="仿宋"/>
          <w:color w:val="auto"/>
          <w:sz w:val="24"/>
        </w:rPr>
        <w:t xml:space="preserve">    为对招商文件表示响应，我们以下签宇人[工作人员名称]，遵照</w:t>
      </w:r>
    </w:p>
    <w:p>
      <w:pPr>
        <w:spacing w:line="360" w:lineRule="auto"/>
        <w:jc w:val="left"/>
        <w:rPr>
          <w:rFonts w:ascii="仿宋" w:hAnsi="仿宋"/>
          <w:color w:val="auto"/>
          <w:sz w:val="24"/>
        </w:rPr>
      </w:pPr>
      <w:r>
        <w:rPr>
          <w:rFonts w:hint="eastAsia" w:ascii="仿宋" w:hAnsi="仿宋"/>
          <w:color w:val="auto"/>
          <w:sz w:val="24"/>
        </w:rPr>
        <w:t>投资合作伙伴须知等条款和条件，递交完全符合招商文件要求的关于鞍山“鞍山市会展中心、会展宾馆” 项目 资产盘活招 商”项目的响应文件。</w:t>
      </w:r>
    </w:p>
    <w:p>
      <w:pPr>
        <w:spacing w:line="360" w:lineRule="auto"/>
        <w:rPr>
          <w:rFonts w:ascii="仿宋" w:hAnsi="仿宋"/>
          <w:color w:val="auto"/>
          <w:sz w:val="24"/>
        </w:rPr>
      </w:pPr>
      <w:r>
        <w:rPr>
          <w:rFonts w:hint="eastAsia" w:ascii="仿宋" w:hAnsi="仿宋"/>
          <w:color w:val="auto"/>
          <w:sz w:val="24"/>
        </w:rPr>
        <w:t xml:space="preserve">    我们确认我们已仔细阅读并研究了我们招商文件和贵方发出的所有补充通知(如有),我们完全熟悉其中的要求、条款和条件。</w:t>
      </w:r>
    </w:p>
    <w:p>
      <w:pPr>
        <w:spacing w:line="360" w:lineRule="auto"/>
        <w:rPr>
          <w:rFonts w:ascii="仿宋" w:hAnsi="仿宋"/>
          <w:color w:val="auto"/>
          <w:sz w:val="24"/>
        </w:rPr>
      </w:pPr>
      <w:r>
        <w:rPr>
          <w:rFonts w:hint="eastAsia" w:ascii="仿宋" w:hAnsi="仿宋"/>
          <w:color w:val="auto"/>
          <w:sz w:val="24"/>
        </w:rPr>
        <w:t>我们确认我们响应文件的有效期为自2020年</w:t>
      </w:r>
      <w:r>
        <w:rPr>
          <w:rFonts w:hint="eastAsia" w:ascii="仿宋" w:hAnsi="仿宋"/>
          <w:b/>
          <w:bCs/>
          <w:color w:val="auto"/>
          <w:sz w:val="24"/>
        </w:rPr>
        <w:t>[ ]</w:t>
      </w:r>
      <w:r>
        <w:rPr>
          <w:rFonts w:hint="eastAsia" w:ascii="仿宋" w:hAnsi="仿宋"/>
          <w:color w:val="auto"/>
          <w:sz w:val="24"/>
        </w:rPr>
        <w:t>月</w:t>
      </w:r>
      <w:r>
        <w:rPr>
          <w:rFonts w:hint="eastAsia" w:ascii="仿宋" w:hAnsi="仿宋"/>
          <w:b/>
          <w:bCs/>
          <w:color w:val="auto"/>
          <w:sz w:val="24"/>
        </w:rPr>
        <w:t>[ ]</w:t>
      </w:r>
      <w:r>
        <w:rPr>
          <w:rFonts w:hint="eastAsia" w:ascii="仿宋" w:hAnsi="仿宋"/>
          <w:color w:val="auto"/>
          <w:sz w:val="24"/>
        </w:rPr>
        <w:t>日(答辩日期)起90天。若招商单位同意，则该期限可以延长。 在任何延长期内，我们的响应文件对我们仍有约束力。</w:t>
      </w:r>
    </w:p>
    <w:p>
      <w:pPr>
        <w:spacing w:line="360" w:lineRule="auto"/>
        <w:rPr>
          <w:rFonts w:ascii="仿宋" w:hAnsi="仿宋"/>
          <w:color w:val="auto"/>
          <w:sz w:val="24"/>
        </w:rPr>
      </w:pPr>
      <w:r>
        <w:rPr>
          <w:rFonts w:hint="eastAsia" w:ascii="仿宋" w:hAnsi="仿宋"/>
          <w:color w:val="auto"/>
          <w:sz w:val="24"/>
        </w:rPr>
        <w:t xml:space="preserve">    我们确认，我们完全同意招商文件制定的所有规则，并承诺按照这些规则履行我们的所有义务，包括一旦被选定为投资合作伙伴 ，履行投资合作伙伴的义务。</w:t>
      </w:r>
    </w:p>
    <w:p>
      <w:pPr>
        <w:spacing w:line="360" w:lineRule="auto"/>
        <w:rPr>
          <w:rFonts w:ascii="仿宋" w:hAnsi="仿宋"/>
          <w:color w:val="auto"/>
          <w:sz w:val="24"/>
        </w:rPr>
      </w:pPr>
      <w:r>
        <w:rPr>
          <w:rFonts w:hint="eastAsia" w:ascii="仿宋" w:hAnsi="仿宋"/>
          <w:color w:val="auto"/>
          <w:sz w:val="24"/>
        </w:rPr>
        <w:t xml:space="preserve">    如果我们的响应文件在响应文件有效期内被贵方接受，我们同意将按照贵方所接受的方式，投资本项目。</w:t>
      </w:r>
    </w:p>
    <w:p>
      <w:pPr>
        <w:spacing w:line="360" w:lineRule="auto"/>
        <w:rPr>
          <w:rFonts w:ascii="仿宋" w:hAnsi="仿宋"/>
          <w:color w:val="auto"/>
          <w:sz w:val="24"/>
        </w:rPr>
      </w:pPr>
      <w:r>
        <w:rPr>
          <w:rFonts w:hint="eastAsia" w:ascii="仿宋" w:hAnsi="仿宋"/>
          <w:color w:val="auto"/>
          <w:sz w:val="24"/>
        </w:rPr>
        <w:t xml:space="preserve">    在签署相关合同以前，我们与贵方之间可能达成的谈判备忘录以及草签的项目协议的条款对我们有约束力。我们同意贵方保留不接受我们的和/或任何其他潜在投资合作伙伴的响应文件约束的权利。</w:t>
      </w:r>
    </w:p>
    <w:p>
      <w:pPr>
        <w:spacing w:line="360" w:lineRule="auto"/>
        <w:rPr>
          <w:rFonts w:ascii="仿宋" w:hAnsi="仿宋"/>
          <w:color w:val="auto"/>
          <w:sz w:val="24"/>
        </w:rPr>
      </w:pPr>
      <w:r>
        <w:rPr>
          <w:rFonts w:hint="eastAsia" w:ascii="仿宋" w:hAnsi="仿宋"/>
          <w:color w:val="auto"/>
          <w:sz w:val="24"/>
        </w:rPr>
        <w:t xml:space="preserve">    我们在此保证,本响应文件的所有内容均属独立完成，未经与其他潜在投资合作伙伴或潜在投资合作伙伴之外的其他第三方以限制对本项目的竞争为目的进行协商、合作或达成谅解后完成。</w:t>
      </w:r>
    </w:p>
    <w:p>
      <w:pPr>
        <w:spacing w:line="360" w:lineRule="auto"/>
        <w:rPr>
          <w:rFonts w:hint="eastAsia" w:ascii="仿宋" w:hAnsi="仿宋"/>
          <w:color w:val="auto"/>
          <w:sz w:val="24"/>
        </w:rPr>
      </w:pPr>
      <w:r>
        <w:rPr>
          <w:rFonts w:hint="eastAsia" w:ascii="仿宋" w:hAnsi="仿宋"/>
          <w:color w:val="auto"/>
          <w:sz w:val="24"/>
        </w:rPr>
        <w:t xml:space="preserve">    我们证实，本响应文件中所提供的全部资料和信息均为真实的、准确的、完整的，如因我公司提供的资料和信息不真实、不准确、不完整，我公司将对由此产生的一切损害、损失承担全部责任。</w:t>
      </w:r>
    </w:p>
    <w:p>
      <w:pPr>
        <w:spacing w:line="360" w:lineRule="auto"/>
        <w:rPr>
          <w:rFonts w:hint="eastAsia" w:ascii="仿宋" w:hAnsi="仿宋"/>
          <w:color w:val="auto"/>
          <w:sz w:val="24"/>
        </w:rPr>
      </w:pPr>
    </w:p>
    <w:p>
      <w:pPr>
        <w:spacing w:line="360" w:lineRule="auto"/>
        <w:rPr>
          <w:rFonts w:ascii="仿宋" w:hAnsi="仿宋"/>
          <w:color w:val="auto"/>
          <w:sz w:val="24"/>
        </w:rPr>
      </w:pPr>
    </w:p>
    <w:p>
      <w:pPr>
        <w:pStyle w:val="4"/>
        <w:rPr>
          <w:color w:val="auto"/>
        </w:rPr>
      </w:pPr>
      <w:bookmarkStart w:id="19" w:name="_Toc25959"/>
      <w:r>
        <w:rPr>
          <w:rFonts w:hint="eastAsia"/>
          <w:color w:val="auto"/>
        </w:rPr>
        <w:t>2、授权委托书</w:t>
      </w:r>
      <w:bookmarkEnd w:id="19"/>
    </w:p>
    <w:p>
      <w:pPr>
        <w:spacing w:line="360" w:lineRule="auto"/>
        <w:rPr>
          <w:rFonts w:ascii="仿宋" w:hAnsi="仿宋"/>
          <w:color w:val="auto"/>
          <w:sz w:val="24"/>
        </w:rPr>
      </w:pPr>
      <w:r>
        <w:rPr>
          <w:rFonts w:hint="eastAsia" w:ascii="仿宋" w:hAnsi="仿宋"/>
          <w:color w:val="auto"/>
          <w:sz w:val="24"/>
        </w:rPr>
        <w:t>致:鞍山市城市建设投资发展有限公司</w:t>
      </w:r>
    </w:p>
    <w:p>
      <w:pPr>
        <w:spacing w:line="360" w:lineRule="auto"/>
        <w:ind w:firstLine="480" w:firstLineChars="200"/>
        <w:rPr>
          <w:rFonts w:ascii="仿宋" w:hAnsi="仿宋"/>
          <w:color w:val="auto"/>
          <w:sz w:val="24"/>
        </w:rPr>
      </w:pPr>
      <w:r>
        <w:rPr>
          <w:rFonts w:hint="eastAsia" w:ascii="仿宋" w:hAnsi="仿宋"/>
          <w:color w:val="auto"/>
          <w:sz w:val="24"/>
        </w:rPr>
        <w:t>本授权委托书声明:注册于(注册地)的(投资合作伙伴)之法定代表人(姓名) :(性别) :(职务) :身份证号码:授权本单位的（被授权人姓名、 性别、职务、身份证号码)全权代表本人及本公司处理与鞍山"鞍山市会展中心、会展宾馆” 项目招商有关的切事宜。</w:t>
      </w:r>
    </w:p>
    <w:p>
      <w:pPr>
        <w:spacing w:line="360" w:lineRule="auto"/>
        <w:ind w:firstLine="480" w:firstLineChars="200"/>
        <w:rPr>
          <w:rFonts w:ascii="仿宋" w:hAnsi="仿宋"/>
          <w:color w:val="auto"/>
          <w:sz w:val="24"/>
        </w:rPr>
      </w:pPr>
      <w:r>
        <w:rPr>
          <w:rFonts w:hint="eastAsia" w:ascii="仿宋" w:hAnsi="仿宋"/>
          <w:color w:val="auto"/>
          <w:sz w:val="24"/>
        </w:rPr>
        <w:t>被授权人在本项目活动过程中递交、协商、签署的一切文件和处理与此活动相关的一切事务，与本人的行为具有同等的法律效力，均为代表本公司实施的行为。本公司将承担被授权人行为的全部法律责任和后果。</w:t>
      </w:r>
    </w:p>
    <w:p>
      <w:pPr>
        <w:spacing w:line="360" w:lineRule="auto"/>
        <w:ind w:firstLine="480" w:firstLineChars="200"/>
        <w:rPr>
          <w:rFonts w:ascii="仿宋" w:hAnsi="仿宋"/>
          <w:color w:val="auto"/>
          <w:sz w:val="24"/>
        </w:rPr>
      </w:pPr>
      <w:r>
        <w:rPr>
          <w:rFonts w:hint="eastAsia" w:ascii="仿宋" w:hAnsi="仿宋"/>
          <w:color w:val="auto"/>
          <w:sz w:val="24"/>
        </w:rPr>
        <w:t>被授权人无转委托权。委托期限至上述受托事宜终结之日止。</w:t>
      </w:r>
    </w:p>
    <w:p>
      <w:pPr>
        <w:spacing w:line="360" w:lineRule="auto"/>
        <w:ind w:firstLine="3840" w:firstLineChars="1600"/>
        <w:rPr>
          <w:rFonts w:ascii="仿宋" w:hAnsi="仿宋"/>
          <w:color w:val="auto"/>
          <w:sz w:val="24"/>
        </w:rPr>
      </w:pPr>
    </w:p>
    <w:p>
      <w:pPr>
        <w:spacing w:line="360" w:lineRule="auto"/>
        <w:ind w:firstLine="3840" w:firstLineChars="1600"/>
        <w:rPr>
          <w:rFonts w:ascii="仿宋" w:hAnsi="仿宋"/>
          <w:color w:val="auto"/>
          <w:sz w:val="24"/>
        </w:rPr>
      </w:pPr>
    </w:p>
    <w:p>
      <w:pPr>
        <w:spacing w:line="360" w:lineRule="auto"/>
        <w:ind w:left="5107" w:leftChars="1824"/>
        <w:rPr>
          <w:rFonts w:ascii="仿宋" w:hAnsi="仿宋"/>
          <w:color w:val="auto"/>
          <w:sz w:val="24"/>
        </w:rPr>
      </w:pPr>
      <w:r>
        <w:rPr>
          <w:rFonts w:hint="eastAsia" w:ascii="仿宋" w:hAnsi="仿宋"/>
          <w:color w:val="auto"/>
          <w:sz w:val="24"/>
        </w:rPr>
        <w:t>独立法人(公章):</w:t>
      </w:r>
    </w:p>
    <w:p>
      <w:pPr>
        <w:spacing w:line="360" w:lineRule="auto"/>
        <w:ind w:left="5107" w:leftChars="1824"/>
        <w:rPr>
          <w:rFonts w:ascii="仿宋" w:hAnsi="仿宋"/>
          <w:color w:val="auto"/>
          <w:sz w:val="24"/>
        </w:rPr>
      </w:pPr>
      <w:r>
        <w:rPr>
          <w:rFonts w:hint="eastAsia" w:ascii="仿宋" w:hAnsi="仿宋"/>
          <w:color w:val="auto"/>
          <w:sz w:val="24"/>
        </w:rPr>
        <w:t>法定代表人(授权人)签字:授权代表(被授权人)签字:</w:t>
      </w:r>
    </w:p>
    <w:p>
      <w:pPr>
        <w:spacing w:line="360" w:lineRule="auto"/>
        <w:ind w:firstLine="3840" w:firstLineChars="1600"/>
        <w:rPr>
          <w:rFonts w:ascii="仿宋" w:hAnsi="仿宋"/>
          <w:color w:val="auto"/>
          <w:sz w:val="24"/>
        </w:rPr>
      </w:pPr>
      <w:r>
        <w:rPr>
          <w:rFonts w:hint="eastAsia" w:ascii="仿宋" w:hAnsi="仿宋"/>
          <w:color w:val="auto"/>
          <w:sz w:val="24"/>
        </w:rPr>
        <w:t>年  月  日</w:t>
      </w:r>
    </w:p>
    <w:p>
      <w:pPr>
        <w:spacing w:line="360" w:lineRule="auto"/>
        <w:rPr>
          <w:rFonts w:ascii="仿宋" w:hAnsi="仿宋"/>
          <w:color w:val="auto"/>
          <w:sz w:val="24"/>
        </w:rPr>
      </w:pPr>
    </w:p>
    <w:p>
      <w:pPr>
        <w:spacing w:line="360" w:lineRule="auto"/>
        <w:rPr>
          <w:rFonts w:ascii="仿宋" w:hAnsi="仿宋"/>
          <w:color w:val="auto"/>
          <w:sz w:val="24"/>
        </w:rPr>
      </w:pPr>
      <w:r>
        <w:rPr>
          <w:rFonts w:hint="eastAsia" w:ascii="仿宋" w:hAnsi="仿宋"/>
          <w:color w:val="auto"/>
          <w:sz w:val="24"/>
        </w:rPr>
        <w:t>附:法定代表人身份证复印件，同时加盖单位公章授权代表身份证复印件，同时加盖单位公章</w:t>
      </w:r>
    </w:p>
    <w:p>
      <w:pPr>
        <w:spacing w:line="360" w:lineRule="auto"/>
        <w:rPr>
          <w:rFonts w:ascii="仿宋" w:hAnsi="仿宋"/>
          <w:color w:val="auto"/>
          <w:sz w:val="24"/>
        </w:rPr>
      </w:pPr>
    </w:p>
    <w:p>
      <w:pPr>
        <w:spacing w:line="360" w:lineRule="auto"/>
        <w:rPr>
          <w:rFonts w:hint="eastAsia" w:ascii="仿宋" w:hAnsi="仿宋"/>
          <w:color w:val="auto"/>
          <w:sz w:val="24"/>
        </w:rPr>
      </w:pPr>
      <w:r>
        <w:rPr>
          <w:rFonts w:hint="eastAsia" w:ascii="仿宋" w:hAnsi="仿宋"/>
          <w:color w:val="auto"/>
          <w:sz w:val="24"/>
        </w:rPr>
        <w:t xml:space="preserve">       </w:t>
      </w: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ascii="仿宋" w:hAnsi="仿宋"/>
          <w:color w:val="auto"/>
          <w:sz w:val="24"/>
        </w:rPr>
      </w:pPr>
    </w:p>
    <w:p>
      <w:pPr>
        <w:spacing w:line="360" w:lineRule="auto"/>
        <w:rPr>
          <w:rFonts w:ascii="仿宋" w:hAnsi="仿宋"/>
          <w:color w:val="auto"/>
          <w:sz w:val="24"/>
        </w:rPr>
      </w:pPr>
    </w:p>
    <w:p>
      <w:pPr>
        <w:pStyle w:val="4"/>
        <w:rPr>
          <w:color w:val="auto"/>
        </w:rPr>
      </w:pPr>
      <w:bookmarkStart w:id="20" w:name="_Toc30849"/>
      <w:r>
        <w:rPr>
          <w:rFonts w:hint="eastAsia"/>
          <w:color w:val="auto"/>
        </w:rPr>
        <w:t>3、商 务 部 分</w:t>
      </w:r>
      <w:bookmarkEnd w:id="20"/>
    </w:p>
    <w:p>
      <w:pPr>
        <w:spacing w:line="360" w:lineRule="auto"/>
        <w:rPr>
          <w:rFonts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pStyle w:val="4"/>
        <w:rPr>
          <w:color w:val="auto"/>
        </w:rPr>
      </w:pPr>
      <w:bookmarkStart w:id="21" w:name="_Toc1523"/>
      <w:r>
        <w:rPr>
          <w:rFonts w:hint="eastAsia"/>
          <w:color w:val="auto"/>
        </w:rPr>
        <w:t>4、技 术 部 分</w:t>
      </w:r>
      <w:bookmarkEnd w:id="21"/>
    </w:p>
    <w:p>
      <w:pPr>
        <w:spacing w:line="360" w:lineRule="auto"/>
        <w:rPr>
          <w:rFonts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spacing w:line="360" w:lineRule="auto"/>
        <w:rPr>
          <w:rFonts w:hint="eastAsia" w:ascii="仿宋" w:hAnsi="仿宋"/>
          <w:color w:val="auto"/>
          <w:sz w:val="44"/>
          <w:szCs w:val="44"/>
        </w:rPr>
      </w:pPr>
    </w:p>
    <w:p>
      <w:pPr>
        <w:pStyle w:val="4"/>
        <w:rPr>
          <w:color w:val="auto"/>
        </w:rPr>
      </w:pPr>
      <w:bookmarkStart w:id="22" w:name="_Toc2384"/>
      <w:r>
        <w:rPr>
          <w:rFonts w:hint="eastAsia"/>
          <w:color w:val="auto"/>
        </w:rPr>
        <w:t>5、投资响应表</w:t>
      </w:r>
      <w:bookmarkEnd w:id="22"/>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4231"/>
        <w:gridCol w:w="992"/>
        <w:gridCol w:w="992"/>
        <w:gridCol w:w="830"/>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gridSpan w:val="2"/>
          </w:tcPr>
          <w:p>
            <w:pPr>
              <w:spacing w:line="360" w:lineRule="auto"/>
              <w:rPr>
                <w:rFonts w:ascii="仿宋" w:hAnsi="仿宋"/>
                <w:color w:val="auto"/>
                <w:sz w:val="24"/>
              </w:rPr>
            </w:pPr>
            <w:r>
              <w:rPr>
                <w:rFonts w:hint="eastAsia" w:ascii="仿宋" w:hAnsi="仿宋"/>
                <w:color w:val="auto"/>
                <w:sz w:val="24"/>
              </w:rPr>
              <w:t>招商政策要求</w:t>
            </w:r>
          </w:p>
        </w:tc>
        <w:tc>
          <w:tcPr>
            <w:tcW w:w="992" w:type="dxa"/>
            <w:vMerge w:val="restart"/>
          </w:tcPr>
          <w:p>
            <w:pPr>
              <w:spacing w:line="360" w:lineRule="auto"/>
              <w:rPr>
                <w:rFonts w:ascii="仿宋" w:hAnsi="仿宋"/>
                <w:color w:val="auto"/>
                <w:sz w:val="24"/>
              </w:rPr>
            </w:pPr>
            <w:r>
              <w:rPr>
                <w:rFonts w:hint="eastAsia" w:ascii="仿宋" w:hAnsi="仿宋"/>
                <w:color w:val="auto"/>
                <w:sz w:val="24"/>
              </w:rPr>
              <w:t>完全响应</w:t>
            </w:r>
          </w:p>
        </w:tc>
        <w:tc>
          <w:tcPr>
            <w:tcW w:w="992" w:type="dxa"/>
            <w:vMerge w:val="restart"/>
          </w:tcPr>
          <w:p>
            <w:pPr>
              <w:spacing w:line="360" w:lineRule="auto"/>
              <w:rPr>
                <w:rFonts w:ascii="仿宋" w:hAnsi="仿宋"/>
                <w:color w:val="auto"/>
                <w:sz w:val="24"/>
              </w:rPr>
            </w:pPr>
            <w:r>
              <w:rPr>
                <w:rFonts w:hint="eastAsia" w:ascii="仿宋" w:hAnsi="仿宋"/>
                <w:color w:val="auto"/>
                <w:sz w:val="24"/>
              </w:rPr>
              <w:t>一般响应</w:t>
            </w:r>
          </w:p>
        </w:tc>
        <w:tc>
          <w:tcPr>
            <w:tcW w:w="830" w:type="dxa"/>
            <w:vMerge w:val="restart"/>
          </w:tcPr>
          <w:p>
            <w:pPr>
              <w:spacing w:line="360" w:lineRule="auto"/>
              <w:rPr>
                <w:rFonts w:ascii="仿宋" w:hAnsi="仿宋"/>
                <w:color w:val="auto"/>
                <w:sz w:val="24"/>
              </w:rPr>
            </w:pPr>
            <w:r>
              <w:rPr>
                <w:rFonts w:hint="eastAsia" w:ascii="仿宋" w:hAnsi="仿宋"/>
                <w:color w:val="auto"/>
                <w:sz w:val="24"/>
              </w:rPr>
              <w:t>不响应</w:t>
            </w:r>
          </w:p>
        </w:tc>
        <w:tc>
          <w:tcPr>
            <w:tcW w:w="1544" w:type="dxa"/>
            <w:vMerge w:val="restart"/>
          </w:tcPr>
          <w:p>
            <w:pPr>
              <w:spacing w:line="360" w:lineRule="auto"/>
              <w:rPr>
                <w:rFonts w:ascii="仿宋" w:hAnsi="仿宋"/>
                <w:color w:val="auto"/>
                <w:sz w:val="24"/>
              </w:rPr>
            </w:pPr>
            <w:r>
              <w:rPr>
                <w:rFonts w:hint="eastAsia" w:ascii="仿宋" w:hAnsi="仿宋"/>
                <w:color w:val="auto"/>
                <w:sz w:val="24"/>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pPr>
              <w:spacing w:line="360" w:lineRule="auto"/>
              <w:rPr>
                <w:rFonts w:ascii="仿宋" w:hAnsi="仿宋"/>
                <w:color w:val="auto"/>
                <w:sz w:val="24"/>
              </w:rPr>
            </w:pPr>
            <w:r>
              <w:rPr>
                <w:rFonts w:hint="eastAsia" w:ascii="仿宋" w:hAnsi="仿宋"/>
                <w:color w:val="auto"/>
                <w:sz w:val="24"/>
              </w:rPr>
              <w:t>序号</w:t>
            </w:r>
          </w:p>
        </w:tc>
        <w:tc>
          <w:tcPr>
            <w:tcW w:w="4231" w:type="dxa"/>
          </w:tcPr>
          <w:p>
            <w:pPr>
              <w:spacing w:line="360" w:lineRule="auto"/>
              <w:rPr>
                <w:rFonts w:ascii="仿宋" w:hAnsi="仿宋"/>
                <w:color w:val="auto"/>
                <w:sz w:val="24"/>
              </w:rPr>
            </w:pPr>
            <w:r>
              <w:rPr>
                <w:rFonts w:hint="eastAsia" w:ascii="仿宋" w:hAnsi="仿宋"/>
                <w:color w:val="auto"/>
                <w:sz w:val="24"/>
              </w:rPr>
              <w:t xml:space="preserve">      具体招商政策</w:t>
            </w:r>
          </w:p>
        </w:tc>
        <w:tc>
          <w:tcPr>
            <w:tcW w:w="992" w:type="dxa"/>
            <w:vMerge w:val="continue"/>
          </w:tcPr>
          <w:p>
            <w:pPr>
              <w:spacing w:line="360" w:lineRule="auto"/>
              <w:rPr>
                <w:rFonts w:ascii="仿宋" w:hAnsi="仿宋"/>
                <w:color w:val="auto"/>
                <w:sz w:val="24"/>
              </w:rPr>
            </w:pPr>
          </w:p>
        </w:tc>
        <w:tc>
          <w:tcPr>
            <w:tcW w:w="992" w:type="dxa"/>
            <w:vMerge w:val="continue"/>
          </w:tcPr>
          <w:p>
            <w:pPr>
              <w:spacing w:line="360" w:lineRule="auto"/>
              <w:rPr>
                <w:rFonts w:ascii="仿宋" w:hAnsi="仿宋"/>
                <w:color w:val="auto"/>
                <w:sz w:val="24"/>
              </w:rPr>
            </w:pPr>
          </w:p>
        </w:tc>
        <w:tc>
          <w:tcPr>
            <w:tcW w:w="830" w:type="dxa"/>
            <w:vMerge w:val="continue"/>
          </w:tcPr>
          <w:p>
            <w:pPr>
              <w:spacing w:line="360" w:lineRule="auto"/>
              <w:rPr>
                <w:rFonts w:ascii="仿宋" w:hAnsi="仿宋"/>
                <w:color w:val="auto"/>
                <w:sz w:val="24"/>
              </w:rPr>
            </w:pPr>
          </w:p>
        </w:tc>
        <w:tc>
          <w:tcPr>
            <w:tcW w:w="1544" w:type="dxa"/>
            <w:vMerge w:val="continue"/>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Merge w:val="restart"/>
          </w:tcPr>
          <w:p>
            <w:pPr>
              <w:spacing w:line="360" w:lineRule="auto"/>
              <w:rPr>
                <w:rFonts w:ascii="仿宋" w:hAnsi="仿宋"/>
                <w:color w:val="auto"/>
                <w:sz w:val="24"/>
              </w:rPr>
            </w:pPr>
            <w:r>
              <w:rPr>
                <w:rFonts w:hint="eastAsia" w:ascii="仿宋" w:hAnsi="仿宋"/>
                <w:color w:val="auto"/>
                <w:sz w:val="24"/>
              </w:rPr>
              <w:t>一、</w:t>
            </w:r>
          </w:p>
        </w:tc>
        <w:tc>
          <w:tcPr>
            <w:tcW w:w="4231" w:type="dxa"/>
          </w:tcPr>
          <w:p>
            <w:pPr>
              <w:spacing w:line="360" w:lineRule="auto"/>
              <w:rPr>
                <w:rFonts w:ascii="仿宋" w:hAnsi="仿宋"/>
                <w:color w:val="auto"/>
                <w:sz w:val="24"/>
              </w:rPr>
            </w:pPr>
            <w:r>
              <w:rPr>
                <w:rFonts w:hint="eastAsia" w:ascii="仿宋" w:hAnsi="仿宋"/>
                <w:color w:val="auto"/>
                <w:sz w:val="24"/>
              </w:rPr>
              <w:t xml:space="preserve">  （一）   鞍山市会展中心</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hint="eastAsia" w:ascii="仿宋" w:hAnsi="仿宋"/>
                <w:color w:val="auto"/>
                <w:sz w:val="24"/>
              </w:rPr>
              <w:t>1、鞍山市城市建设投资发展有限公司与投资合作伙伴对“鞍山市会展中心”项目按2:1比例进行项目投资，初步预计未完工程投资、装修改造工程投资、全部配套工程投资、为本项目提供设计监理等服务的相关投资、向相关部门缴纳的配套费及人防易地建设费等合计拟投资4.6亿元（最终以项目竣工决算为准），鞍山市城市建设投资发展有限公司拟投资3.1亿元，投资合作伙伴拟投资1.5亿元。</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hint="eastAsia" w:ascii="仿宋" w:hAnsi="仿宋"/>
                <w:color w:val="auto"/>
                <w:sz w:val="24"/>
              </w:rPr>
              <w:t>2、项目建成后，由招商引进的合作伙伴免租金运营，</w:t>
            </w:r>
            <w:r>
              <w:rPr>
                <w:rFonts w:ascii="仿宋" w:hAnsi="仿宋"/>
                <w:color w:val="auto"/>
                <w:sz w:val="24"/>
              </w:rPr>
              <w:t>免租金运营期最多</w:t>
            </w:r>
            <w:r>
              <w:rPr>
                <w:rFonts w:hint="eastAsia" w:ascii="仿宋" w:hAnsi="仿宋"/>
                <w:color w:val="auto"/>
                <w:sz w:val="24"/>
              </w:rPr>
              <w:t>五年，收益归投资合作伙伴所有。运营五年后，市城投公司</w:t>
            </w:r>
            <w:r>
              <w:rPr>
                <w:rFonts w:ascii="仿宋" w:hAnsi="仿宋"/>
                <w:color w:val="auto"/>
                <w:sz w:val="24"/>
              </w:rPr>
              <w:t>按</w:t>
            </w:r>
            <w:r>
              <w:rPr>
                <w:rFonts w:hint="eastAsia" w:ascii="仿宋" w:hAnsi="仿宋"/>
                <w:color w:val="auto"/>
                <w:sz w:val="24"/>
              </w:rPr>
              <w:t>以经</w:t>
            </w:r>
            <w:r>
              <w:rPr>
                <w:rFonts w:ascii="仿宋" w:hAnsi="仿宋"/>
                <w:color w:val="auto"/>
                <w:sz w:val="24"/>
              </w:rPr>
              <w:t>评估后的市场价</w:t>
            </w:r>
            <w:r>
              <w:rPr>
                <w:rFonts w:hint="eastAsia" w:ascii="仿宋" w:hAnsi="仿宋"/>
                <w:color w:val="auto"/>
                <w:sz w:val="24"/>
              </w:rPr>
              <w:t>出售市会展中心；如评估</w:t>
            </w:r>
            <w:r>
              <w:rPr>
                <w:rFonts w:ascii="仿宋" w:hAnsi="仿宋"/>
                <w:color w:val="auto"/>
                <w:sz w:val="24"/>
              </w:rPr>
              <w:t>价低于项目总投资，以总投资</w:t>
            </w:r>
            <w:r>
              <w:rPr>
                <w:rFonts w:hint="eastAsia" w:ascii="仿宋" w:hAnsi="仿宋"/>
                <w:color w:val="auto"/>
                <w:sz w:val="24"/>
              </w:rPr>
              <w:t>额</w:t>
            </w:r>
            <w:r>
              <w:rPr>
                <w:rFonts w:ascii="仿宋" w:hAnsi="仿宋"/>
                <w:color w:val="auto"/>
                <w:sz w:val="24"/>
              </w:rPr>
              <w:t>作为出售底价并</w:t>
            </w:r>
            <w:r>
              <w:rPr>
                <w:rFonts w:hint="eastAsia" w:ascii="仿宋" w:hAnsi="仿宋"/>
                <w:color w:val="auto"/>
                <w:sz w:val="24"/>
              </w:rPr>
              <w:t>在</w:t>
            </w:r>
            <w:r>
              <w:rPr>
                <w:rFonts w:ascii="仿宋" w:hAnsi="仿宋"/>
                <w:color w:val="auto"/>
                <w:sz w:val="24"/>
              </w:rPr>
              <w:t>该项目总投入额</w:t>
            </w:r>
            <w:r>
              <w:rPr>
                <w:rFonts w:hint="eastAsia" w:ascii="仿宋" w:hAnsi="仿宋"/>
                <w:color w:val="auto"/>
                <w:sz w:val="24"/>
              </w:rPr>
              <w:t>基础上</w:t>
            </w:r>
            <w:r>
              <w:rPr>
                <w:rFonts w:ascii="仿宋" w:hAnsi="仿宋"/>
                <w:color w:val="auto"/>
                <w:sz w:val="24"/>
              </w:rPr>
              <w:t>上浮</w:t>
            </w:r>
            <w:r>
              <w:rPr>
                <w:rFonts w:hint="eastAsia" w:ascii="仿宋" w:hAnsi="仿宋"/>
                <w:color w:val="auto"/>
                <w:sz w:val="24"/>
              </w:rPr>
              <w:t>10</w:t>
            </w:r>
            <w:r>
              <w:rPr>
                <w:rFonts w:ascii="仿宋" w:hAnsi="仿宋"/>
                <w:color w:val="auto"/>
                <w:sz w:val="24"/>
              </w:rPr>
              <w:t>%。</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ascii="仿宋" w:hAnsi="仿宋"/>
                <w:color w:val="auto"/>
                <w:sz w:val="24"/>
              </w:rPr>
              <w:t>3.</w:t>
            </w:r>
            <w:r>
              <w:rPr>
                <w:rFonts w:hint="eastAsia" w:ascii="仿宋" w:hAnsi="仿宋"/>
                <w:color w:val="auto"/>
                <w:sz w:val="24"/>
              </w:rPr>
              <w:t>投资伙伴对</w:t>
            </w:r>
            <w:r>
              <w:rPr>
                <w:rFonts w:ascii="仿宋" w:hAnsi="仿宋"/>
                <w:color w:val="auto"/>
                <w:sz w:val="24"/>
              </w:rPr>
              <w:t>项目资产</w:t>
            </w:r>
            <w:r>
              <w:rPr>
                <w:rFonts w:hint="eastAsia" w:ascii="仿宋" w:hAnsi="仿宋"/>
                <w:color w:val="auto"/>
                <w:sz w:val="24"/>
              </w:rPr>
              <w:t>具有优先购买权。投资合作伙伴在</w:t>
            </w:r>
            <w:r>
              <w:rPr>
                <w:rFonts w:ascii="仿宋" w:hAnsi="仿宋"/>
                <w:color w:val="auto"/>
                <w:sz w:val="24"/>
              </w:rPr>
              <w:t>参与竞买</w:t>
            </w:r>
            <w:r>
              <w:rPr>
                <w:rFonts w:hint="eastAsia" w:ascii="仿宋" w:hAnsi="仿宋"/>
                <w:color w:val="auto"/>
                <w:sz w:val="24"/>
              </w:rPr>
              <w:t>并</w:t>
            </w:r>
            <w:r>
              <w:rPr>
                <w:rFonts w:ascii="仿宋" w:hAnsi="仿宋"/>
                <w:color w:val="auto"/>
                <w:sz w:val="24"/>
              </w:rPr>
              <w:t>成交</w:t>
            </w:r>
            <w:r>
              <w:rPr>
                <w:rFonts w:hint="eastAsia" w:ascii="仿宋" w:hAnsi="仿宋"/>
                <w:color w:val="auto"/>
                <w:sz w:val="24"/>
              </w:rPr>
              <w:t>的</w:t>
            </w:r>
            <w:r>
              <w:rPr>
                <w:rFonts w:ascii="仿宋" w:hAnsi="仿宋"/>
                <w:color w:val="auto"/>
                <w:sz w:val="24"/>
              </w:rPr>
              <w:t>前提下，在购买</w:t>
            </w:r>
            <w:r>
              <w:rPr>
                <w:rFonts w:hint="eastAsia" w:ascii="仿宋" w:hAnsi="仿宋"/>
                <w:color w:val="auto"/>
                <w:sz w:val="24"/>
              </w:rPr>
              <w:t>的价格</w:t>
            </w:r>
            <w:r>
              <w:rPr>
                <w:rFonts w:ascii="仿宋" w:hAnsi="仿宋"/>
                <w:color w:val="auto"/>
                <w:sz w:val="24"/>
              </w:rPr>
              <w:t>上扣除</w:t>
            </w:r>
            <w:r>
              <w:rPr>
                <w:rFonts w:hint="eastAsia" w:ascii="仿宋" w:hAnsi="仿宋"/>
                <w:color w:val="auto"/>
                <w:sz w:val="24"/>
              </w:rPr>
              <w:t>已</w:t>
            </w:r>
            <w:r>
              <w:rPr>
                <w:rFonts w:ascii="仿宋" w:hAnsi="仿宋"/>
                <w:color w:val="auto"/>
                <w:sz w:val="24"/>
              </w:rPr>
              <w:t>投入的</w:t>
            </w:r>
            <w:r>
              <w:rPr>
                <w:rFonts w:hint="eastAsia" w:ascii="仿宋" w:hAnsi="仿宋"/>
                <w:color w:val="auto"/>
                <w:sz w:val="24"/>
              </w:rPr>
              <w:t>1.5亿元资金</w:t>
            </w:r>
            <w:r>
              <w:rPr>
                <w:rFonts w:ascii="仿宋" w:hAnsi="仿宋"/>
                <w:color w:val="auto"/>
                <w:sz w:val="24"/>
              </w:rPr>
              <w:t>。如</w:t>
            </w:r>
            <w:r>
              <w:rPr>
                <w:rFonts w:hint="eastAsia" w:ascii="仿宋" w:hAnsi="仿宋"/>
                <w:color w:val="auto"/>
                <w:sz w:val="24"/>
              </w:rPr>
              <w:t>投资合作伙伴</w:t>
            </w:r>
            <w:r>
              <w:rPr>
                <w:rFonts w:ascii="仿宋" w:hAnsi="仿宋"/>
                <w:color w:val="auto"/>
                <w:sz w:val="24"/>
              </w:rPr>
              <w:t>参与竞买未成交，市城投公司出售给第三方时，市城投公司退还</w:t>
            </w:r>
            <w:r>
              <w:rPr>
                <w:rFonts w:hint="eastAsia" w:ascii="仿宋" w:hAnsi="仿宋"/>
                <w:color w:val="auto"/>
                <w:sz w:val="24"/>
              </w:rPr>
              <w:t>投资合作伙伴</w:t>
            </w:r>
            <w:r>
              <w:rPr>
                <w:rFonts w:ascii="仿宋" w:hAnsi="仿宋"/>
                <w:color w:val="auto"/>
                <w:sz w:val="24"/>
              </w:rPr>
              <w:t>已付</w:t>
            </w:r>
            <w:r>
              <w:rPr>
                <w:rFonts w:hint="eastAsia" w:ascii="仿宋" w:hAnsi="仿宋"/>
                <w:color w:val="auto"/>
                <w:sz w:val="24"/>
              </w:rPr>
              <w:t>的1.5亿元</w:t>
            </w:r>
            <w:r>
              <w:rPr>
                <w:rFonts w:ascii="仿宋" w:hAnsi="仿宋"/>
                <w:color w:val="auto"/>
                <w:sz w:val="24"/>
              </w:rPr>
              <w:t>。</w:t>
            </w:r>
            <w:r>
              <w:rPr>
                <w:rFonts w:hint="eastAsia" w:ascii="仿宋" w:hAnsi="仿宋"/>
                <w:color w:val="auto"/>
                <w:sz w:val="24"/>
              </w:rPr>
              <w:t>投资合作伙伴</w:t>
            </w:r>
            <w:r>
              <w:rPr>
                <w:rFonts w:ascii="仿宋" w:hAnsi="仿宋"/>
                <w:color w:val="auto"/>
                <w:sz w:val="24"/>
              </w:rPr>
              <w:t>如</w:t>
            </w:r>
            <w:r>
              <w:rPr>
                <w:rFonts w:hint="eastAsia" w:ascii="仿宋" w:hAnsi="仿宋"/>
                <w:color w:val="auto"/>
                <w:sz w:val="24"/>
              </w:rPr>
              <w:t>不参与竞买</w:t>
            </w:r>
            <w:r>
              <w:rPr>
                <w:rFonts w:ascii="仿宋" w:hAnsi="仿宋"/>
                <w:color w:val="auto"/>
                <w:sz w:val="24"/>
              </w:rPr>
              <w:t>或参与竞买后</w:t>
            </w:r>
            <w:r>
              <w:rPr>
                <w:rFonts w:hint="eastAsia" w:ascii="仿宋" w:hAnsi="仿宋"/>
                <w:color w:val="auto"/>
                <w:sz w:val="24"/>
              </w:rPr>
              <w:t>又退出</w:t>
            </w:r>
            <w:r>
              <w:rPr>
                <w:rFonts w:ascii="仿宋" w:hAnsi="仿宋"/>
                <w:color w:val="auto"/>
                <w:sz w:val="24"/>
              </w:rPr>
              <w:t>，则其投入的</w:t>
            </w:r>
            <w:r>
              <w:rPr>
                <w:rFonts w:hint="eastAsia" w:ascii="仿宋" w:hAnsi="仿宋"/>
                <w:color w:val="auto"/>
                <w:sz w:val="24"/>
              </w:rPr>
              <w:t>1.5亿元</w:t>
            </w:r>
            <w:r>
              <w:rPr>
                <w:rFonts w:ascii="仿宋" w:hAnsi="仿宋"/>
                <w:color w:val="auto"/>
                <w:sz w:val="24"/>
              </w:rPr>
              <w:t>市城投公司不予返还。</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ascii="仿宋" w:hAnsi="仿宋"/>
                <w:color w:val="auto"/>
                <w:sz w:val="24"/>
              </w:rPr>
              <w:t>本项目建成后</w:t>
            </w:r>
            <w:r>
              <w:rPr>
                <w:rFonts w:hint="eastAsia" w:ascii="仿宋" w:hAnsi="仿宋"/>
                <w:color w:val="auto"/>
                <w:sz w:val="24"/>
              </w:rPr>
              <w:t>五年</w:t>
            </w:r>
            <w:r>
              <w:rPr>
                <w:rFonts w:ascii="仿宋" w:hAnsi="仿宋"/>
                <w:color w:val="auto"/>
                <w:sz w:val="24"/>
              </w:rPr>
              <w:t>内如</w:t>
            </w:r>
            <w:r>
              <w:rPr>
                <w:rFonts w:hint="eastAsia" w:ascii="仿宋" w:hAnsi="仿宋"/>
                <w:color w:val="auto"/>
                <w:sz w:val="24"/>
              </w:rPr>
              <w:t>投资合作伙伴撤出</w:t>
            </w:r>
            <w:r>
              <w:rPr>
                <w:rFonts w:ascii="仿宋" w:hAnsi="仿宋"/>
                <w:color w:val="auto"/>
                <w:sz w:val="24"/>
              </w:rPr>
              <w:t>，</w:t>
            </w:r>
            <w:r>
              <w:rPr>
                <w:rFonts w:hint="eastAsia" w:ascii="仿宋" w:hAnsi="仿宋"/>
                <w:color w:val="auto"/>
                <w:sz w:val="24"/>
              </w:rPr>
              <w:t>则其已投入的1.5亿元及</w:t>
            </w:r>
            <w:r>
              <w:rPr>
                <w:rFonts w:ascii="仿宋" w:hAnsi="仿宋"/>
                <w:color w:val="auto"/>
                <w:sz w:val="24"/>
              </w:rPr>
              <w:t>形成</w:t>
            </w:r>
            <w:r>
              <w:rPr>
                <w:rFonts w:hint="eastAsia" w:ascii="仿宋" w:hAnsi="仿宋"/>
                <w:color w:val="auto"/>
                <w:sz w:val="24"/>
              </w:rPr>
              <w:t>的权益</w:t>
            </w:r>
            <w:r>
              <w:rPr>
                <w:rFonts w:ascii="仿宋" w:hAnsi="仿宋"/>
                <w:color w:val="auto"/>
                <w:sz w:val="24"/>
              </w:rPr>
              <w:t>归</w:t>
            </w:r>
            <w:r>
              <w:rPr>
                <w:rFonts w:hint="eastAsia" w:ascii="仿宋" w:hAnsi="仿宋"/>
                <w:color w:val="auto"/>
                <w:sz w:val="24"/>
              </w:rPr>
              <w:t>招商单位</w:t>
            </w:r>
            <w:r>
              <w:rPr>
                <w:rFonts w:ascii="仿宋" w:hAnsi="仿宋"/>
                <w:color w:val="auto"/>
                <w:sz w:val="24"/>
              </w:rPr>
              <w:t>所有。</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hint="eastAsia" w:ascii="仿宋" w:hAnsi="仿宋"/>
                <w:color w:val="auto"/>
                <w:sz w:val="24"/>
              </w:rPr>
              <w:t>招商单位负责本项目公开招标（包括但不限于后续工程施工、装修、设计等），与原施工单位解除合同，处理后续事宜。</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hint="eastAsia" w:ascii="仿宋" w:hAnsi="仿宋"/>
                <w:color w:val="auto"/>
                <w:sz w:val="24"/>
              </w:rPr>
              <w:t>招商单位负责办理项目工程竣工验收</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hint="eastAsia" w:ascii="仿宋" w:hAnsi="仿宋"/>
                <w:color w:val="auto"/>
                <w:sz w:val="24"/>
              </w:rPr>
              <w:t>招商单位在投资合作伙伴购买前拥有项目工程全部资产</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rPr>
            </w:pPr>
            <w:r>
              <w:rPr>
                <w:rFonts w:hint="eastAsia" w:ascii="仿宋" w:hAnsi="仿宋"/>
                <w:color w:val="auto"/>
                <w:sz w:val="24"/>
              </w:rPr>
              <w:t>双方出资同时打入双方设立的共管账户。为保证本项目尽快实施，本次招商活动确定投资合作伙伴后5个工作日内，按照2：1的比例，鞍山市城市建设投资发展有限公司存入共管账户6000万元，投资合作伙伴存入共管账户3000万元。余款及管理细则在投资合作伙伴确定后双方另行约定。</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697" w:type="dxa"/>
            <w:vMerge w:val="continue"/>
          </w:tcPr>
          <w:p>
            <w:pPr>
              <w:spacing w:line="360" w:lineRule="auto"/>
              <w:rPr>
                <w:rFonts w:ascii="仿宋" w:hAnsi="仿宋"/>
                <w:color w:val="auto"/>
                <w:sz w:val="24"/>
              </w:rPr>
            </w:pPr>
          </w:p>
        </w:tc>
        <w:tc>
          <w:tcPr>
            <w:tcW w:w="4231" w:type="dxa"/>
          </w:tcPr>
          <w:p>
            <w:pPr>
              <w:spacing w:line="360" w:lineRule="auto"/>
              <w:rPr>
                <w:rFonts w:ascii="仿宋" w:hAnsi="仿宋"/>
                <w:color w:val="auto"/>
                <w:sz w:val="24"/>
                <w:highlight w:val="yellow"/>
              </w:rPr>
            </w:pPr>
            <w:r>
              <w:rPr>
                <w:rFonts w:hint="eastAsia" w:ascii="仿宋" w:hAnsi="仿宋"/>
                <w:color w:val="auto"/>
                <w:sz w:val="24"/>
              </w:rPr>
              <w:t xml:space="preserve">二、鞍山会展宾馆                      </w:t>
            </w:r>
            <w:r>
              <w:rPr>
                <w:rFonts w:hint="eastAsia" w:ascii="仿宋" w:hAnsi="仿宋"/>
                <w:color w:val="auto"/>
                <w:sz w:val="24"/>
                <w:highlight w:val="yellow"/>
              </w:rPr>
              <w:t xml:space="preserve">                                             </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97" w:type="dxa"/>
            <w:vMerge w:val="continue"/>
          </w:tcPr>
          <w:p>
            <w:pPr>
              <w:spacing w:line="360" w:lineRule="auto"/>
              <w:rPr>
                <w:rFonts w:ascii="仿宋" w:hAnsi="仿宋"/>
                <w:color w:val="auto"/>
                <w:sz w:val="24"/>
              </w:rPr>
            </w:pPr>
          </w:p>
        </w:tc>
        <w:tc>
          <w:tcPr>
            <w:tcW w:w="4231" w:type="dxa"/>
            <w:vAlign w:val="top"/>
          </w:tcPr>
          <w:p>
            <w:pPr>
              <w:spacing w:line="360" w:lineRule="auto"/>
              <w:rPr>
                <w:rFonts w:hint="eastAsia" w:ascii="仿宋" w:hAnsi="仿宋"/>
                <w:color w:val="auto"/>
                <w:sz w:val="24"/>
              </w:rPr>
            </w:pPr>
            <w:r>
              <w:rPr>
                <w:rFonts w:hint="eastAsia" w:ascii="仿宋" w:hAnsi="仿宋"/>
                <w:color w:val="auto"/>
                <w:sz w:val="24"/>
              </w:rPr>
              <w:t>1、初步预计未完工程投资、装修改造工程投资、全部配套工程投资，投资方拟投资2.5亿人民币；甲乙方进行比例分割资产，运营方由乙方运营；甲方不得干涉乙方经营，乙方负责支付鞍山市会展宾馆所欠工程款项并完成余下建设工程；</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97" w:type="dxa"/>
            <w:vMerge w:val="continue"/>
          </w:tcPr>
          <w:p>
            <w:pPr>
              <w:spacing w:line="360" w:lineRule="auto"/>
              <w:rPr>
                <w:rFonts w:ascii="仿宋" w:hAnsi="仿宋"/>
                <w:color w:val="auto"/>
                <w:sz w:val="24"/>
              </w:rPr>
            </w:pPr>
          </w:p>
        </w:tc>
        <w:tc>
          <w:tcPr>
            <w:tcW w:w="4231" w:type="dxa"/>
            <w:vAlign w:val="top"/>
          </w:tcPr>
          <w:p>
            <w:pPr>
              <w:spacing w:line="360" w:lineRule="auto"/>
              <w:rPr>
                <w:rFonts w:hint="eastAsia" w:ascii="仿宋" w:hAnsi="仿宋"/>
                <w:color w:val="auto"/>
                <w:sz w:val="24"/>
              </w:rPr>
            </w:pPr>
            <w:r>
              <w:rPr>
                <w:rFonts w:hint="eastAsia" w:ascii="仿宋" w:hAnsi="仿宋"/>
                <w:color w:val="auto"/>
                <w:sz w:val="24"/>
              </w:rPr>
              <w:t>2、完善工程费、支付工程款费、乙方装修维护宾馆费用抵顶20年使用租金。续签使用宾馆另行制定费用标准；</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97" w:type="dxa"/>
            <w:vMerge w:val="continue"/>
          </w:tcPr>
          <w:p>
            <w:pPr>
              <w:spacing w:line="360" w:lineRule="auto"/>
              <w:rPr>
                <w:rFonts w:ascii="仿宋" w:hAnsi="仿宋"/>
                <w:color w:val="auto"/>
                <w:sz w:val="24"/>
              </w:rPr>
            </w:pPr>
          </w:p>
        </w:tc>
        <w:tc>
          <w:tcPr>
            <w:tcW w:w="4231" w:type="dxa"/>
            <w:vAlign w:val="top"/>
          </w:tcPr>
          <w:p>
            <w:pPr>
              <w:spacing w:line="360" w:lineRule="auto"/>
              <w:rPr>
                <w:rFonts w:hint="eastAsia" w:ascii="仿宋" w:hAnsi="仿宋"/>
                <w:color w:val="auto"/>
                <w:sz w:val="24"/>
              </w:rPr>
            </w:pPr>
            <w:r>
              <w:rPr>
                <w:rFonts w:hint="eastAsia" w:ascii="仿宋" w:hAnsi="仿宋"/>
                <w:color w:val="auto"/>
                <w:sz w:val="24"/>
              </w:rPr>
              <w:t>3、甲方为乙方提供全方位服务，协助乙方办理相关手续；</w:t>
            </w:r>
          </w:p>
        </w:tc>
        <w:tc>
          <w:tcPr>
            <w:tcW w:w="992" w:type="dxa"/>
          </w:tcPr>
          <w:p>
            <w:pPr>
              <w:spacing w:line="360" w:lineRule="auto"/>
              <w:rPr>
                <w:rFonts w:ascii="仿宋" w:hAnsi="仿宋"/>
                <w:color w:val="auto"/>
                <w:sz w:val="24"/>
              </w:rPr>
            </w:pPr>
          </w:p>
        </w:tc>
        <w:tc>
          <w:tcPr>
            <w:tcW w:w="992" w:type="dxa"/>
          </w:tcPr>
          <w:p>
            <w:pPr>
              <w:spacing w:line="360" w:lineRule="auto"/>
              <w:rPr>
                <w:rFonts w:ascii="仿宋" w:hAnsi="仿宋"/>
                <w:color w:val="auto"/>
                <w:sz w:val="24"/>
              </w:rPr>
            </w:pPr>
          </w:p>
        </w:tc>
        <w:tc>
          <w:tcPr>
            <w:tcW w:w="830" w:type="dxa"/>
          </w:tcPr>
          <w:p>
            <w:pPr>
              <w:spacing w:line="360" w:lineRule="auto"/>
              <w:rPr>
                <w:rFonts w:ascii="仿宋" w:hAnsi="仿宋"/>
                <w:color w:val="auto"/>
                <w:sz w:val="24"/>
              </w:rPr>
            </w:pPr>
          </w:p>
        </w:tc>
        <w:tc>
          <w:tcPr>
            <w:tcW w:w="1544" w:type="dxa"/>
          </w:tcPr>
          <w:p>
            <w:pPr>
              <w:spacing w:line="360" w:lineRule="auto"/>
              <w:rPr>
                <w:rFonts w:ascii="仿宋" w:hAnsi="仿宋"/>
                <w:color w:val="auto"/>
                <w:sz w:val="24"/>
              </w:rPr>
            </w:pPr>
          </w:p>
        </w:tc>
      </w:tr>
    </w:tbl>
    <w:p>
      <w:pPr>
        <w:spacing w:line="360" w:lineRule="auto"/>
        <w:rPr>
          <w:rFonts w:ascii="仿宋" w:hAnsi="仿宋"/>
          <w:color w:val="auto"/>
          <w:sz w:val="24"/>
        </w:rPr>
      </w:pPr>
      <w:r>
        <w:rPr>
          <w:rFonts w:hint="eastAsia" w:ascii="仿宋" w:hAnsi="仿宋"/>
          <w:color w:val="auto"/>
          <w:sz w:val="24"/>
        </w:rPr>
        <w:t>填表说明：</w:t>
      </w:r>
    </w:p>
    <w:p>
      <w:pPr>
        <w:spacing w:line="360" w:lineRule="auto"/>
        <w:rPr>
          <w:rFonts w:ascii="仿宋" w:hAnsi="仿宋"/>
          <w:color w:val="auto"/>
          <w:sz w:val="24"/>
        </w:rPr>
      </w:pPr>
      <w:r>
        <w:rPr>
          <w:rFonts w:hint="eastAsia" w:ascii="仿宋" w:hAnsi="仿宋"/>
          <w:color w:val="auto"/>
          <w:sz w:val="24"/>
        </w:rPr>
        <w:t>1、本表由投资合作伙伴填写，因投资合作伙伴未明确响应内容的，谈判小组则认定其未响应招商文件要求；</w:t>
      </w:r>
    </w:p>
    <w:p>
      <w:pPr>
        <w:spacing w:line="360" w:lineRule="auto"/>
        <w:rPr>
          <w:rFonts w:ascii="仿宋" w:hAnsi="仿宋"/>
          <w:color w:val="auto"/>
          <w:sz w:val="24"/>
        </w:rPr>
      </w:pPr>
      <w:r>
        <w:rPr>
          <w:rFonts w:hint="eastAsia" w:ascii="仿宋" w:hAnsi="仿宋"/>
          <w:color w:val="auto"/>
          <w:sz w:val="24"/>
        </w:rPr>
        <w:t>2、投资合作伙伴“一般响应”和“不响应”的应当填写文字说明。</w:t>
      </w: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spacing w:line="360" w:lineRule="auto"/>
        <w:rPr>
          <w:rFonts w:hint="eastAsia" w:ascii="仿宋" w:hAnsi="仿宋"/>
          <w:color w:val="auto"/>
          <w:sz w:val="24"/>
        </w:rPr>
      </w:pPr>
    </w:p>
    <w:p>
      <w:pPr>
        <w:pStyle w:val="4"/>
        <w:rPr>
          <w:color w:val="auto"/>
          <w:sz w:val="30"/>
          <w:szCs w:val="30"/>
        </w:rPr>
      </w:pPr>
      <w:bookmarkStart w:id="23" w:name="_Toc15442"/>
      <w:r>
        <w:rPr>
          <w:rFonts w:hint="eastAsia"/>
          <w:color w:val="auto"/>
          <w:sz w:val="30"/>
          <w:szCs w:val="30"/>
        </w:rPr>
        <w:t>6、其他必要文件</w:t>
      </w:r>
      <w:bookmarkEnd w:id="23"/>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hint="eastAsia" w:ascii="仿宋" w:hAnsi="仿宋"/>
          <w:b/>
          <w:color w:val="auto"/>
          <w:sz w:val="30"/>
          <w:szCs w:val="30"/>
        </w:rPr>
      </w:pPr>
    </w:p>
    <w:p>
      <w:pPr>
        <w:spacing w:line="360" w:lineRule="auto"/>
        <w:rPr>
          <w:rFonts w:hint="eastAsia" w:ascii="仿宋" w:hAnsi="仿宋"/>
          <w:b/>
          <w:color w:val="auto"/>
          <w:sz w:val="30"/>
          <w:szCs w:val="30"/>
        </w:rPr>
      </w:pPr>
    </w:p>
    <w:p>
      <w:pPr>
        <w:spacing w:line="360" w:lineRule="auto"/>
        <w:rPr>
          <w:rFonts w:hint="eastAsia" w:ascii="仿宋" w:hAnsi="仿宋"/>
          <w:b/>
          <w:color w:val="auto"/>
          <w:sz w:val="30"/>
          <w:szCs w:val="30"/>
        </w:rPr>
      </w:pPr>
    </w:p>
    <w:p>
      <w:pPr>
        <w:spacing w:line="360" w:lineRule="auto"/>
        <w:rPr>
          <w:rFonts w:hint="eastAsia" w:ascii="仿宋" w:hAnsi="仿宋"/>
          <w:b/>
          <w:color w:val="auto"/>
          <w:sz w:val="30"/>
          <w:szCs w:val="30"/>
        </w:rPr>
      </w:pPr>
    </w:p>
    <w:p>
      <w:pPr>
        <w:spacing w:line="360" w:lineRule="auto"/>
        <w:rPr>
          <w:rFonts w:hint="eastAsia" w:ascii="仿宋" w:hAnsi="仿宋"/>
          <w:b/>
          <w:color w:val="auto"/>
          <w:sz w:val="30"/>
          <w:szCs w:val="30"/>
        </w:rPr>
      </w:pPr>
    </w:p>
    <w:p>
      <w:pPr>
        <w:pStyle w:val="4"/>
        <w:rPr>
          <w:rFonts w:hint="eastAsia"/>
          <w:color w:val="auto"/>
        </w:rPr>
      </w:pPr>
      <w:bookmarkStart w:id="24" w:name="_Toc27503"/>
      <w:r>
        <w:rPr>
          <w:rFonts w:hint="eastAsia"/>
          <w:color w:val="auto"/>
        </w:rPr>
        <w:t>7、文件封面格式</w:t>
      </w:r>
      <w:bookmarkEnd w:id="24"/>
    </w:p>
    <w:p>
      <w:pPr>
        <w:rPr>
          <w:color w:val="auto"/>
        </w:rPr>
      </w:pPr>
    </w:p>
    <w:p>
      <w:pPr>
        <w:spacing w:line="360" w:lineRule="auto"/>
        <w:rPr>
          <w:rFonts w:ascii="仿宋" w:hAnsi="仿宋"/>
          <w:b/>
          <w:color w:val="auto"/>
          <w:sz w:val="30"/>
          <w:szCs w:val="30"/>
        </w:rPr>
      </w:pPr>
      <w:r>
        <w:rPr>
          <w:rFonts w:hint="eastAsia" w:ascii="仿宋" w:hAnsi="仿宋"/>
          <w:b/>
          <w:color w:val="auto"/>
          <w:sz w:val="30"/>
          <w:szCs w:val="30"/>
        </w:rPr>
        <w:t xml:space="preserve">                                             正本/或副本</w:t>
      </w:r>
    </w:p>
    <w:p>
      <w:pPr>
        <w:spacing w:line="360" w:lineRule="auto"/>
        <w:rPr>
          <w:rFonts w:ascii="仿宋" w:hAnsi="仿宋"/>
          <w:b/>
          <w:color w:val="auto"/>
          <w:sz w:val="30"/>
          <w:szCs w:val="30"/>
        </w:rPr>
      </w:pPr>
    </w:p>
    <w:p>
      <w:pPr>
        <w:spacing w:line="360" w:lineRule="auto"/>
        <w:jc w:val="center"/>
        <w:rPr>
          <w:rFonts w:ascii="仿宋" w:hAnsi="仿宋"/>
          <w:b/>
          <w:bCs/>
          <w:color w:val="auto"/>
          <w:spacing w:val="20"/>
          <w:sz w:val="44"/>
          <w:szCs w:val="44"/>
        </w:rPr>
      </w:pPr>
      <w:r>
        <w:rPr>
          <w:rFonts w:hint="eastAsia" w:ascii="仿宋" w:hAnsi="仿宋"/>
          <w:b/>
          <w:color w:val="auto"/>
          <w:sz w:val="30"/>
          <w:szCs w:val="30"/>
        </w:rPr>
        <w:t xml:space="preserve">    </w:t>
      </w:r>
      <w:r>
        <w:rPr>
          <w:rFonts w:hint="eastAsia" w:ascii="仿宋" w:hAnsi="仿宋"/>
          <w:color w:val="auto"/>
          <w:sz w:val="30"/>
          <w:szCs w:val="30"/>
        </w:rPr>
        <w:t>“</w:t>
      </w:r>
      <w:r>
        <w:rPr>
          <w:rFonts w:hint="eastAsia" w:ascii="仿宋" w:hAnsi="仿宋"/>
          <w:b/>
          <w:bCs/>
          <w:color w:val="auto"/>
          <w:spacing w:val="20"/>
          <w:sz w:val="44"/>
          <w:szCs w:val="44"/>
        </w:rPr>
        <w:t>鞍山市会展中心、会展宾馆” 项目</w:t>
      </w: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44"/>
          <w:szCs w:val="44"/>
        </w:rPr>
      </w:pPr>
      <w:r>
        <w:rPr>
          <w:rFonts w:hint="eastAsia" w:ascii="仿宋" w:hAnsi="仿宋"/>
          <w:b/>
          <w:bCs/>
          <w:color w:val="auto"/>
          <w:spacing w:val="20"/>
          <w:sz w:val="44"/>
          <w:szCs w:val="44"/>
        </w:rPr>
        <w:t>招商响应文件</w:t>
      </w: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44"/>
          <w:szCs w:val="44"/>
        </w:rPr>
      </w:pPr>
    </w:p>
    <w:p>
      <w:pPr>
        <w:spacing w:line="360" w:lineRule="auto"/>
        <w:jc w:val="center"/>
        <w:rPr>
          <w:rFonts w:ascii="仿宋" w:hAnsi="仿宋"/>
          <w:b/>
          <w:bCs/>
          <w:color w:val="auto"/>
          <w:spacing w:val="20"/>
          <w:sz w:val="32"/>
          <w:szCs w:val="32"/>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p>
    <w:p>
      <w:pPr>
        <w:spacing w:line="360" w:lineRule="auto"/>
        <w:rPr>
          <w:rFonts w:ascii="仿宋" w:hAnsi="仿宋"/>
          <w:b/>
          <w:color w:val="auto"/>
          <w:sz w:val="30"/>
          <w:szCs w:val="30"/>
        </w:rPr>
      </w:pPr>
      <w:r>
        <w:rPr>
          <w:rFonts w:hint="eastAsia" w:ascii="仿宋" w:hAnsi="仿宋"/>
          <w:b/>
          <w:color w:val="auto"/>
          <w:sz w:val="30"/>
          <w:szCs w:val="30"/>
        </w:rPr>
        <w:t xml:space="preserve">   投标人名称：（盖章）</w:t>
      </w:r>
    </w:p>
    <w:p>
      <w:pPr>
        <w:spacing w:line="360" w:lineRule="auto"/>
        <w:rPr>
          <w:rFonts w:ascii="仿宋" w:hAnsi="仿宋"/>
          <w:b/>
          <w:color w:val="auto"/>
          <w:sz w:val="30"/>
          <w:szCs w:val="30"/>
        </w:rPr>
      </w:pPr>
      <w:r>
        <w:rPr>
          <w:rFonts w:hint="eastAsia" w:ascii="仿宋" w:hAnsi="仿宋"/>
          <w:b/>
          <w:color w:val="auto"/>
          <w:sz w:val="30"/>
          <w:szCs w:val="30"/>
        </w:rPr>
        <w:t xml:space="preserve">   法定代表人或授权委托人：（签字或盖章）</w:t>
      </w:r>
    </w:p>
    <w:p>
      <w:pPr>
        <w:spacing w:line="360" w:lineRule="auto"/>
        <w:rPr>
          <w:rFonts w:ascii="仿宋" w:hAnsi="仿宋"/>
          <w:b/>
          <w:color w:val="auto"/>
          <w:sz w:val="30"/>
          <w:szCs w:val="30"/>
        </w:rPr>
      </w:pPr>
      <w:r>
        <w:rPr>
          <w:rFonts w:hint="eastAsia" w:ascii="仿宋" w:hAnsi="仿宋"/>
          <w:b/>
          <w:color w:val="auto"/>
          <w:sz w:val="30"/>
          <w:szCs w:val="30"/>
        </w:rPr>
        <w:t xml:space="preserve">   投资合作伙伴地址：</w:t>
      </w:r>
    </w:p>
    <w:p>
      <w:pPr>
        <w:spacing w:line="360" w:lineRule="auto"/>
        <w:rPr>
          <w:rFonts w:ascii="仿宋" w:hAnsi="仿宋"/>
          <w:b/>
          <w:color w:val="auto"/>
          <w:sz w:val="30"/>
          <w:szCs w:val="30"/>
        </w:rPr>
      </w:pPr>
      <w:r>
        <w:rPr>
          <w:rFonts w:hint="eastAsia" w:ascii="仿宋" w:hAnsi="仿宋"/>
          <w:b/>
          <w:color w:val="auto"/>
          <w:sz w:val="30"/>
          <w:szCs w:val="30"/>
        </w:rPr>
        <w:t xml:space="preserve">  （2020年7月29日</w:t>
      </w:r>
      <w:r>
        <w:rPr>
          <w:rFonts w:hint="eastAsia" w:ascii="仿宋" w:hAnsi="仿宋"/>
          <w:b/>
          <w:color w:val="auto"/>
          <w:sz w:val="30"/>
          <w:szCs w:val="30"/>
          <w:lang w:val="en-US" w:eastAsia="zh-CN"/>
        </w:rPr>
        <w:t>10</w:t>
      </w:r>
      <w:r>
        <w:rPr>
          <w:rFonts w:hint="eastAsia" w:ascii="仿宋" w:hAnsi="仿宋"/>
          <w:b/>
          <w:color w:val="auto"/>
          <w:sz w:val="30"/>
          <w:szCs w:val="30"/>
        </w:rPr>
        <w:t>：</w:t>
      </w:r>
      <w:r>
        <w:rPr>
          <w:rFonts w:hint="eastAsia" w:ascii="仿宋" w:hAnsi="仿宋"/>
          <w:b/>
          <w:color w:val="auto"/>
          <w:sz w:val="30"/>
          <w:szCs w:val="30"/>
          <w:lang w:val="en-US" w:eastAsia="zh-CN"/>
        </w:rPr>
        <w:t>0</w:t>
      </w:r>
      <w:r>
        <w:rPr>
          <w:rFonts w:hint="eastAsia" w:ascii="仿宋" w:hAnsi="仿宋"/>
          <w:b/>
          <w:color w:val="auto"/>
          <w:sz w:val="30"/>
          <w:szCs w:val="30"/>
        </w:rPr>
        <w:t>0前不得开启）</w:t>
      </w:r>
    </w:p>
    <w:p>
      <w:pPr>
        <w:spacing w:line="360" w:lineRule="auto"/>
        <w:rPr>
          <w:rFonts w:ascii="仿宋" w:hAnsi="仿宋"/>
          <w:b/>
          <w:color w:val="auto"/>
          <w:sz w:val="30"/>
          <w:szCs w:val="30"/>
        </w:rPr>
      </w:pPr>
    </w:p>
    <w:sectPr>
      <w:headerReference r:id="rId3" w:type="default"/>
      <w:footerReference r:id="rId4" w:type="default"/>
      <w:pgSz w:w="11906" w:h="16838"/>
      <w:pgMar w:top="1418" w:right="1418" w:bottom="1418" w:left="1418"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昆仑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wordWrap w:val="0"/>
      <w:ind w:right="400"/>
      <w:jc w:val="left"/>
      <w:rPr>
        <w:rFonts w:ascii="仿宋_GB2312" w:eastAsia="仿宋_GB2312"/>
      </w:rPr>
    </w:pPr>
    <w:r>
      <w:rPr>
        <w:rFonts w:hint="eastAsia"/>
      </w:rPr>
      <w:t xml:space="preserve">                                                                                  </w:t>
    </w:r>
    <w:r>
      <w:rPr>
        <w:rFonts w:hint="eastAsia" w:ascii="仿宋_GB2312" w:eastAsia="仿宋_GB2312"/>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2</w:t>
    </w:r>
    <w:r>
      <w:rPr>
        <w:rFonts w:hint="eastAsia" w:ascii="仿宋_GB2312" w:eastAsia="仿宋_GB2312"/>
        <w:kern w:val="0"/>
        <w:szCs w:val="21"/>
      </w:rPr>
      <w:fldChar w:fldCharType="end"/>
    </w:r>
    <w:r>
      <w:rPr>
        <w:rFonts w:hint="eastAsia" w:ascii="仿宋_GB2312" w:eastAsia="仿宋_GB2312"/>
        <w:kern w:val="0"/>
        <w:szCs w:val="21"/>
      </w:rPr>
      <w:t xml:space="preserve"> 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2648E6"/>
    <w:multiLevelType w:val="singleLevel"/>
    <w:tmpl w:val="C92648E6"/>
    <w:lvl w:ilvl="0" w:tentative="0">
      <w:start w:val="1"/>
      <w:numFmt w:val="decimal"/>
      <w:lvlText w:val="%1."/>
      <w:lvlJc w:val="left"/>
      <w:pPr>
        <w:tabs>
          <w:tab w:val="left" w:pos="312"/>
        </w:tabs>
      </w:pPr>
    </w:lvl>
  </w:abstractNum>
  <w:abstractNum w:abstractNumId="1">
    <w:nsid w:val="DA0C9004"/>
    <w:multiLevelType w:val="singleLevel"/>
    <w:tmpl w:val="DA0C900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D590A"/>
    <w:rsid w:val="00002B21"/>
    <w:rsid w:val="00010BF9"/>
    <w:rsid w:val="00014794"/>
    <w:rsid w:val="00021F58"/>
    <w:rsid w:val="0002364F"/>
    <w:rsid w:val="00024AB6"/>
    <w:rsid w:val="00030DB2"/>
    <w:rsid w:val="00030EE6"/>
    <w:rsid w:val="000337A0"/>
    <w:rsid w:val="00040EEA"/>
    <w:rsid w:val="000421D0"/>
    <w:rsid w:val="00046156"/>
    <w:rsid w:val="0004773C"/>
    <w:rsid w:val="0005314D"/>
    <w:rsid w:val="00055297"/>
    <w:rsid w:val="00055829"/>
    <w:rsid w:val="00071445"/>
    <w:rsid w:val="0008476E"/>
    <w:rsid w:val="0008547F"/>
    <w:rsid w:val="000955EE"/>
    <w:rsid w:val="000A1CFD"/>
    <w:rsid w:val="000A5C0D"/>
    <w:rsid w:val="000A7323"/>
    <w:rsid w:val="000C67C8"/>
    <w:rsid w:val="000C6EA0"/>
    <w:rsid w:val="000D06BA"/>
    <w:rsid w:val="000D4CC1"/>
    <w:rsid w:val="000E223E"/>
    <w:rsid w:val="000E4FCB"/>
    <w:rsid w:val="000F1D51"/>
    <w:rsid w:val="0010319A"/>
    <w:rsid w:val="00107454"/>
    <w:rsid w:val="00107845"/>
    <w:rsid w:val="00121BA2"/>
    <w:rsid w:val="00123799"/>
    <w:rsid w:val="001271E7"/>
    <w:rsid w:val="0014128C"/>
    <w:rsid w:val="00145AF1"/>
    <w:rsid w:val="00165ED8"/>
    <w:rsid w:val="0017159D"/>
    <w:rsid w:val="00171FE9"/>
    <w:rsid w:val="00174A98"/>
    <w:rsid w:val="00175CD4"/>
    <w:rsid w:val="001767D2"/>
    <w:rsid w:val="00180E46"/>
    <w:rsid w:val="00193DE0"/>
    <w:rsid w:val="001B17ED"/>
    <w:rsid w:val="001B4E73"/>
    <w:rsid w:val="001B7222"/>
    <w:rsid w:val="001B7502"/>
    <w:rsid w:val="001D24B8"/>
    <w:rsid w:val="001D5E0A"/>
    <w:rsid w:val="001E197F"/>
    <w:rsid w:val="001E33E5"/>
    <w:rsid w:val="001E4094"/>
    <w:rsid w:val="00202063"/>
    <w:rsid w:val="00213505"/>
    <w:rsid w:val="002173BD"/>
    <w:rsid w:val="00223320"/>
    <w:rsid w:val="0023239B"/>
    <w:rsid w:val="0025487F"/>
    <w:rsid w:val="0025551F"/>
    <w:rsid w:val="00257D55"/>
    <w:rsid w:val="00261604"/>
    <w:rsid w:val="00267DBB"/>
    <w:rsid w:val="00277BE7"/>
    <w:rsid w:val="00277E42"/>
    <w:rsid w:val="00282764"/>
    <w:rsid w:val="00284717"/>
    <w:rsid w:val="00287FE1"/>
    <w:rsid w:val="0029377C"/>
    <w:rsid w:val="002A2F3F"/>
    <w:rsid w:val="002A7F58"/>
    <w:rsid w:val="002B4676"/>
    <w:rsid w:val="002D4105"/>
    <w:rsid w:val="002D51BB"/>
    <w:rsid w:val="002D590A"/>
    <w:rsid w:val="002E3B1B"/>
    <w:rsid w:val="002E7B5C"/>
    <w:rsid w:val="002F19F9"/>
    <w:rsid w:val="00301AE6"/>
    <w:rsid w:val="003159A2"/>
    <w:rsid w:val="00320F45"/>
    <w:rsid w:val="003227B0"/>
    <w:rsid w:val="00330528"/>
    <w:rsid w:val="00333944"/>
    <w:rsid w:val="00336F50"/>
    <w:rsid w:val="00344D82"/>
    <w:rsid w:val="003617A7"/>
    <w:rsid w:val="00367769"/>
    <w:rsid w:val="00372649"/>
    <w:rsid w:val="00381D2D"/>
    <w:rsid w:val="003821E3"/>
    <w:rsid w:val="00392839"/>
    <w:rsid w:val="00396582"/>
    <w:rsid w:val="003B0FF6"/>
    <w:rsid w:val="003B2FB5"/>
    <w:rsid w:val="003B7A29"/>
    <w:rsid w:val="003C18FC"/>
    <w:rsid w:val="003C494D"/>
    <w:rsid w:val="003D35C8"/>
    <w:rsid w:val="003D4FF6"/>
    <w:rsid w:val="003D519E"/>
    <w:rsid w:val="003D7FD8"/>
    <w:rsid w:val="003E6BAD"/>
    <w:rsid w:val="003F10A4"/>
    <w:rsid w:val="00403C53"/>
    <w:rsid w:val="00411993"/>
    <w:rsid w:val="004169F4"/>
    <w:rsid w:val="0042003B"/>
    <w:rsid w:val="004305BA"/>
    <w:rsid w:val="00432D2D"/>
    <w:rsid w:val="00445045"/>
    <w:rsid w:val="004464DB"/>
    <w:rsid w:val="00447689"/>
    <w:rsid w:val="00450C30"/>
    <w:rsid w:val="004654F9"/>
    <w:rsid w:val="0047482F"/>
    <w:rsid w:val="004771FE"/>
    <w:rsid w:val="004867C3"/>
    <w:rsid w:val="004A77A4"/>
    <w:rsid w:val="004C286A"/>
    <w:rsid w:val="004C73B5"/>
    <w:rsid w:val="004D299B"/>
    <w:rsid w:val="004D4889"/>
    <w:rsid w:val="004F2BEE"/>
    <w:rsid w:val="004F46D5"/>
    <w:rsid w:val="004F73CC"/>
    <w:rsid w:val="00505B76"/>
    <w:rsid w:val="00506DF3"/>
    <w:rsid w:val="00510842"/>
    <w:rsid w:val="0051235B"/>
    <w:rsid w:val="005126A9"/>
    <w:rsid w:val="005256B7"/>
    <w:rsid w:val="00525D2D"/>
    <w:rsid w:val="00534C17"/>
    <w:rsid w:val="00544D77"/>
    <w:rsid w:val="00547CCE"/>
    <w:rsid w:val="0055204F"/>
    <w:rsid w:val="0057167E"/>
    <w:rsid w:val="00571691"/>
    <w:rsid w:val="00574CC5"/>
    <w:rsid w:val="00590473"/>
    <w:rsid w:val="00591D4C"/>
    <w:rsid w:val="00592C34"/>
    <w:rsid w:val="005A325C"/>
    <w:rsid w:val="005A7DDA"/>
    <w:rsid w:val="005B065A"/>
    <w:rsid w:val="005B119D"/>
    <w:rsid w:val="005B69F9"/>
    <w:rsid w:val="005D1FA4"/>
    <w:rsid w:val="005D4C0E"/>
    <w:rsid w:val="005E1A1B"/>
    <w:rsid w:val="005F30D6"/>
    <w:rsid w:val="0061634A"/>
    <w:rsid w:val="00625E31"/>
    <w:rsid w:val="00633FD1"/>
    <w:rsid w:val="0064043D"/>
    <w:rsid w:val="0064419D"/>
    <w:rsid w:val="00644E56"/>
    <w:rsid w:val="006461D8"/>
    <w:rsid w:val="0065060E"/>
    <w:rsid w:val="006634FA"/>
    <w:rsid w:val="00665617"/>
    <w:rsid w:val="00670434"/>
    <w:rsid w:val="00673DF2"/>
    <w:rsid w:val="006771C1"/>
    <w:rsid w:val="006773B9"/>
    <w:rsid w:val="006807F4"/>
    <w:rsid w:val="006871F6"/>
    <w:rsid w:val="00687761"/>
    <w:rsid w:val="00691DD7"/>
    <w:rsid w:val="006930D5"/>
    <w:rsid w:val="00697CC8"/>
    <w:rsid w:val="006A7B4E"/>
    <w:rsid w:val="006C65DA"/>
    <w:rsid w:val="006E19CC"/>
    <w:rsid w:val="006E6113"/>
    <w:rsid w:val="006E6EFC"/>
    <w:rsid w:val="006F1C87"/>
    <w:rsid w:val="006F3427"/>
    <w:rsid w:val="00711309"/>
    <w:rsid w:val="007255A9"/>
    <w:rsid w:val="00727DD5"/>
    <w:rsid w:val="00751215"/>
    <w:rsid w:val="00766DB7"/>
    <w:rsid w:val="00770E7F"/>
    <w:rsid w:val="007823A2"/>
    <w:rsid w:val="0078478E"/>
    <w:rsid w:val="00784AA0"/>
    <w:rsid w:val="00787903"/>
    <w:rsid w:val="007A1C2E"/>
    <w:rsid w:val="007A3A09"/>
    <w:rsid w:val="007A3F6A"/>
    <w:rsid w:val="007A54A3"/>
    <w:rsid w:val="007B70D3"/>
    <w:rsid w:val="007C36D8"/>
    <w:rsid w:val="007C5122"/>
    <w:rsid w:val="007C5FE4"/>
    <w:rsid w:val="007E23CF"/>
    <w:rsid w:val="007E50AC"/>
    <w:rsid w:val="007F590B"/>
    <w:rsid w:val="0081272D"/>
    <w:rsid w:val="008140C5"/>
    <w:rsid w:val="008143F9"/>
    <w:rsid w:val="008176AE"/>
    <w:rsid w:val="00820A8E"/>
    <w:rsid w:val="00822E7C"/>
    <w:rsid w:val="00824BDD"/>
    <w:rsid w:val="00827F10"/>
    <w:rsid w:val="008329E0"/>
    <w:rsid w:val="00835327"/>
    <w:rsid w:val="00836A61"/>
    <w:rsid w:val="008413E2"/>
    <w:rsid w:val="0084650A"/>
    <w:rsid w:val="00846F3B"/>
    <w:rsid w:val="00860CDA"/>
    <w:rsid w:val="00860D7B"/>
    <w:rsid w:val="00865F98"/>
    <w:rsid w:val="00866C8F"/>
    <w:rsid w:val="00880270"/>
    <w:rsid w:val="008832FD"/>
    <w:rsid w:val="00885C87"/>
    <w:rsid w:val="00892636"/>
    <w:rsid w:val="00895095"/>
    <w:rsid w:val="008960FC"/>
    <w:rsid w:val="008A508F"/>
    <w:rsid w:val="008B362D"/>
    <w:rsid w:val="008C0C8A"/>
    <w:rsid w:val="008D0D00"/>
    <w:rsid w:val="008D3146"/>
    <w:rsid w:val="008D5896"/>
    <w:rsid w:val="008E0AE7"/>
    <w:rsid w:val="008E70AF"/>
    <w:rsid w:val="008F4F89"/>
    <w:rsid w:val="008F60F7"/>
    <w:rsid w:val="00902A0D"/>
    <w:rsid w:val="009118EB"/>
    <w:rsid w:val="00913EB3"/>
    <w:rsid w:val="00915211"/>
    <w:rsid w:val="009211F2"/>
    <w:rsid w:val="00922856"/>
    <w:rsid w:val="00925481"/>
    <w:rsid w:val="009320AE"/>
    <w:rsid w:val="009361EB"/>
    <w:rsid w:val="009409E2"/>
    <w:rsid w:val="009553F9"/>
    <w:rsid w:val="00960A35"/>
    <w:rsid w:val="00971408"/>
    <w:rsid w:val="0097152C"/>
    <w:rsid w:val="00980A36"/>
    <w:rsid w:val="00980BA2"/>
    <w:rsid w:val="00981583"/>
    <w:rsid w:val="00982976"/>
    <w:rsid w:val="0098386C"/>
    <w:rsid w:val="00986D71"/>
    <w:rsid w:val="00990806"/>
    <w:rsid w:val="009B25C3"/>
    <w:rsid w:val="009B4293"/>
    <w:rsid w:val="009B6333"/>
    <w:rsid w:val="009B7BFB"/>
    <w:rsid w:val="009F6013"/>
    <w:rsid w:val="00A03CFE"/>
    <w:rsid w:val="00A05D82"/>
    <w:rsid w:val="00A06E76"/>
    <w:rsid w:val="00A1773E"/>
    <w:rsid w:val="00A22B56"/>
    <w:rsid w:val="00A2562C"/>
    <w:rsid w:val="00A306D5"/>
    <w:rsid w:val="00A31366"/>
    <w:rsid w:val="00A3404C"/>
    <w:rsid w:val="00A55591"/>
    <w:rsid w:val="00A55CC5"/>
    <w:rsid w:val="00A5750F"/>
    <w:rsid w:val="00A604EE"/>
    <w:rsid w:val="00A62F90"/>
    <w:rsid w:val="00A7159E"/>
    <w:rsid w:val="00A75B54"/>
    <w:rsid w:val="00AC58D2"/>
    <w:rsid w:val="00AD2061"/>
    <w:rsid w:val="00AD37FC"/>
    <w:rsid w:val="00AE57B2"/>
    <w:rsid w:val="00AF039F"/>
    <w:rsid w:val="00AF4170"/>
    <w:rsid w:val="00B0003B"/>
    <w:rsid w:val="00B01E3D"/>
    <w:rsid w:val="00B021E4"/>
    <w:rsid w:val="00B06D4D"/>
    <w:rsid w:val="00B13A41"/>
    <w:rsid w:val="00B24FD1"/>
    <w:rsid w:val="00B35AF3"/>
    <w:rsid w:val="00B36030"/>
    <w:rsid w:val="00B37D49"/>
    <w:rsid w:val="00B41F44"/>
    <w:rsid w:val="00B4417B"/>
    <w:rsid w:val="00B51B21"/>
    <w:rsid w:val="00B57332"/>
    <w:rsid w:val="00B579BA"/>
    <w:rsid w:val="00B61FAE"/>
    <w:rsid w:val="00B71665"/>
    <w:rsid w:val="00B8160F"/>
    <w:rsid w:val="00B82E10"/>
    <w:rsid w:val="00B9734F"/>
    <w:rsid w:val="00BA07E4"/>
    <w:rsid w:val="00BC4CEE"/>
    <w:rsid w:val="00BD0F60"/>
    <w:rsid w:val="00BD6DCE"/>
    <w:rsid w:val="00BD7197"/>
    <w:rsid w:val="00BE120E"/>
    <w:rsid w:val="00BE41FF"/>
    <w:rsid w:val="00BE7A26"/>
    <w:rsid w:val="00BF3322"/>
    <w:rsid w:val="00C06844"/>
    <w:rsid w:val="00C07CA7"/>
    <w:rsid w:val="00C104F8"/>
    <w:rsid w:val="00C15DF3"/>
    <w:rsid w:val="00C23F1E"/>
    <w:rsid w:val="00C251AD"/>
    <w:rsid w:val="00C2566F"/>
    <w:rsid w:val="00C2644F"/>
    <w:rsid w:val="00C32385"/>
    <w:rsid w:val="00C3738F"/>
    <w:rsid w:val="00C41F8B"/>
    <w:rsid w:val="00C50C18"/>
    <w:rsid w:val="00C5480B"/>
    <w:rsid w:val="00C70EEE"/>
    <w:rsid w:val="00C807C4"/>
    <w:rsid w:val="00C832AB"/>
    <w:rsid w:val="00C93D6C"/>
    <w:rsid w:val="00CA2F31"/>
    <w:rsid w:val="00CB1ED8"/>
    <w:rsid w:val="00CD0D42"/>
    <w:rsid w:val="00CD73EC"/>
    <w:rsid w:val="00CE37B9"/>
    <w:rsid w:val="00CF69D2"/>
    <w:rsid w:val="00CF719A"/>
    <w:rsid w:val="00D10D34"/>
    <w:rsid w:val="00D12442"/>
    <w:rsid w:val="00D12595"/>
    <w:rsid w:val="00D22323"/>
    <w:rsid w:val="00D3692E"/>
    <w:rsid w:val="00D37285"/>
    <w:rsid w:val="00D512C2"/>
    <w:rsid w:val="00D52FEE"/>
    <w:rsid w:val="00D64CF3"/>
    <w:rsid w:val="00D67478"/>
    <w:rsid w:val="00D81FFE"/>
    <w:rsid w:val="00D8571D"/>
    <w:rsid w:val="00D9438D"/>
    <w:rsid w:val="00D94788"/>
    <w:rsid w:val="00D96C2C"/>
    <w:rsid w:val="00D97865"/>
    <w:rsid w:val="00DA67BF"/>
    <w:rsid w:val="00DB0338"/>
    <w:rsid w:val="00DB36B6"/>
    <w:rsid w:val="00DB5F9C"/>
    <w:rsid w:val="00DC2F60"/>
    <w:rsid w:val="00DD3909"/>
    <w:rsid w:val="00DD602A"/>
    <w:rsid w:val="00DE5E0A"/>
    <w:rsid w:val="00E02872"/>
    <w:rsid w:val="00E15B9D"/>
    <w:rsid w:val="00E161DD"/>
    <w:rsid w:val="00E169B1"/>
    <w:rsid w:val="00E36C76"/>
    <w:rsid w:val="00E64774"/>
    <w:rsid w:val="00E70238"/>
    <w:rsid w:val="00E74D4F"/>
    <w:rsid w:val="00E76C26"/>
    <w:rsid w:val="00E777E2"/>
    <w:rsid w:val="00E81BC4"/>
    <w:rsid w:val="00E8586E"/>
    <w:rsid w:val="00E87FB9"/>
    <w:rsid w:val="00E95283"/>
    <w:rsid w:val="00E97F28"/>
    <w:rsid w:val="00EA5B3B"/>
    <w:rsid w:val="00EA7F83"/>
    <w:rsid w:val="00EB1FAF"/>
    <w:rsid w:val="00EC34CF"/>
    <w:rsid w:val="00EE7E4C"/>
    <w:rsid w:val="00EF0E6D"/>
    <w:rsid w:val="00F053E9"/>
    <w:rsid w:val="00F078B2"/>
    <w:rsid w:val="00F16727"/>
    <w:rsid w:val="00F442F8"/>
    <w:rsid w:val="00F54B04"/>
    <w:rsid w:val="00F573E8"/>
    <w:rsid w:val="00F607C5"/>
    <w:rsid w:val="00F718D6"/>
    <w:rsid w:val="00F74418"/>
    <w:rsid w:val="00F75FE8"/>
    <w:rsid w:val="00F84694"/>
    <w:rsid w:val="00F85361"/>
    <w:rsid w:val="00F90063"/>
    <w:rsid w:val="00FA43DB"/>
    <w:rsid w:val="00FA4E53"/>
    <w:rsid w:val="00FA7DC0"/>
    <w:rsid w:val="00FB22F3"/>
    <w:rsid w:val="00FC0913"/>
    <w:rsid w:val="00FC2DBE"/>
    <w:rsid w:val="00FC6E67"/>
    <w:rsid w:val="00FC7EAE"/>
    <w:rsid w:val="00FD57C6"/>
    <w:rsid w:val="00FE79E2"/>
    <w:rsid w:val="05701987"/>
    <w:rsid w:val="080F4D04"/>
    <w:rsid w:val="0D5C73E2"/>
    <w:rsid w:val="10AE5B65"/>
    <w:rsid w:val="11CE0A4F"/>
    <w:rsid w:val="13C8589C"/>
    <w:rsid w:val="156A4D47"/>
    <w:rsid w:val="176A50E9"/>
    <w:rsid w:val="19CF5903"/>
    <w:rsid w:val="22B72F01"/>
    <w:rsid w:val="2A4922FE"/>
    <w:rsid w:val="2AAE2458"/>
    <w:rsid w:val="2CAF258B"/>
    <w:rsid w:val="31EF54A8"/>
    <w:rsid w:val="34713F99"/>
    <w:rsid w:val="3641501C"/>
    <w:rsid w:val="369467BA"/>
    <w:rsid w:val="36A86302"/>
    <w:rsid w:val="370530A9"/>
    <w:rsid w:val="380F6CF7"/>
    <w:rsid w:val="3A0F38FF"/>
    <w:rsid w:val="3B3339DA"/>
    <w:rsid w:val="3B5B07E7"/>
    <w:rsid w:val="3D7669DF"/>
    <w:rsid w:val="3EE039D8"/>
    <w:rsid w:val="402F147F"/>
    <w:rsid w:val="41364630"/>
    <w:rsid w:val="41552F8D"/>
    <w:rsid w:val="43093ACA"/>
    <w:rsid w:val="4CD77DED"/>
    <w:rsid w:val="4D4C5C8E"/>
    <w:rsid w:val="4E7F594D"/>
    <w:rsid w:val="4EE968BF"/>
    <w:rsid w:val="50AD64D9"/>
    <w:rsid w:val="50D04A3C"/>
    <w:rsid w:val="53402C15"/>
    <w:rsid w:val="54805129"/>
    <w:rsid w:val="56721CE2"/>
    <w:rsid w:val="5C5424EC"/>
    <w:rsid w:val="5D216FA2"/>
    <w:rsid w:val="6069703D"/>
    <w:rsid w:val="61456C8B"/>
    <w:rsid w:val="616B7DC3"/>
    <w:rsid w:val="61A00D20"/>
    <w:rsid w:val="67710B9A"/>
    <w:rsid w:val="6B6C1215"/>
    <w:rsid w:val="6CED15E0"/>
    <w:rsid w:val="6DA9256A"/>
    <w:rsid w:val="6F554398"/>
    <w:rsid w:val="6FC5436F"/>
    <w:rsid w:val="702D2212"/>
    <w:rsid w:val="777D55E2"/>
    <w:rsid w:val="7A9C4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1"/>
    <w:basedOn w:val="1"/>
    <w:next w:val="1"/>
    <w:link w:val="50"/>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1"/>
    <w:qFormat/>
    <w:uiPriority w:val="0"/>
    <w:pPr>
      <w:keepNext/>
      <w:keepLines/>
      <w:spacing w:before="260" w:after="260" w:line="416" w:lineRule="auto"/>
      <w:jc w:val="center"/>
      <w:outlineLvl w:val="1"/>
    </w:pPr>
    <w:rPr>
      <w:rFonts w:ascii="Arial" w:hAnsi="Arial"/>
      <w:b/>
      <w:bCs/>
      <w:sz w:val="32"/>
      <w:szCs w:val="32"/>
    </w:rPr>
  </w:style>
  <w:style w:type="paragraph" w:styleId="4">
    <w:name w:val="heading 3"/>
    <w:basedOn w:val="1"/>
    <w:next w:val="1"/>
    <w:link w:val="52"/>
    <w:qFormat/>
    <w:uiPriority w:val="0"/>
    <w:pPr>
      <w:keepNext/>
      <w:keepLines/>
      <w:spacing w:before="260" w:after="260" w:line="416" w:lineRule="auto"/>
      <w:jc w:val="center"/>
      <w:outlineLvl w:val="2"/>
    </w:pPr>
    <w:rPr>
      <w:b/>
      <w:bCs/>
      <w:szCs w:val="32"/>
    </w:rPr>
  </w:style>
  <w:style w:type="paragraph" w:styleId="5">
    <w:name w:val="heading 6"/>
    <w:basedOn w:val="1"/>
    <w:next w:val="1"/>
    <w:link w:val="53"/>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kern w:val="0"/>
      <w:sz w:val="24"/>
    </w:rPr>
  </w:style>
  <w:style w:type="paragraph" w:styleId="6">
    <w:name w:val="heading 7"/>
    <w:basedOn w:val="1"/>
    <w:next w:val="1"/>
    <w:link w:val="54"/>
    <w:qFormat/>
    <w:uiPriority w:val="0"/>
    <w:pPr>
      <w:keepNext/>
      <w:keepLines/>
      <w:tabs>
        <w:tab w:val="left" w:pos="1296"/>
      </w:tabs>
      <w:adjustRightInd w:val="0"/>
      <w:spacing w:before="240" w:after="64" w:line="320" w:lineRule="atLeast"/>
      <w:ind w:left="1296" w:hanging="1296"/>
      <w:textAlignment w:val="baseline"/>
      <w:outlineLvl w:val="6"/>
    </w:pPr>
    <w:rPr>
      <w:rFonts w:eastAsia="昆仑仿宋"/>
      <w:b/>
      <w:bCs/>
      <w:kern w:val="0"/>
      <w:sz w:val="24"/>
    </w:rPr>
  </w:style>
  <w:style w:type="paragraph" w:styleId="7">
    <w:name w:val="heading 8"/>
    <w:basedOn w:val="1"/>
    <w:next w:val="1"/>
    <w:link w:val="55"/>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 w:val="24"/>
    </w:rPr>
  </w:style>
  <w:style w:type="paragraph" w:styleId="8">
    <w:name w:val="heading 9"/>
    <w:basedOn w:val="1"/>
    <w:next w:val="1"/>
    <w:link w:val="56"/>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Cs w:val="21"/>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1260"/>
      <w:jc w:val="left"/>
    </w:pPr>
    <w:rPr>
      <w:rFonts w:asciiTheme="minorHAnsi" w:hAnsiTheme="minorHAnsi"/>
      <w:sz w:val="18"/>
      <w:szCs w:val="18"/>
    </w:rPr>
  </w:style>
  <w:style w:type="paragraph" w:styleId="10">
    <w:name w:val="Document Map"/>
    <w:basedOn w:val="1"/>
    <w:link w:val="65"/>
    <w:semiHidden/>
    <w:qFormat/>
    <w:uiPriority w:val="0"/>
    <w:pPr>
      <w:shd w:val="clear" w:color="auto" w:fill="000080"/>
    </w:pPr>
  </w:style>
  <w:style w:type="paragraph" w:styleId="11">
    <w:name w:val="annotation text"/>
    <w:basedOn w:val="1"/>
    <w:link w:val="66"/>
    <w:unhideWhenUsed/>
    <w:qFormat/>
    <w:uiPriority w:val="0"/>
    <w:pPr>
      <w:jc w:val="left"/>
    </w:pPr>
  </w:style>
  <w:style w:type="paragraph" w:styleId="12">
    <w:name w:val="Body Text"/>
    <w:basedOn w:val="1"/>
    <w:link w:val="64"/>
    <w:qFormat/>
    <w:uiPriority w:val="0"/>
  </w:style>
  <w:style w:type="paragraph" w:styleId="13">
    <w:name w:val="Body Text Indent"/>
    <w:basedOn w:val="1"/>
    <w:link w:val="70"/>
    <w:qFormat/>
    <w:uiPriority w:val="0"/>
    <w:pPr>
      <w:ind w:firstLine="358" w:firstLineChars="128"/>
    </w:pPr>
    <w:rPr>
      <w:rFonts w:asciiTheme="minorHAnsi" w:hAnsiTheme="minorHAnsi" w:eastAsiaTheme="minorEastAsia" w:cstheme="minorBidi"/>
    </w:rPr>
  </w:style>
  <w:style w:type="paragraph" w:styleId="14">
    <w:name w:val="toc 5"/>
    <w:basedOn w:val="1"/>
    <w:next w:val="1"/>
    <w:qFormat/>
    <w:uiPriority w:val="39"/>
    <w:pPr>
      <w:ind w:left="840"/>
      <w:jc w:val="left"/>
    </w:pPr>
    <w:rPr>
      <w:rFonts w:asciiTheme="minorHAnsi" w:hAnsiTheme="minorHAnsi"/>
      <w:sz w:val="18"/>
      <w:szCs w:val="18"/>
    </w:rPr>
  </w:style>
  <w:style w:type="paragraph" w:styleId="15">
    <w:name w:val="toc 3"/>
    <w:basedOn w:val="1"/>
    <w:next w:val="1"/>
    <w:qFormat/>
    <w:uiPriority w:val="39"/>
    <w:pPr>
      <w:ind w:left="420"/>
      <w:jc w:val="left"/>
    </w:pPr>
    <w:rPr>
      <w:rFonts w:asciiTheme="minorHAnsi" w:hAnsiTheme="minorHAnsi"/>
      <w:i/>
      <w:iCs/>
      <w:sz w:val="20"/>
      <w:szCs w:val="20"/>
    </w:rPr>
  </w:style>
  <w:style w:type="paragraph" w:styleId="16">
    <w:name w:val="Plain Text"/>
    <w:basedOn w:val="1"/>
    <w:link w:val="72"/>
    <w:qFormat/>
    <w:uiPriority w:val="0"/>
    <w:rPr>
      <w:rFonts w:ascii="宋体" w:hAnsi="Courier New" w:cs="Courier New" w:eastAsiaTheme="minorEastAsia"/>
      <w:szCs w:val="21"/>
    </w:rPr>
  </w:style>
  <w:style w:type="paragraph" w:styleId="17">
    <w:name w:val="toc 8"/>
    <w:basedOn w:val="1"/>
    <w:next w:val="1"/>
    <w:qFormat/>
    <w:uiPriority w:val="39"/>
    <w:pPr>
      <w:ind w:left="1470"/>
      <w:jc w:val="left"/>
    </w:pPr>
    <w:rPr>
      <w:rFonts w:asciiTheme="minorHAnsi" w:hAnsiTheme="minorHAnsi"/>
      <w:sz w:val="18"/>
      <w:szCs w:val="18"/>
    </w:rPr>
  </w:style>
  <w:style w:type="paragraph" w:styleId="18">
    <w:name w:val="Date"/>
    <w:basedOn w:val="1"/>
    <w:next w:val="1"/>
    <w:link w:val="63"/>
    <w:qFormat/>
    <w:uiPriority w:val="0"/>
    <w:rPr>
      <w:sz w:val="32"/>
      <w:szCs w:val="20"/>
    </w:rPr>
  </w:style>
  <w:style w:type="paragraph" w:styleId="19">
    <w:name w:val="Body Text Indent 2"/>
    <w:basedOn w:val="1"/>
    <w:link w:val="69"/>
    <w:qFormat/>
    <w:uiPriority w:val="0"/>
    <w:pPr>
      <w:ind w:firstLine="560" w:firstLineChars="200"/>
    </w:pPr>
  </w:style>
  <w:style w:type="paragraph" w:styleId="20">
    <w:name w:val="Balloon Text"/>
    <w:basedOn w:val="1"/>
    <w:link w:val="62"/>
    <w:semiHidden/>
    <w:qFormat/>
    <w:uiPriority w:val="0"/>
    <w:rPr>
      <w:sz w:val="18"/>
      <w:szCs w:val="18"/>
    </w:rPr>
  </w:style>
  <w:style w:type="paragraph" w:styleId="21">
    <w:name w:val="footer"/>
    <w:basedOn w:val="1"/>
    <w:link w:val="49"/>
    <w:unhideWhenUsed/>
    <w:qFormat/>
    <w:uiPriority w:val="99"/>
    <w:pPr>
      <w:tabs>
        <w:tab w:val="center" w:pos="4153"/>
        <w:tab w:val="right" w:pos="8306"/>
      </w:tabs>
      <w:snapToGrid w:val="0"/>
      <w:jc w:val="left"/>
    </w:pPr>
    <w:rPr>
      <w:sz w:val="18"/>
      <w:szCs w:val="18"/>
    </w:rPr>
  </w:style>
  <w:style w:type="paragraph" w:styleId="22">
    <w:name w:val="header"/>
    <w:basedOn w:val="1"/>
    <w:link w:val="48"/>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heme="minorHAnsi" w:hAnsiTheme="minorHAnsi"/>
      <w:b/>
      <w:bCs/>
      <w:caps/>
      <w:sz w:val="20"/>
      <w:szCs w:val="20"/>
    </w:rPr>
  </w:style>
  <w:style w:type="paragraph" w:styleId="24">
    <w:name w:val="toc 4"/>
    <w:basedOn w:val="1"/>
    <w:next w:val="1"/>
    <w:qFormat/>
    <w:uiPriority w:val="39"/>
    <w:pPr>
      <w:ind w:left="630"/>
      <w:jc w:val="left"/>
    </w:pPr>
    <w:rPr>
      <w:rFonts w:asciiTheme="minorHAnsi" w:hAnsiTheme="minorHAnsi"/>
      <w:sz w:val="18"/>
      <w:szCs w:val="18"/>
    </w:rPr>
  </w:style>
  <w:style w:type="paragraph" w:styleId="25">
    <w:name w:val="toc 6"/>
    <w:basedOn w:val="1"/>
    <w:next w:val="1"/>
    <w:qFormat/>
    <w:uiPriority w:val="39"/>
    <w:pPr>
      <w:ind w:left="1050"/>
      <w:jc w:val="left"/>
    </w:pPr>
    <w:rPr>
      <w:rFonts w:asciiTheme="minorHAnsi" w:hAnsiTheme="minorHAnsi"/>
      <w:sz w:val="18"/>
      <w:szCs w:val="18"/>
    </w:rPr>
  </w:style>
  <w:style w:type="paragraph" w:styleId="26">
    <w:name w:val="Body Text Indent 3"/>
    <w:basedOn w:val="1"/>
    <w:link w:val="61"/>
    <w:qFormat/>
    <w:uiPriority w:val="0"/>
    <w:pPr>
      <w:spacing w:line="360" w:lineRule="auto"/>
      <w:ind w:left="617"/>
    </w:pPr>
    <w:rPr>
      <w:rFonts w:ascii="仿宋_GB2312" w:eastAsia="仿宋_GB2312"/>
      <w:sz w:val="24"/>
    </w:rPr>
  </w:style>
  <w:style w:type="paragraph" w:styleId="27">
    <w:name w:val="toc 2"/>
    <w:basedOn w:val="1"/>
    <w:next w:val="1"/>
    <w:qFormat/>
    <w:uiPriority w:val="39"/>
    <w:pPr>
      <w:ind w:left="210"/>
      <w:jc w:val="left"/>
    </w:pPr>
    <w:rPr>
      <w:rFonts w:asciiTheme="minorHAnsi" w:hAnsiTheme="minorHAnsi"/>
      <w:smallCaps/>
      <w:sz w:val="20"/>
      <w:szCs w:val="20"/>
    </w:rPr>
  </w:style>
  <w:style w:type="paragraph" w:styleId="28">
    <w:name w:val="toc 9"/>
    <w:basedOn w:val="1"/>
    <w:next w:val="1"/>
    <w:qFormat/>
    <w:uiPriority w:val="39"/>
    <w:pPr>
      <w:ind w:left="1680"/>
      <w:jc w:val="left"/>
    </w:pPr>
    <w:rPr>
      <w:rFonts w:asciiTheme="minorHAnsi" w:hAnsiTheme="minorHAnsi"/>
      <w:sz w:val="18"/>
      <w:szCs w:val="18"/>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0">
    <w:name w:val="Title"/>
    <w:next w:val="1"/>
    <w:link w:val="74"/>
    <w:qFormat/>
    <w:uiPriority w:val="0"/>
    <w:pPr>
      <w:spacing w:beforeLines="50" w:afterLines="50" w:line="360" w:lineRule="auto"/>
      <w:ind w:firstLine="640" w:firstLineChars="200"/>
      <w:outlineLvl w:val="0"/>
    </w:pPr>
    <w:rPr>
      <w:rFonts w:asciiTheme="minorHAnsi" w:hAnsiTheme="minorHAnsi" w:eastAsiaTheme="minorEastAsia" w:cstheme="minorBidi"/>
      <w:b/>
      <w:bCs/>
      <w:sz w:val="28"/>
      <w:szCs w:val="32"/>
      <w:lang w:val="en-US" w:eastAsia="zh-CN" w:bidi="ar-SA"/>
    </w:rPr>
  </w:style>
  <w:style w:type="paragraph" w:styleId="31">
    <w:name w:val="annotation subject"/>
    <w:basedOn w:val="11"/>
    <w:next w:val="11"/>
    <w:link w:val="67"/>
    <w:semiHidden/>
    <w:qFormat/>
    <w:uiPriority w:val="0"/>
    <w:rPr>
      <w:b/>
      <w:bCs/>
    </w:rPr>
  </w:style>
  <w:style w:type="table" w:styleId="33">
    <w:name w:val="Table Grid"/>
    <w:basedOn w:val="3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22"/>
    <w:rPr>
      <w:b/>
      <w:bCs/>
    </w:rPr>
  </w:style>
  <w:style w:type="character" w:styleId="36">
    <w:name w:val="FollowedHyperlink"/>
    <w:basedOn w:val="34"/>
    <w:semiHidden/>
    <w:unhideWhenUsed/>
    <w:qFormat/>
    <w:uiPriority w:val="99"/>
    <w:rPr>
      <w:color w:val="800080"/>
      <w:u w:val="none"/>
    </w:rPr>
  </w:style>
  <w:style w:type="character" w:styleId="37">
    <w:name w:val="Emphasis"/>
    <w:basedOn w:val="34"/>
    <w:qFormat/>
    <w:uiPriority w:val="20"/>
  </w:style>
  <w:style w:type="character" w:styleId="38">
    <w:name w:val="HTML Definition"/>
    <w:basedOn w:val="34"/>
    <w:semiHidden/>
    <w:unhideWhenUsed/>
    <w:qFormat/>
    <w:uiPriority w:val="99"/>
  </w:style>
  <w:style w:type="character" w:styleId="39">
    <w:name w:val="HTML Typewriter"/>
    <w:basedOn w:val="34"/>
    <w:semiHidden/>
    <w:unhideWhenUsed/>
    <w:qFormat/>
    <w:uiPriority w:val="99"/>
    <w:rPr>
      <w:rFonts w:hint="default" w:ascii="monospace" w:hAnsi="monospace" w:eastAsia="monospace" w:cs="monospace"/>
      <w:sz w:val="20"/>
    </w:rPr>
  </w:style>
  <w:style w:type="character" w:styleId="40">
    <w:name w:val="HTML Acronym"/>
    <w:basedOn w:val="34"/>
    <w:semiHidden/>
    <w:unhideWhenUsed/>
    <w:qFormat/>
    <w:uiPriority w:val="99"/>
  </w:style>
  <w:style w:type="character" w:styleId="41">
    <w:name w:val="HTML Variable"/>
    <w:basedOn w:val="34"/>
    <w:semiHidden/>
    <w:unhideWhenUsed/>
    <w:qFormat/>
    <w:uiPriority w:val="99"/>
  </w:style>
  <w:style w:type="character" w:styleId="42">
    <w:name w:val="Hyperlink"/>
    <w:basedOn w:val="34"/>
    <w:qFormat/>
    <w:uiPriority w:val="99"/>
    <w:rPr>
      <w:color w:val="0000FF"/>
      <w:u w:val="none"/>
    </w:rPr>
  </w:style>
  <w:style w:type="character" w:styleId="43">
    <w:name w:val="HTML Code"/>
    <w:basedOn w:val="34"/>
    <w:semiHidden/>
    <w:unhideWhenUsed/>
    <w:qFormat/>
    <w:uiPriority w:val="99"/>
    <w:rPr>
      <w:rFonts w:ascii="monospace" w:hAnsi="monospace" w:eastAsia="monospace" w:cs="monospace"/>
      <w:sz w:val="20"/>
    </w:rPr>
  </w:style>
  <w:style w:type="character" w:styleId="44">
    <w:name w:val="annotation reference"/>
    <w:basedOn w:val="34"/>
    <w:semiHidden/>
    <w:qFormat/>
    <w:uiPriority w:val="0"/>
    <w:rPr>
      <w:sz w:val="21"/>
      <w:szCs w:val="21"/>
    </w:rPr>
  </w:style>
  <w:style w:type="character" w:styleId="45">
    <w:name w:val="HTML Cite"/>
    <w:basedOn w:val="34"/>
    <w:semiHidden/>
    <w:unhideWhenUsed/>
    <w:qFormat/>
    <w:uiPriority w:val="99"/>
  </w:style>
  <w:style w:type="character" w:styleId="46">
    <w:name w:val="HTML Keyboard"/>
    <w:basedOn w:val="34"/>
    <w:semiHidden/>
    <w:unhideWhenUsed/>
    <w:qFormat/>
    <w:uiPriority w:val="99"/>
    <w:rPr>
      <w:rFonts w:hint="default" w:ascii="monospace" w:hAnsi="monospace" w:eastAsia="monospace" w:cs="monospace"/>
      <w:sz w:val="20"/>
    </w:rPr>
  </w:style>
  <w:style w:type="character" w:styleId="47">
    <w:name w:val="HTML Sample"/>
    <w:basedOn w:val="34"/>
    <w:semiHidden/>
    <w:unhideWhenUsed/>
    <w:qFormat/>
    <w:uiPriority w:val="99"/>
    <w:rPr>
      <w:rFonts w:hint="default" w:ascii="monospace" w:hAnsi="monospace" w:eastAsia="monospace" w:cs="monospace"/>
    </w:rPr>
  </w:style>
  <w:style w:type="character" w:customStyle="1" w:styleId="48">
    <w:name w:val="页眉 Char"/>
    <w:basedOn w:val="34"/>
    <w:link w:val="22"/>
    <w:qFormat/>
    <w:uiPriority w:val="0"/>
    <w:rPr>
      <w:sz w:val="18"/>
      <w:szCs w:val="18"/>
    </w:rPr>
  </w:style>
  <w:style w:type="character" w:customStyle="1" w:styleId="49">
    <w:name w:val="页脚 Char"/>
    <w:basedOn w:val="34"/>
    <w:link w:val="21"/>
    <w:qFormat/>
    <w:uiPriority w:val="99"/>
    <w:rPr>
      <w:sz w:val="18"/>
      <w:szCs w:val="18"/>
    </w:rPr>
  </w:style>
  <w:style w:type="character" w:customStyle="1" w:styleId="50">
    <w:name w:val="标题 1 Char"/>
    <w:basedOn w:val="34"/>
    <w:link w:val="2"/>
    <w:qFormat/>
    <w:uiPriority w:val="0"/>
    <w:rPr>
      <w:rFonts w:ascii="Times New Roman" w:hAnsi="Times New Roman" w:eastAsia="仿宋" w:cs="Times New Roman"/>
      <w:b/>
      <w:bCs/>
      <w:kern w:val="44"/>
      <w:sz w:val="44"/>
      <w:szCs w:val="44"/>
    </w:rPr>
  </w:style>
  <w:style w:type="character" w:customStyle="1" w:styleId="51">
    <w:name w:val="标题 2 Char"/>
    <w:basedOn w:val="34"/>
    <w:link w:val="3"/>
    <w:qFormat/>
    <w:uiPriority w:val="0"/>
    <w:rPr>
      <w:rFonts w:ascii="Arial" w:hAnsi="Arial" w:eastAsia="仿宋" w:cs="Times New Roman"/>
      <w:b/>
      <w:bCs/>
      <w:kern w:val="2"/>
      <w:sz w:val="32"/>
      <w:szCs w:val="32"/>
    </w:rPr>
  </w:style>
  <w:style w:type="character" w:customStyle="1" w:styleId="52">
    <w:name w:val="标题 3 Char"/>
    <w:basedOn w:val="34"/>
    <w:link w:val="4"/>
    <w:qFormat/>
    <w:uiPriority w:val="0"/>
    <w:rPr>
      <w:rFonts w:ascii="Times New Roman" w:hAnsi="Times New Roman" w:eastAsia="仿宋" w:cs="Times New Roman"/>
      <w:b/>
      <w:bCs/>
      <w:kern w:val="2"/>
      <w:sz w:val="28"/>
      <w:szCs w:val="32"/>
    </w:rPr>
  </w:style>
  <w:style w:type="character" w:customStyle="1" w:styleId="53">
    <w:name w:val="标题 6 Char"/>
    <w:basedOn w:val="34"/>
    <w:link w:val="5"/>
    <w:qFormat/>
    <w:uiPriority w:val="0"/>
    <w:rPr>
      <w:rFonts w:ascii="Arial" w:hAnsi="Arial" w:eastAsia="黑体" w:cs="Times New Roman"/>
      <w:b/>
      <w:bCs/>
      <w:kern w:val="0"/>
      <w:sz w:val="24"/>
      <w:szCs w:val="24"/>
    </w:rPr>
  </w:style>
  <w:style w:type="character" w:customStyle="1" w:styleId="54">
    <w:name w:val="标题 7 Char"/>
    <w:basedOn w:val="34"/>
    <w:link w:val="6"/>
    <w:qFormat/>
    <w:uiPriority w:val="0"/>
    <w:rPr>
      <w:rFonts w:ascii="Times New Roman" w:hAnsi="Times New Roman" w:eastAsia="昆仑仿宋" w:cs="Times New Roman"/>
      <w:b/>
      <w:bCs/>
      <w:kern w:val="0"/>
      <w:sz w:val="24"/>
      <w:szCs w:val="24"/>
    </w:rPr>
  </w:style>
  <w:style w:type="character" w:customStyle="1" w:styleId="55">
    <w:name w:val="标题 8 Char"/>
    <w:basedOn w:val="34"/>
    <w:link w:val="7"/>
    <w:qFormat/>
    <w:uiPriority w:val="0"/>
    <w:rPr>
      <w:rFonts w:ascii="Arial" w:hAnsi="Arial" w:eastAsia="黑体" w:cs="Times New Roman"/>
      <w:kern w:val="0"/>
      <w:sz w:val="24"/>
      <w:szCs w:val="24"/>
    </w:rPr>
  </w:style>
  <w:style w:type="character" w:customStyle="1" w:styleId="56">
    <w:name w:val="标题 9 Char"/>
    <w:basedOn w:val="34"/>
    <w:link w:val="8"/>
    <w:qFormat/>
    <w:uiPriority w:val="0"/>
    <w:rPr>
      <w:rFonts w:ascii="Arial" w:hAnsi="Arial" w:eastAsia="黑体" w:cs="Times New Roman"/>
      <w:kern w:val="0"/>
      <w:szCs w:val="21"/>
    </w:rPr>
  </w:style>
  <w:style w:type="character" w:customStyle="1" w:styleId="57">
    <w:name w:val="纯文本 Char"/>
    <w:basedOn w:val="34"/>
    <w:link w:val="16"/>
    <w:qFormat/>
    <w:uiPriority w:val="0"/>
    <w:rPr>
      <w:rFonts w:ascii="宋体" w:hAnsi="Courier New" w:cs="Courier New"/>
      <w:szCs w:val="21"/>
    </w:rPr>
  </w:style>
  <w:style w:type="character" w:customStyle="1" w:styleId="58">
    <w:name w:val="正文文本缩进 Char"/>
    <w:basedOn w:val="34"/>
    <w:link w:val="13"/>
    <w:qFormat/>
    <w:uiPriority w:val="0"/>
    <w:rPr>
      <w:sz w:val="28"/>
      <w:szCs w:val="24"/>
    </w:rPr>
  </w:style>
  <w:style w:type="paragraph" w:customStyle="1" w:styleId="59">
    <w:name w:val="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0">
    <w:name w:val="样式1"/>
    <w:basedOn w:val="1"/>
    <w:qFormat/>
    <w:uiPriority w:val="0"/>
    <w:pPr>
      <w:snapToGrid w:val="0"/>
      <w:spacing w:line="480" w:lineRule="exact"/>
    </w:pPr>
    <w:rPr>
      <w:rFonts w:ascii="仿宋_GB2312" w:eastAsia="仿宋_GB2312"/>
      <w:szCs w:val="20"/>
    </w:rPr>
  </w:style>
  <w:style w:type="character" w:customStyle="1" w:styleId="61">
    <w:name w:val="正文文本缩进 3 Char"/>
    <w:basedOn w:val="34"/>
    <w:link w:val="26"/>
    <w:qFormat/>
    <w:uiPriority w:val="0"/>
    <w:rPr>
      <w:rFonts w:ascii="仿宋_GB2312" w:hAnsi="Times New Roman" w:eastAsia="仿宋_GB2312" w:cs="Times New Roman"/>
      <w:sz w:val="24"/>
      <w:szCs w:val="24"/>
    </w:rPr>
  </w:style>
  <w:style w:type="character" w:customStyle="1" w:styleId="62">
    <w:name w:val="批注框文本 Char"/>
    <w:basedOn w:val="34"/>
    <w:link w:val="20"/>
    <w:semiHidden/>
    <w:qFormat/>
    <w:uiPriority w:val="0"/>
    <w:rPr>
      <w:rFonts w:ascii="Times New Roman" w:hAnsi="Times New Roman" w:eastAsia="宋体" w:cs="Times New Roman"/>
      <w:sz w:val="18"/>
      <w:szCs w:val="18"/>
    </w:rPr>
  </w:style>
  <w:style w:type="character" w:customStyle="1" w:styleId="63">
    <w:name w:val="日期 Char"/>
    <w:basedOn w:val="34"/>
    <w:link w:val="18"/>
    <w:qFormat/>
    <w:uiPriority w:val="0"/>
    <w:rPr>
      <w:rFonts w:ascii="Times New Roman" w:hAnsi="Times New Roman" w:eastAsia="宋体" w:cs="Times New Roman"/>
      <w:sz w:val="32"/>
      <w:szCs w:val="20"/>
    </w:rPr>
  </w:style>
  <w:style w:type="character" w:customStyle="1" w:styleId="64">
    <w:name w:val="正文文本 Char"/>
    <w:basedOn w:val="34"/>
    <w:link w:val="12"/>
    <w:qFormat/>
    <w:uiPriority w:val="0"/>
    <w:rPr>
      <w:rFonts w:ascii="Times New Roman" w:hAnsi="Times New Roman" w:eastAsia="宋体" w:cs="Times New Roman"/>
      <w:sz w:val="28"/>
      <w:szCs w:val="24"/>
    </w:rPr>
  </w:style>
  <w:style w:type="character" w:customStyle="1" w:styleId="65">
    <w:name w:val="文档结构图 Char"/>
    <w:basedOn w:val="34"/>
    <w:link w:val="10"/>
    <w:semiHidden/>
    <w:qFormat/>
    <w:uiPriority w:val="0"/>
    <w:rPr>
      <w:rFonts w:ascii="Times New Roman" w:hAnsi="Times New Roman" w:eastAsia="宋体" w:cs="Times New Roman"/>
      <w:szCs w:val="24"/>
      <w:shd w:val="clear" w:color="auto" w:fill="000080"/>
    </w:rPr>
  </w:style>
  <w:style w:type="character" w:customStyle="1" w:styleId="66">
    <w:name w:val="批注文字 Char"/>
    <w:basedOn w:val="34"/>
    <w:link w:val="11"/>
    <w:semiHidden/>
    <w:qFormat/>
    <w:uiPriority w:val="99"/>
    <w:rPr>
      <w:rFonts w:ascii="Times New Roman" w:hAnsi="Times New Roman" w:eastAsia="宋体" w:cs="Times New Roman"/>
      <w:szCs w:val="24"/>
    </w:rPr>
  </w:style>
  <w:style w:type="character" w:customStyle="1" w:styleId="67">
    <w:name w:val="批注主题 Char"/>
    <w:basedOn w:val="66"/>
    <w:link w:val="31"/>
    <w:semiHidden/>
    <w:qFormat/>
    <w:uiPriority w:val="0"/>
    <w:rPr>
      <w:b/>
      <w:bCs/>
    </w:rPr>
  </w:style>
  <w:style w:type="paragraph" w:customStyle="1" w:styleId="68">
    <w:name w:val="Char Char Char Char"/>
    <w:basedOn w:val="10"/>
    <w:qFormat/>
    <w:uiPriority w:val="0"/>
    <w:pPr>
      <w:adjustRightInd w:val="0"/>
      <w:snapToGrid w:val="0"/>
      <w:spacing w:line="360" w:lineRule="auto"/>
    </w:pPr>
    <w:rPr>
      <w:rFonts w:ascii="Tahoma" w:hAnsi="Tahoma"/>
      <w:sz w:val="24"/>
    </w:rPr>
  </w:style>
  <w:style w:type="character" w:customStyle="1" w:styleId="69">
    <w:name w:val="正文文本缩进 2 Char"/>
    <w:basedOn w:val="34"/>
    <w:link w:val="19"/>
    <w:qFormat/>
    <w:uiPriority w:val="0"/>
    <w:rPr>
      <w:rFonts w:ascii="Times New Roman" w:hAnsi="Times New Roman" w:eastAsia="宋体" w:cs="Times New Roman"/>
      <w:sz w:val="28"/>
      <w:szCs w:val="24"/>
    </w:rPr>
  </w:style>
  <w:style w:type="character" w:customStyle="1" w:styleId="70">
    <w:name w:val="正文文本缩进 Char1"/>
    <w:basedOn w:val="34"/>
    <w:link w:val="13"/>
    <w:semiHidden/>
    <w:qFormat/>
    <w:uiPriority w:val="99"/>
    <w:rPr>
      <w:rFonts w:ascii="Times New Roman" w:hAnsi="Times New Roman" w:eastAsia="宋体" w:cs="Times New Roman"/>
      <w:szCs w:val="24"/>
    </w:rPr>
  </w:style>
  <w:style w:type="paragraph" w:customStyle="1" w:styleId="71">
    <w:name w:val="Char"/>
    <w:basedOn w:val="1"/>
    <w:qFormat/>
    <w:uiPriority w:val="0"/>
  </w:style>
  <w:style w:type="character" w:customStyle="1" w:styleId="72">
    <w:name w:val="纯文本 Char1"/>
    <w:basedOn w:val="34"/>
    <w:link w:val="16"/>
    <w:semiHidden/>
    <w:qFormat/>
    <w:uiPriority w:val="99"/>
    <w:rPr>
      <w:rFonts w:ascii="宋体" w:hAnsi="Courier New" w:eastAsia="宋体" w:cs="Courier New"/>
      <w:szCs w:val="21"/>
    </w:rPr>
  </w:style>
  <w:style w:type="paragraph" w:customStyle="1" w:styleId="7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4">
    <w:name w:val="标题 Char"/>
    <w:basedOn w:val="34"/>
    <w:link w:val="30"/>
    <w:qFormat/>
    <w:uiPriority w:val="0"/>
    <w:rPr>
      <w:b/>
      <w:bCs/>
      <w:kern w:val="0"/>
      <w:sz w:val="28"/>
      <w:szCs w:val="32"/>
    </w:rPr>
  </w:style>
  <w:style w:type="paragraph" w:customStyle="1" w:styleId="75">
    <w:name w:val="节次标题"/>
    <w:next w:val="4"/>
    <w:qFormat/>
    <w:uiPriority w:val="0"/>
    <w:pPr>
      <w:spacing w:beforeLines="50" w:afterLines="50" w:line="360" w:lineRule="auto"/>
      <w:jc w:val="center"/>
      <w:outlineLvl w:val="1"/>
    </w:pPr>
    <w:rPr>
      <w:rFonts w:asciiTheme="minorHAnsi" w:hAnsiTheme="minorHAnsi" w:eastAsiaTheme="minorEastAsia" w:cstheme="minorBidi"/>
      <w:b/>
      <w:sz w:val="32"/>
      <w:szCs w:val="22"/>
      <w:lang w:val="en-US" w:eastAsia="zh-CN" w:bidi="ar-SA"/>
    </w:rPr>
  </w:style>
  <w:style w:type="paragraph" w:customStyle="1" w:styleId="76">
    <w:name w:val="表格样式"/>
    <w:next w:val="1"/>
    <w:qFormat/>
    <w:uiPriority w:val="0"/>
    <w:rPr>
      <w:rFonts w:eastAsia="仿宋_GB2312" w:asciiTheme="minorHAnsi" w:hAnsiTheme="minorHAnsi" w:cstheme="minorBidi"/>
      <w:sz w:val="24"/>
      <w:szCs w:val="22"/>
      <w:lang w:val="en-US" w:eastAsia="zh-CN" w:bidi="ar-SA"/>
    </w:rPr>
  </w:style>
  <w:style w:type="paragraph" w:customStyle="1" w:styleId="77">
    <w:name w:val="注释"/>
    <w:next w:val="1"/>
    <w:link w:val="78"/>
    <w:qFormat/>
    <w:uiPriority w:val="0"/>
    <w:pPr>
      <w:spacing w:line="360" w:lineRule="auto"/>
      <w:ind w:firstLine="480" w:firstLineChars="200"/>
    </w:pPr>
    <w:rPr>
      <w:rFonts w:asciiTheme="minorHAnsi" w:hAnsiTheme="minorHAnsi" w:eastAsiaTheme="minorEastAsia" w:cstheme="minorBidi"/>
      <w:sz w:val="21"/>
      <w:szCs w:val="22"/>
      <w:lang w:val="en-US" w:eastAsia="zh-CN" w:bidi="ar-SA"/>
    </w:rPr>
  </w:style>
  <w:style w:type="character" w:customStyle="1" w:styleId="78">
    <w:name w:val="注释 Char"/>
    <w:link w:val="77"/>
    <w:qFormat/>
    <w:uiPriority w:val="0"/>
    <w:rPr>
      <w:kern w:val="0"/>
    </w:rPr>
  </w:style>
  <w:style w:type="paragraph" w:customStyle="1" w:styleId="79">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1">
    <w:name w:val="Heading2"/>
    <w:basedOn w:val="1"/>
    <w:next w:val="1"/>
    <w:qFormat/>
    <w:uiPriority w:val="0"/>
    <w:pPr>
      <w:ind w:firstLine="64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E628-B84A-4940-B68D-DF3B98A34F4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1520</Words>
  <Characters>8666</Characters>
  <Lines>72</Lines>
  <Paragraphs>20</Paragraphs>
  <TotalTime>0</TotalTime>
  <ScaleCrop>false</ScaleCrop>
  <LinksUpToDate>false</LinksUpToDate>
  <CharactersWithSpaces>10166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2020-07-07T06:55:00Z</dcterms:created>
  <dc:creator>PC</dc:creator>
  <cp:lastModifiedBy>Administrator</cp:lastModifiedBy>
  <cp:lastPrinted>2020-07-08T07:55:00Z</cp:lastPrinted>
  <dcterms:modified xsi:type="dcterms:W3CDTF">2020-07-08T08:38:03Z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