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349" w:rsidRPr="0037164A" w:rsidRDefault="00FB7349" w:rsidP="00FB7349">
      <w:pPr>
        <w:jc w:val="center"/>
        <w:rPr>
          <w:rFonts w:ascii="楷体_GB2312" w:eastAsia="楷体_GB2312" w:hAnsi="楷体" w:hint="eastAsia"/>
          <w:szCs w:val="21"/>
        </w:rPr>
      </w:pPr>
      <w:r w:rsidRPr="0037164A">
        <w:rPr>
          <w:rFonts w:ascii="楷体_GB2312" w:eastAsia="楷体_GB2312" w:hAnsi="楷体" w:hint="eastAsia"/>
          <w:b/>
          <w:sz w:val="28"/>
          <w:szCs w:val="28"/>
        </w:rPr>
        <w:t>评分标准</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118"/>
        <w:gridCol w:w="709"/>
        <w:gridCol w:w="4394"/>
      </w:tblGrid>
      <w:tr w:rsidR="00FB7349" w:rsidRPr="0037164A" w:rsidTr="0009412C">
        <w:trPr>
          <w:cantSplit/>
          <w:trHeight w:val="680"/>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hint="eastAsia"/>
                <w:b/>
                <w:szCs w:val="21"/>
              </w:rPr>
              <w:t>序号</w:t>
            </w:r>
          </w:p>
        </w:tc>
        <w:tc>
          <w:tcPr>
            <w:tcW w:w="3118" w:type="dxa"/>
            <w:vAlign w:val="center"/>
          </w:tcPr>
          <w:p w:rsidR="00FB7349" w:rsidRPr="0037164A" w:rsidRDefault="00FB7349" w:rsidP="0009412C">
            <w:pPr>
              <w:jc w:val="center"/>
              <w:rPr>
                <w:rFonts w:ascii="楷体_GB2312" w:eastAsia="楷体_GB2312" w:hAnsi="楷体"/>
                <w:b/>
                <w:szCs w:val="21"/>
              </w:rPr>
            </w:pPr>
            <w:r w:rsidRPr="0037164A">
              <w:rPr>
                <w:rFonts w:ascii="楷体_GB2312" w:eastAsia="楷体_GB2312" w:hAnsi="楷体" w:hint="eastAsia"/>
                <w:b/>
                <w:szCs w:val="21"/>
              </w:rPr>
              <w:t>评分因素</w:t>
            </w:r>
          </w:p>
        </w:tc>
        <w:tc>
          <w:tcPr>
            <w:tcW w:w="709" w:type="dxa"/>
            <w:vAlign w:val="center"/>
          </w:tcPr>
          <w:p w:rsidR="00FB7349" w:rsidRPr="0037164A" w:rsidRDefault="00FB7349" w:rsidP="0009412C">
            <w:pPr>
              <w:spacing w:line="260" w:lineRule="exact"/>
              <w:jc w:val="center"/>
              <w:rPr>
                <w:rFonts w:ascii="楷体_GB2312" w:eastAsia="楷体_GB2312" w:hAnsi="楷体"/>
                <w:b/>
                <w:szCs w:val="21"/>
              </w:rPr>
            </w:pPr>
            <w:r w:rsidRPr="0037164A">
              <w:rPr>
                <w:rFonts w:ascii="楷体_GB2312" w:eastAsia="楷体_GB2312" w:hAnsi="楷体" w:hint="eastAsia"/>
                <w:b/>
                <w:szCs w:val="21"/>
              </w:rPr>
              <w:t>分值</w:t>
            </w:r>
          </w:p>
        </w:tc>
        <w:tc>
          <w:tcPr>
            <w:tcW w:w="4394"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评分标准</w:t>
            </w:r>
          </w:p>
        </w:tc>
      </w:tr>
      <w:tr w:rsidR="00FB7349" w:rsidRPr="0037164A" w:rsidTr="0009412C">
        <w:trPr>
          <w:cantSplit/>
          <w:trHeight w:val="567"/>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hint="eastAsia"/>
                <w:b/>
                <w:szCs w:val="21"/>
              </w:rPr>
              <w:t>一</w:t>
            </w:r>
          </w:p>
        </w:tc>
        <w:tc>
          <w:tcPr>
            <w:tcW w:w="8221" w:type="dxa"/>
            <w:gridSpan w:val="3"/>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施工组织设计（4</w:t>
            </w:r>
            <w:r w:rsidRPr="0037164A">
              <w:rPr>
                <w:rFonts w:ascii="楷体_GB2312" w:eastAsia="楷体_GB2312" w:hAnsi="楷体"/>
                <w:b/>
                <w:szCs w:val="21"/>
              </w:rPr>
              <w:t>0</w:t>
            </w:r>
            <w:r w:rsidRPr="0037164A">
              <w:rPr>
                <w:rFonts w:ascii="楷体_GB2312" w:eastAsia="楷体_GB2312" w:hAnsi="楷体" w:hint="eastAsia"/>
                <w:b/>
                <w:szCs w:val="21"/>
              </w:rPr>
              <w:t>分）</w:t>
            </w:r>
          </w:p>
        </w:tc>
      </w:tr>
      <w:tr w:rsidR="00FB7349" w:rsidRPr="0037164A" w:rsidTr="0009412C">
        <w:trPr>
          <w:cantSplit/>
          <w:trHeight w:val="1134"/>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hint="eastAsia"/>
                <w:b/>
                <w:szCs w:val="21"/>
              </w:rPr>
              <w:t>1</w:t>
            </w:r>
          </w:p>
        </w:tc>
        <w:tc>
          <w:tcPr>
            <w:tcW w:w="3118" w:type="dxa"/>
            <w:vAlign w:val="center"/>
          </w:tcPr>
          <w:p w:rsidR="00FB7349" w:rsidRPr="0037164A" w:rsidRDefault="00FB7349" w:rsidP="0009412C">
            <w:pPr>
              <w:jc w:val="center"/>
              <w:rPr>
                <w:rFonts w:hint="eastAsia"/>
              </w:rPr>
            </w:pPr>
            <w:r w:rsidRPr="0037164A">
              <w:rPr>
                <w:rFonts w:ascii="楷体_GB2312" w:eastAsia="楷体_GB2312" w:hAnsi="楷体" w:hint="eastAsia"/>
                <w:szCs w:val="21"/>
              </w:rPr>
              <w:t>内容完整性和编制水平</w:t>
            </w:r>
          </w:p>
        </w:tc>
        <w:tc>
          <w:tcPr>
            <w:tcW w:w="709"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b/>
                <w:szCs w:val="21"/>
              </w:rPr>
              <w:t>5</w:t>
            </w:r>
          </w:p>
        </w:tc>
        <w:tc>
          <w:tcPr>
            <w:tcW w:w="4394" w:type="dxa"/>
            <w:vAlign w:val="center"/>
          </w:tcPr>
          <w:p w:rsidR="00FB7349" w:rsidRPr="0037164A" w:rsidRDefault="00FB7349" w:rsidP="0009412C">
            <w:pPr>
              <w:spacing w:line="300" w:lineRule="exact"/>
              <w:jc w:val="left"/>
              <w:rPr>
                <w:rFonts w:ascii="楷体_GB2312" w:eastAsia="楷体_GB2312" w:hAnsi="楷体"/>
                <w:szCs w:val="21"/>
              </w:rPr>
            </w:pPr>
            <w:r w:rsidRPr="0037164A">
              <w:rPr>
                <w:rFonts w:ascii="楷体_GB2312" w:eastAsia="楷体_GB2312" w:hAnsi="楷体" w:hint="eastAsia"/>
                <w:szCs w:val="21"/>
              </w:rPr>
              <w:t>施工组织设计内容完整，体系健全，管理目标明确，措施齐全。</w:t>
            </w:r>
          </w:p>
          <w:p w:rsidR="00FB7349" w:rsidRPr="0037164A" w:rsidRDefault="00FB7349" w:rsidP="0009412C">
            <w:pPr>
              <w:spacing w:line="300" w:lineRule="exact"/>
              <w:jc w:val="left"/>
              <w:rPr>
                <w:rFonts w:ascii="楷体_GB2312" w:eastAsia="楷体_GB2312" w:hAnsi="楷体" w:hint="eastAsia"/>
                <w:b/>
                <w:szCs w:val="21"/>
              </w:rPr>
            </w:pPr>
            <w:r w:rsidRPr="0037164A">
              <w:rPr>
                <w:rFonts w:ascii="楷体_GB2312" w:eastAsia="楷体_GB2312" w:hAnsi="楷体" w:hint="eastAsia"/>
                <w:szCs w:val="21"/>
              </w:rPr>
              <w:t>优得5-</w:t>
            </w:r>
            <w:r w:rsidRPr="0037164A">
              <w:rPr>
                <w:rFonts w:ascii="楷体_GB2312" w:eastAsia="楷体_GB2312" w:hAnsi="楷体"/>
                <w:szCs w:val="21"/>
              </w:rPr>
              <w:t>4</w:t>
            </w:r>
            <w:r w:rsidRPr="0037164A">
              <w:rPr>
                <w:rFonts w:ascii="楷体_GB2312" w:eastAsia="楷体_GB2312" w:hAnsi="楷体" w:hint="eastAsia"/>
                <w:szCs w:val="21"/>
              </w:rPr>
              <w:t>分、良得3</w:t>
            </w:r>
            <w:r w:rsidRPr="0037164A">
              <w:rPr>
                <w:rFonts w:ascii="楷体_GB2312" w:eastAsia="楷体_GB2312" w:hAnsi="楷体"/>
                <w:szCs w:val="21"/>
              </w:rPr>
              <w:t>.9</w:t>
            </w:r>
            <w:r w:rsidRPr="0037164A">
              <w:rPr>
                <w:rFonts w:ascii="楷体_GB2312" w:eastAsia="楷体_GB2312" w:hAnsi="楷体" w:hint="eastAsia"/>
                <w:szCs w:val="21"/>
              </w:rPr>
              <w:t>-</w:t>
            </w:r>
            <w:r w:rsidRPr="0037164A">
              <w:rPr>
                <w:rFonts w:ascii="楷体_GB2312" w:eastAsia="楷体_GB2312" w:hAnsi="楷体"/>
                <w:szCs w:val="21"/>
              </w:rPr>
              <w:t>2</w:t>
            </w:r>
            <w:r w:rsidRPr="0037164A">
              <w:rPr>
                <w:rFonts w:ascii="楷体_GB2312" w:eastAsia="楷体_GB2312" w:hAnsi="楷体" w:hint="eastAsia"/>
                <w:szCs w:val="21"/>
              </w:rPr>
              <w:t>分、一般得1</w:t>
            </w:r>
            <w:r w:rsidRPr="0037164A">
              <w:rPr>
                <w:rFonts w:ascii="楷体_GB2312" w:eastAsia="楷体_GB2312" w:hAnsi="楷体"/>
                <w:szCs w:val="21"/>
              </w:rPr>
              <w:t>.9</w:t>
            </w:r>
            <w:r w:rsidRPr="0037164A">
              <w:rPr>
                <w:rFonts w:ascii="楷体_GB2312" w:eastAsia="楷体_GB2312" w:hAnsi="楷体" w:hint="eastAsia"/>
                <w:szCs w:val="21"/>
              </w:rPr>
              <w:t>-</w:t>
            </w:r>
            <w:r w:rsidRPr="0037164A">
              <w:rPr>
                <w:rFonts w:ascii="楷体_GB2312" w:eastAsia="楷体_GB2312" w:hAnsi="楷体"/>
                <w:szCs w:val="21"/>
              </w:rPr>
              <w:t>1</w:t>
            </w:r>
            <w:r w:rsidRPr="0037164A">
              <w:rPr>
                <w:rFonts w:ascii="楷体_GB2312" w:eastAsia="楷体_GB2312" w:hAnsi="楷体" w:hint="eastAsia"/>
                <w:szCs w:val="21"/>
              </w:rPr>
              <w:t>分。</w:t>
            </w:r>
          </w:p>
        </w:tc>
      </w:tr>
      <w:tr w:rsidR="00FB7349" w:rsidRPr="0037164A" w:rsidTr="0009412C">
        <w:trPr>
          <w:cantSplit/>
          <w:trHeight w:val="2948"/>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hint="eastAsia"/>
                <w:b/>
                <w:szCs w:val="21"/>
              </w:rPr>
              <w:t>2</w:t>
            </w:r>
          </w:p>
        </w:tc>
        <w:tc>
          <w:tcPr>
            <w:tcW w:w="3118" w:type="dxa"/>
            <w:vAlign w:val="center"/>
          </w:tcPr>
          <w:p w:rsidR="00FB7349" w:rsidRPr="0037164A" w:rsidRDefault="00FB7349" w:rsidP="0009412C">
            <w:pPr>
              <w:jc w:val="center"/>
              <w:rPr>
                <w:rFonts w:ascii="楷体_GB2312" w:eastAsia="楷体_GB2312" w:hAnsi="楷体" w:hint="eastAsia"/>
                <w:szCs w:val="21"/>
              </w:rPr>
            </w:pPr>
            <w:r w:rsidRPr="0037164A">
              <w:rPr>
                <w:rFonts w:ascii="楷体_GB2312" w:eastAsia="楷体_GB2312" w:hAnsi="楷体" w:hint="eastAsia"/>
                <w:szCs w:val="21"/>
              </w:rPr>
              <w:t>施工方案与技术措施</w:t>
            </w:r>
          </w:p>
        </w:tc>
        <w:tc>
          <w:tcPr>
            <w:tcW w:w="709"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10</w:t>
            </w:r>
          </w:p>
        </w:tc>
        <w:tc>
          <w:tcPr>
            <w:tcW w:w="4394" w:type="dxa"/>
            <w:vAlign w:val="center"/>
          </w:tcPr>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（1）结合工程实际情况，对施工重点、难点分析透彻、全面并采取技术保证措施；</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（2）平面总体布置图满足施工要求，场地布置科学、合理、可行；</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（3）施工进度计划满足施工工期要求，各工序进度安排合理、衔接关系合适，计划图表编制正确，保证措施科学、合理、能够满足施工工期要求。</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优得10-8分、良7.</w:t>
            </w:r>
            <w:r w:rsidRPr="0037164A">
              <w:rPr>
                <w:rFonts w:ascii="楷体_GB2312" w:eastAsia="楷体_GB2312" w:hAnsi="楷体"/>
                <w:szCs w:val="21"/>
              </w:rPr>
              <w:t>9</w:t>
            </w:r>
            <w:r w:rsidRPr="0037164A">
              <w:rPr>
                <w:rFonts w:ascii="楷体_GB2312" w:eastAsia="楷体_GB2312" w:hAnsi="楷体" w:hint="eastAsia"/>
                <w:szCs w:val="21"/>
              </w:rPr>
              <w:t>-5分、一般4.9-</w:t>
            </w:r>
            <w:r w:rsidRPr="0037164A">
              <w:rPr>
                <w:rFonts w:ascii="楷体_GB2312" w:eastAsia="楷体_GB2312" w:hAnsi="楷体"/>
                <w:szCs w:val="21"/>
              </w:rPr>
              <w:t>1</w:t>
            </w:r>
            <w:r w:rsidRPr="0037164A">
              <w:rPr>
                <w:rFonts w:ascii="楷体_GB2312" w:eastAsia="楷体_GB2312" w:hAnsi="楷体" w:hint="eastAsia"/>
                <w:szCs w:val="21"/>
              </w:rPr>
              <w:t>分。</w:t>
            </w:r>
          </w:p>
        </w:tc>
      </w:tr>
      <w:tr w:rsidR="00FB7349" w:rsidRPr="0037164A" w:rsidTr="0009412C">
        <w:trPr>
          <w:cantSplit/>
          <w:trHeight w:val="1644"/>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b/>
                <w:szCs w:val="21"/>
              </w:rPr>
              <w:t>3</w:t>
            </w:r>
          </w:p>
        </w:tc>
        <w:tc>
          <w:tcPr>
            <w:tcW w:w="3118" w:type="dxa"/>
            <w:vAlign w:val="center"/>
          </w:tcPr>
          <w:p w:rsidR="00FB7349" w:rsidRPr="0037164A" w:rsidRDefault="00FB7349" w:rsidP="0009412C">
            <w:pPr>
              <w:jc w:val="center"/>
              <w:rPr>
                <w:rFonts w:ascii="楷体_GB2312" w:eastAsia="楷体_GB2312" w:hAnsi="楷体"/>
                <w:szCs w:val="21"/>
              </w:rPr>
            </w:pPr>
            <w:r w:rsidRPr="0037164A">
              <w:rPr>
                <w:rFonts w:ascii="楷体_GB2312" w:eastAsia="楷体_GB2312" w:hAnsi="楷体" w:hint="eastAsia"/>
                <w:szCs w:val="21"/>
              </w:rPr>
              <w:t>质量管理与措施</w:t>
            </w:r>
          </w:p>
        </w:tc>
        <w:tc>
          <w:tcPr>
            <w:tcW w:w="709" w:type="dxa"/>
            <w:vAlign w:val="center"/>
          </w:tcPr>
          <w:p w:rsidR="00FB7349" w:rsidRPr="0037164A" w:rsidRDefault="00FB7349" w:rsidP="0009412C">
            <w:pPr>
              <w:spacing w:line="260" w:lineRule="exact"/>
              <w:ind w:firstLineChars="100" w:firstLine="210"/>
              <w:rPr>
                <w:rFonts w:ascii="楷体_GB2312" w:eastAsia="楷体_GB2312" w:hAnsi="楷体" w:hint="eastAsia"/>
                <w:b/>
                <w:szCs w:val="21"/>
              </w:rPr>
            </w:pPr>
            <w:r w:rsidRPr="00F60C8F">
              <w:rPr>
                <w:rFonts w:ascii="楷体_GB2312" w:eastAsia="楷体_GB2312" w:hAnsi="楷体" w:hint="eastAsia"/>
                <w:b/>
                <w:szCs w:val="21"/>
                <w:highlight w:val="yellow"/>
              </w:rPr>
              <w:t>7</w:t>
            </w:r>
          </w:p>
        </w:tc>
        <w:tc>
          <w:tcPr>
            <w:tcW w:w="4394" w:type="dxa"/>
            <w:vAlign w:val="center"/>
          </w:tcPr>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质量管理完整、科学、针对性强；制度健全，目标明确；质量保证措施具体、合理；重点突出，难点论述全面，解决方案科学合理，结合工程特点可操作性强。</w:t>
            </w:r>
          </w:p>
          <w:p w:rsidR="00FB7349" w:rsidRPr="0037164A" w:rsidRDefault="00FB7349" w:rsidP="0009412C">
            <w:pPr>
              <w:spacing w:line="300" w:lineRule="exact"/>
              <w:jc w:val="left"/>
              <w:rPr>
                <w:rFonts w:ascii="楷体_GB2312" w:eastAsia="楷体_GB2312" w:hAnsi="楷体" w:hint="eastAsia"/>
                <w:b/>
                <w:szCs w:val="21"/>
              </w:rPr>
            </w:pPr>
            <w:r w:rsidRPr="00F60C8F">
              <w:rPr>
                <w:rFonts w:ascii="楷体_GB2312" w:eastAsia="楷体_GB2312" w:hAnsi="楷体" w:hint="eastAsia"/>
                <w:szCs w:val="21"/>
                <w:highlight w:val="yellow"/>
              </w:rPr>
              <w:t>优得7-5分、良4.9-3分、一般2</w:t>
            </w:r>
            <w:r w:rsidRPr="00F60C8F">
              <w:rPr>
                <w:rFonts w:ascii="楷体_GB2312" w:eastAsia="楷体_GB2312" w:hAnsi="楷体"/>
                <w:szCs w:val="21"/>
                <w:highlight w:val="yellow"/>
              </w:rPr>
              <w:t>.</w:t>
            </w:r>
            <w:r w:rsidRPr="00F60C8F">
              <w:rPr>
                <w:rFonts w:ascii="楷体_GB2312" w:eastAsia="楷体_GB2312" w:hAnsi="楷体" w:hint="eastAsia"/>
                <w:szCs w:val="21"/>
                <w:highlight w:val="yellow"/>
              </w:rPr>
              <w:t>9-1分</w:t>
            </w:r>
            <w:r w:rsidRPr="0037164A">
              <w:rPr>
                <w:rFonts w:ascii="楷体_GB2312" w:eastAsia="楷体_GB2312" w:hAnsi="楷体" w:hint="eastAsia"/>
                <w:szCs w:val="21"/>
              </w:rPr>
              <w:t>。</w:t>
            </w:r>
          </w:p>
        </w:tc>
      </w:tr>
      <w:tr w:rsidR="00FB7349" w:rsidRPr="0037164A" w:rsidTr="0009412C">
        <w:trPr>
          <w:cantSplit/>
          <w:trHeight w:val="1644"/>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b/>
                <w:szCs w:val="21"/>
              </w:rPr>
              <w:t>4</w:t>
            </w:r>
          </w:p>
        </w:tc>
        <w:tc>
          <w:tcPr>
            <w:tcW w:w="3118" w:type="dxa"/>
            <w:vAlign w:val="center"/>
          </w:tcPr>
          <w:p w:rsidR="00FB7349" w:rsidRPr="0037164A" w:rsidRDefault="00FB7349" w:rsidP="0009412C">
            <w:pPr>
              <w:jc w:val="center"/>
              <w:rPr>
                <w:rFonts w:ascii="楷体_GB2312" w:eastAsia="楷体_GB2312" w:hAnsi="楷体"/>
                <w:szCs w:val="21"/>
              </w:rPr>
            </w:pPr>
            <w:r w:rsidRPr="0037164A">
              <w:rPr>
                <w:rFonts w:ascii="楷体_GB2312" w:eastAsia="楷体_GB2312" w:hAnsi="楷体" w:hint="eastAsia"/>
                <w:szCs w:val="21"/>
              </w:rPr>
              <w:t>安全、文明施工管理与措施</w:t>
            </w:r>
          </w:p>
        </w:tc>
        <w:tc>
          <w:tcPr>
            <w:tcW w:w="709"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6</w:t>
            </w:r>
          </w:p>
        </w:tc>
        <w:tc>
          <w:tcPr>
            <w:tcW w:w="4394" w:type="dxa"/>
            <w:vAlign w:val="center"/>
          </w:tcPr>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安全管理完整、科学、针对性强；制度健全，目标明确；安全生产技术措施科学、全面，符合本工程要求；文明施工技术保证措施具体可行。</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优得6-4分、良3.9-2分、一般</w:t>
            </w:r>
            <w:r w:rsidRPr="0037164A">
              <w:rPr>
                <w:rFonts w:ascii="楷体_GB2312" w:eastAsia="楷体_GB2312" w:hAnsi="楷体"/>
                <w:szCs w:val="21"/>
              </w:rPr>
              <w:t>1.</w:t>
            </w:r>
            <w:r w:rsidRPr="0037164A">
              <w:rPr>
                <w:rFonts w:ascii="楷体_GB2312" w:eastAsia="楷体_GB2312" w:hAnsi="楷体" w:hint="eastAsia"/>
                <w:szCs w:val="21"/>
              </w:rPr>
              <w:t>9-1分。</w:t>
            </w:r>
          </w:p>
        </w:tc>
      </w:tr>
      <w:tr w:rsidR="00FB7349" w:rsidRPr="0037164A" w:rsidTr="0009412C">
        <w:trPr>
          <w:cantSplit/>
          <w:trHeight w:val="1077"/>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b/>
                <w:szCs w:val="21"/>
              </w:rPr>
              <w:t>5</w:t>
            </w:r>
          </w:p>
        </w:tc>
        <w:tc>
          <w:tcPr>
            <w:tcW w:w="3118" w:type="dxa"/>
            <w:vAlign w:val="center"/>
          </w:tcPr>
          <w:p w:rsidR="00FB7349" w:rsidRPr="0037164A" w:rsidRDefault="00FB7349" w:rsidP="0009412C">
            <w:pPr>
              <w:jc w:val="center"/>
              <w:rPr>
                <w:rFonts w:ascii="楷体_GB2312" w:eastAsia="楷体_GB2312" w:hAnsi="楷体"/>
                <w:szCs w:val="21"/>
              </w:rPr>
            </w:pPr>
            <w:r w:rsidRPr="0037164A">
              <w:rPr>
                <w:rFonts w:ascii="楷体_GB2312" w:eastAsia="楷体_GB2312" w:hAnsi="楷体" w:hint="eastAsia"/>
                <w:szCs w:val="21"/>
              </w:rPr>
              <w:t>环保管理与措施</w:t>
            </w:r>
          </w:p>
        </w:tc>
        <w:tc>
          <w:tcPr>
            <w:tcW w:w="709"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4</w:t>
            </w:r>
          </w:p>
        </w:tc>
        <w:tc>
          <w:tcPr>
            <w:tcW w:w="4394" w:type="dxa"/>
            <w:vAlign w:val="center"/>
          </w:tcPr>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环境保护管理健全，措施针对环境保护有充分保障。</w:t>
            </w:r>
          </w:p>
          <w:p w:rsidR="00FB7349" w:rsidRPr="0037164A" w:rsidRDefault="00FB7349" w:rsidP="0009412C">
            <w:pPr>
              <w:spacing w:line="300" w:lineRule="exact"/>
              <w:jc w:val="left"/>
              <w:rPr>
                <w:rFonts w:ascii="楷体_GB2312" w:eastAsia="楷体_GB2312" w:hAnsi="楷体" w:hint="eastAsia"/>
                <w:b/>
                <w:szCs w:val="21"/>
              </w:rPr>
            </w:pPr>
            <w:r w:rsidRPr="0037164A">
              <w:rPr>
                <w:rFonts w:ascii="楷体_GB2312" w:eastAsia="楷体_GB2312" w:hAnsi="楷体" w:hint="eastAsia"/>
                <w:szCs w:val="21"/>
              </w:rPr>
              <w:t>优得4-2.5分、良2.4-1.5分、一般1.4-1分。</w:t>
            </w:r>
          </w:p>
        </w:tc>
      </w:tr>
      <w:tr w:rsidR="00FB7349" w:rsidRPr="0037164A" w:rsidTr="0009412C">
        <w:trPr>
          <w:cantSplit/>
          <w:trHeight w:val="1361"/>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b/>
                <w:szCs w:val="21"/>
              </w:rPr>
              <w:t>6</w:t>
            </w:r>
          </w:p>
        </w:tc>
        <w:tc>
          <w:tcPr>
            <w:tcW w:w="3118" w:type="dxa"/>
            <w:vAlign w:val="center"/>
          </w:tcPr>
          <w:p w:rsidR="00FB7349" w:rsidRPr="0037164A" w:rsidRDefault="00FB7349" w:rsidP="0009412C">
            <w:pPr>
              <w:jc w:val="center"/>
              <w:rPr>
                <w:rFonts w:ascii="楷体_GB2312" w:eastAsia="楷体_GB2312" w:hAnsi="楷体"/>
                <w:szCs w:val="21"/>
              </w:rPr>
            </w:pPr>
            <w:r w:rsidRPr="0037164A">
              <w:rPr>
                <w:rFonts w:ascii="楷体_GB2312" w:eastAsia="楷体_GB2312" w:hAnsi="楷体" w:hint="eastAsia"/>
                <w:szCs w:val="21"/>
              </w:rPr>
              <w:t>资源供应计划</w:t>
            </w:r>
          </w:p>
        </w:tc>
        <w:tc>
          <w:tcPr>
            <w:tcW w:w="709"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4</w:t>
            </w:r>
          </w:p>
        </w:tc>
        <w:tc>
          <w:tcPr>
            <w:tcW w:w="4394" w:type="dxa"/>
            <w:vAlign w:val="center"/>
          </w:tcPr>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劳动力各工种配置合理、数量充足；施工机械设备齐全，能满足施工要求；材料供应计划满足施工进度。</w:t>
            </w:r>
          </w:p>
          <w:p w:rsidR="00FB7349" w:rsidRPr="0037164A" w:rsidRDefault="00FB7349" w:rsidP="0009412C">
            <w:pPr>
              <w:spacing w:line="300" w:lineRule="exact"/>
              <w:jc w:val="left"/>
              <w:rPr>
                <w:rFonts w:ascii="楷体_GB2312" w:eastAsia="楷体_GB2312" w:hAnsi="楷体" w:hint="eastAsia"/>
                <w:b/>
                <w:szCs w:val="21"/>
              </w:rPr>
            </w:pPr>
            <w:r w:rsidRPr="0037164A">
              <w:rPr>
                <w:rFonts w:ascii="楷体_GB2312" w:eastAsia="楷体_GB2312" w:hAnsi="楷体" w:hint="eastAsia"/>
                <w:szCs w:val="21"/>
              </w:rPr>
              <w:t>优得4-2.5分、良2.4-1.5分、一般1.4-1分。</w:t>
            </w:r>
          </w:p>
        </w:tc>
      </w:tr>
      <w:tr w:rsidR="00FB7349" w:rsidRPr="0037164A" w:rsidTr="0009412C">
        <w:trPr>
          <w:cantSplit/>
          <w:trHeight w:val="1020"/>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b/>
                <w:szCs w:val="21"/>
              </w:rPr>
              <w:t>7</w:t>
            </w:r>
          </w:p>
        </w:tc>
        <w:tc>
          <w:tcPr>
            <w:tcW w:w="3118" w:type="dxa"/>
            <w:vAlign w:val="center"/>
          </w:tcPr>
          <w:p w:rsidR="00FB7349" w:rsidRPr="0037164A" w:rsidRDefault="00FB7349" w:rsidP="0009412C">
            <w:pPr>
              <w:jc w:val="center"/>
              <w:rPr>
                <w:rFonts w:ascii="楷体_GB2312" w:eastAsia="楷体_GB2312" w:hAnsi="楷体" w:hint="eastAsia"/>
                <w:szCs w:val="21"/>
              </w:rPr>
            </w:pPr>
            <w:r w:rsidRPr="0037164A">
              <w:rPr>
                <w:rFonts w:ascii="楷体_GB2312" w:eastAsia="楷体_GB2312" w:hAnsi="楷体" w:hint="eastAsia"/>
                <w:szCs w:val="21"/>
              </w:rPr>
              <w:t>保修承诺及服务</w:t>
            </w:r>
          </w:p>
        </w:tc>
        <w:tc>
          <w:tcPr>
            <w:tcW w:w="709"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4</w:t>
            </w:r>
          </w:p>
        </w:tc>
        <w:tc>
          <w:tcPr>
            <w:tcW w:w="4394" w:type="dxa"/>
            <w:vAlign w:val="center"/>
          </w:tcPr>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在质保期内和质保期满后维修服务承诺和保证措施得当。</w:t>
            </w:r>
          </w:p>
          <w:p w:rsidR="00FB7349" w:rsidRPr="0037164A" w:rsidRDefault="00FB7349" w:rsidP="0009412C">
            <w:pPr>
              <w:spacing w:line="300" w:lineRule="exact"/>
              <w:jc w:val="left"/>
              <w:rPr>
                <w:rFonts w:ascii="楷体_GB2312" w:eastAsia="楷体_GB2312" w:hAnsi="楷体" w:hint="eastAsia"/>
                <w:b/>
                <w:szCs w:val="21"/>
              </w:rPr>
            </w:pPr>
            <w:r w:rsidRPr="0037164A">
              <w:rPr>
                <w:rFonts w:ascii="楷体_GB2312" w:eastAsia="楷体_GB2312" w:hAnsi="楷体" w:hint="eastAsia"/>
                <w:szCs w:val="21"/>
              </w:rPr>
              <w:t>优得4-2.5分、良2.4-1.5分、一般1.4-1分。</w:t>
            </w:r>
          </w:p>
        </w:tc>
      </w:tr>
      <w:tr w:rsidR="00FB7349" w:rsidRPr="0037164A" w:rsidTr="0009412C">
        <w:trPr>
          <w:cantSplit/>
          <w:trHeight w:val="567"/>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hint="eastAsia"/>
                <w:b/>
                <w:szCs w:val="21"/>
              </w:rPr>
              <w:t>二</w:t>
            </w:r>
          </w:p>
        </w:tc>
        <w:tc>
          <w:tcPr>
            <w:tcW w:w="8221" w:type="dxa"/>
            <w:gridSpan w:val="3"/>
            <w:vAlign w:val="center"/>
          </w:tcPr>
          <w:p w:rsidR="00FB7349" w:rsidRPr="0037164A" w:rsidRDefault="00FB7349" w:rsidP="0009412C">
            <w:pPr>
              <w:spacing w:line="300" w:lineRule="exact"/>
              <w:jc w:val="center"/>
              <w:rPr>
                <w:rFonts w:ascii="楷体_GB2312" w:eastAsia="楷体_GB2312" w:hAnsi="楷体" w:hint="eastAsia"/>
                <w:szCs w:val="21"/>
              </w:rPr>
            </w:pPr>
            <w:r w:rsidRPr="0037164A">
              <w:rPr>
                <w:rFonts w:ascii="楷体_GB2312" w:eastAsia="楷体_GB2312" w:hAnsi="楷体" w:hint="eastAsia"/>
                <w:b/>
                <w:szCs w:val="21"/>
              </w:rPr>
              <w:t>投标报价（</w:t>
            </w:r>
            <w:r w:rsidRPr="0037164A">
              <w:rPr>
                <w:rFonts w:ascii="楷体_GB2312" w:eastAsia="楷体_GB2312" w:hAnsi="楷体"/>
                <w:b/>
                <w:szCs w:val="21"/>
              </w:rPr>
              <w:t>50</w:t>
            </w:r>
            <w:r w:rsidRPr="0037164A">
              <w:rPr>
                <w:rFonts w:ascii="楷体_GB2312" w:eastAsia="楷体_GB2312" w:hAnsi="楷体" w:hint="eastAsia"/>
                <w:b/>
                <w:szCs w:val="21"/>
              </w:rPr>
              <w:t>分）</w:t>
            </w:r>
          </w:p>
        </w:tc>
      </w:tr>
      <w:tr w:rsidR="00FB7349" w:rsidRPr="0037164A" w:rsidTr="0009412C">
        <w:trPr>
          <w:cantSplit/>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hint="eastAsia"/>
                <w:b/>
                <w:szCs w:val="21"/>
              </w:rPr>
              <w:lastRenderedPageBreak/>
              <w:t>1</w:t>
            </w:r>
          </w:p>
        </w:tc>
        <w:tc>
          <w:tcPr>
            <w:tcW w:w="3118" w:type="dxa"/>
            <w:vAlign w:val="center"/>
          </w:tcPr>
          <w:p w:rsidR="00FB7349" w:rsidRPr="0037164A" w:rsidRDefault="00FB7349" w:rsidP="0009412C">
            <w:pPr>
              <w:jc w:val="center"/>
              <w:rPr>
                <w:rFonts w:ascii="楷体_GB2312" w:eastAsia="楷体_GB2312" w:hAnsi="楷体" w:hint="eastAsia"/>
                <w:szCs w:val="21"/>
              </w:rPr>
            </w:pPr>
            <w:r w:rsidRPr="0037164A">
              <w:rPr>
                <w:rFonts w:ascii="楷体_GB2312" w:eastAsia="楷体_GB2312" w:hAnsi="楷体" w:hint="eastAsia"/>
                <w:szCs w:val="21"/>
              </w:rPr>
              <w:t>投标总价</w:t>
            </w:r>
          </w:p>
        </w:tc>
        <w:tc>
          <w:tcPr>
            <w:tcW w:w="709"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b/>
                <w:szCs w:val="21"/>
              </w:rPr>
              <w:t>50</w:t>
            </w:r>
          </w:p>
        </w:tc>
        <w:tc>
          <w:tcPr>
            <w:tcW w:w="4394" w:type="dxa"/>
            <w:vAlign w:val="center"/>
          </w:tcPr>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szCs w:val="21"/>
              </w:rPr>
              <w:t>（1）投标报价等于评标基准价的得基准分</w:t>
            </w:r>
            <w:r w:rsidRPr="0037164A">
              <w:rPr>
                <w:rFonts w:ascii="楷体_GB2312" w:eastAsia="楷体_GB2312" w:hAnsi="楷体" w:hint="eastAsia"/>
                <w:szCs w:val="21"/>
              </w:rPr>
              <w:t>50</w:t>
            </w:r>
            <w:r w:rsidRPr="0037164A">
              <w:rPr>
                <w:rFonts w:ascii="楷体_GB2312" w:eastAsia="楷体_GB2312" w:hAnsi="楷体"/>
                <w:szCs w:val="21"/>
              </w:rPr>
              <w:t>分；</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（2）评标基准价±20%及以内的投标报价，每高于评标基准价1%，扣2分，</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szCs w:val="21"/>
              </w:rPr>
              <w:t>【公式：50-丨偏差率丨</w:t>
            </w:r>
            <w:r w:rsidRPr="0037164A">
              <w:rPr>
                <w:rFonts w:ascii="楷体_GB2312" w:eastAsia="楷体_GB2312" w:hAnsi="楷体"/>
                <w:szCs w:val="21"/>
              </w:rPr>
              <w:t>×</w:t>
            </w:r>
            <w:r w:rsidRPr="0037164A">
              <w:rPr>
                <w:rFonts w:ascii="楷体_GB2312" w:eastAsia="楷体_GB2312" w:hAnsi="楷体" w:hint="eastAsia"/>
                <w:szCs w:val="21"/>
              </w:rPr>
              <w:t>2</w:t>
            </w:r>
            <w:r w:rsidRPr="0037164A">
              <w:rPr>
                <w:rFonts w:ascii="楷体_GB2312" w:eastAsia="楷体_GB2312" w:hAnsi="楷体"/>
                <w:szCs w:val="21"/>
              </w:rPr>
              <w:t>×</w:t>
            </w:r>
            <w:r w:rsidRPr="0037164A">
              <w:rPr>
                <w:rFonts w:ascii="楷体_GB2312" w:eastAsia="楷体_GB2312" w:hAnsi="楷体"/>
                <w:szCs w:val="21"/>
              </w:rPr>
              <w:t xml:space="preserve">100】 </w:t>
            </w:r>
            <w:r w:rsidRPr="0037164A">
              <w:rPr>
                <w:rFonts w:ascii="楷体_GB2312" w:eastAsia="楷体_GB2312" w:hAnsi="楷体" w:hint="eastAsia"/>
                <w:szCs w:val="21"/>
              </w:rPr>
              <w:t>，</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每低于评标基准价1%，扣1分，</w:t>
            </w:r>
          </w:p>
          <w:p w:rsidR="00FB7349" w:rsidRPr="0037164A" w:rsidRDefault="00FB7349" w:rsidP="0009412C">
            <w:pPr>
              <w:spacing w:line="300" w:lineRule="exact"/>
              <w:jc w:val="left"/>
              <w:rPr>
                <w:rFonts w:ascii="楷体_GB2312" w:eastAsia="楷体_GB2312" w:hAnsi="楷体"/>
                <w:szCs w:val="21"/>
              </w:rPr>
            </w:pPr>
            <w:r w:rsidRPr="0037164A">
              <w:rPr>
                <w:rFonts w:ascii="楷体_GB2312" w:eastAsia="楷体_GB2312" w:hAnsi="楷体"/>
                <w:szCs w:val="21"/>
              </w:rPr>
              <w:t>【公式：50-丨偏差率丨</w:t>
            </w:r>
            <w:r w:rsidRPr="0037164A">
              <w:rPr>
                <w:rFonts w:ascii="楷体_GB2312" w:eastAsia="楷体_GB2312" w:hAnsi="楷体"/>
                <w:szCs w:val="21"/>
              </w:rPr>
              <w:t>×</w:t>
            </w:r>
            <w:r w:rsidRPr="0037164A">
              <w:rPr>
                <w:rFonts w:ascii="楷体_GB2312" w:eastAsia="楷体_GB2312" w:hAnsi="楷体" w:hint="eastAsia"/>
                <w:szCs w:val="21"/>
              </w:rPr>
              <w:t>1</w:t>
            </w:r>
            <w:r w:rsidRPr="0037164A">
              <w:rPr>
                <w:rFonts w:ascii="楷体_GB2312" w:eastAsia="楷体_GB2312" w:hAnsi="楷体"/>
                <w:szCs w:val="21"/>
              </w:rPr>
              <w:t>×</w:t>
            </w:r>
            <w:r w:rsidRPr="0037164A">
              <w:rPr>
                <w:rFonts w:ascii="楷体_GB2312" w:eastAsia="楷体_GB2312" w:hAnsi="楷体"/>
                <w:szCs w:val="21"/>
              </w:rPr>
              <w:t>100】</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（3）评标基准价±20%以外投标报价，不得分。</w:t>
            </w:r>
          </w:p>
        </w:tc>
      </w:tr>
      <w:tr w:rsidR="00FB7349" w:rsidRPr="0037164A" w:rsidTr="0009412C">
        <w:trPr>
          <w:cantSplit/>
          <w:trHeight w:val="515"/>
        </w:trPr>
        <w:tc>
          <w:tcPr>
            <w:tcW w:w="993" w:type="dxa"/>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hint="eastAsia"/>
                <w:b/>
                <w:szCs w:val="21"/>
              </w:rPr>
              <w:t>三</w:t>
            </w:r>
          </w:p>
        </w:tc>
        <w:tc>
          <w:tcPr>
            <w:tcW w:w="8221" w:type="dxa"/>
            <w:gridSpan w:val="3"/>
            <w:vAlign w:val="center"/>
          </w:tcPr>
          <w:p w:rsidR="00FB7349" w:rsidRPr="0037164A" w:rsidRDefault="00FB7349" w:rsidP="0009412C">
            <w:pPr>
              <w:spacing w:line="300" w:lineRule="exact"/>
              <w:jc w:val="center"/>
              <w:rPr>
                <w:rFonts w:ascii="楷体_GB2312" w:eastAsia="楷体_GB2312" w:hAnsi="楷体"/>
                <w:szCs w:val="21"/>
              </w:rPr>
            </w:pPr>
            <w:r w:rsidRPr="0037164A">
              <w:rPr>
                <w:rFonts w:ascii="楷体_GB2312" w:eastAsia="楷体_GB2312" w:hAnsi="楷体" w:hint="eastAsia"/>
                <w:b/>
                <w:szCs w:val="21"/>
              </w:rPr>
              <w:t>其他因素（10分）</w:t>
            </w:r>
          </w:p>
        </w:tc>
      </w:tr>
      <w:tr w:rsidR="00FB7349" w:rsidRPr="0037164A" w:rsidTr="0009412C">
        <w:trPr>
          <w:cantSplit/>
          <w:trHeight w:val="2461"/>
        </w:trPr>
        <w:tc>
          <w:tcPr>
            <w:tcW w:w="993" w:type="dxa"/>
            <w:vMerge w:val="restart"/>
            <w:tcBorders>
              <w:bottom w:val="single" w:sz="4" w:space="0" w:color="000000"/>
            </w:tcBorders>
            <w:vAlign w:val="center"/>
          </w:tcPr>
          <w:p w:rsidR="00FB7349" w:rsidRPr="0037164A" w:rsidRDefault="00FB7349" w:rsidP="0009412C">
            <w:pPr>
              <w:jc w:val="center"/>
              <w:rPr>
                <w:rFonts w:ascii="楷体_GB2312" w:eastAsia="楷体_GB2312" w:hAnsi="楷体" w:hint="eastAsia"/>
                <w:b/>
                <w:szCs w:val="21"/>
              </w:rPr>
            </w:pPr>
            <w:r w:rsidRPr="0037164A">
              <w:rPr>
                <w:rFonts w:ascii="楷体_GB2312" w:eastAsia="楷体_GB2312" w:hAnsi="楷体" w:hint="eastAsia"/>
                <w:b/>
                <w:szCs w:val="21"/>
              </w:rPr>
              <w:t>1</w:t>
            </w:r>
          </w:p>
        </w:tc>
        <w:tc>
          <w:tcPr>
            <w:tcW w:w="3118" w:type="dxa"/>
            <w:vMerge w:val="restart"/>
            <w:tcBorders>
              <w:bottom w:val="single" w:sz="4" w:space="0" w:color="000000"/>
            </w:tcBorders>
            <w:vAlign w:val="center"/>
          </w:tcPr>
          <w:p w:rsidR="00FB7349" w:rsidRPr="0037164A" w:rsidRDefault="00FB7349" w:rsidP="0009412C">
            <w:pPr>
              <w:jc w:val="center"/>
              <w:rPr>
                <w:rFonts w:ascii="楷体_GB2312" w:eastAsia="楷体_GB2312" w:hAnsi="楷体" w:hint="eastAsia"/>
                <w:szCs w:val="21"/>
              </w:rPr>
            </w:pPr>
            <w:r w:rsidRPr="0037164A">
              <w:rPr>
                <w:rFonts w:ascii="楷体_GB2312" w:eastAsia="楷体_GB2312" w:hAnsi="楷体" w:hint="eastAsia"/>
                <w:szCs w:val="21"/>
              </w:rPr>
              <w:t>企业信用评价</w:t>
            </w:r>
          </w:p>
          <w:p w:rsidR="00FB7349" w:rsidRPr="0037164A" w:rsidRDefault="00FB7349" w:rsidP="0009412C">
            <w:pPr>
              <w:jc w:val="center"/>
              <w:rPr>
                <w:rFonts w:ascii="楷体_GB2312" w:eastAsia="楷体_GB2312" w:hAnsi="楷体" w:hint="eastAsia"/>
                <w:szCs w:val="21"/>
              </w:rPr>
            </w:pPr>
            <w:r w:rsidRPr="0037164A">
              <w:rPr>
                <w:rFonts w:ascii="楷体_GB2312" w:eastAsia="楷体_GB2312" w:hAnsi="楷体" w:hint="eastAsia"/>
                <w:szCs w:val="21"/>
              </w:rPr>
              <w:t>（信用等级、信用动态评价及失信曝光）</w:t>
            </w:r>
          </w:p>
        </w:tc>
        <w:tc>
          <w:tcPr>
            <w:tcW w:w="709" w:type="dxa"/>
            <w:tcBorders>
              <w:bottom w:val="single" w:sz="4" w:space="0" w:color="000000"/>
            </w:tcBorders>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3</w:t>
            </w:r>
          </w:p>
        </w:tc>
        <w:tc>
          <w:tcPr>
            <w:tcW w:w="4394" w:type="dxa"/>
            <w:tcBorders>
              <w:bottom w:val="single" w:sz="4" w:space="0" w:color="000000"/>
            </w:tcBorders>
            <w:vAlign w:val="center"/>
          </w:tcPr>
          <w:p w:rsidR="00FB7349" w:rsidRPr="0037164A" w:rsidRDefault="00FB7349" w:rsidP="0009412C">
            <w:pPr>
              <w:spacing w:line="300" w:lineRule="exact"/>
              <w:jc w:val="left"/>
              <w:rPr>
                <w:rFonts w:ascii="楷体_GB2312" w:eastAsia="楷体_GB2312" w:hAnsi="楷体"/>
                <w:b/>
                <w:szCs w:val="21"/>
              </w:rPr>
            </w:pPr>
            <w:r w:rsidRPr="0037164A">
              <w:rPr>
                <w:rFonts w:ascii="楷体_GB2312" w:eastAsia="楷体_GB2312" w:hAnsi="楷体" w:hint="eastAsia"/>
                <w:b/>
                <w:szCs w:val="21"/>
              </w:rPr>
              <w:t>信用等级</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投标人被“中国水利工程协会”评定信用等级为AAA级得3分、评定为AA级得2分、评定为A级得1分、评定为BBB级得0.5分，评定为CCC级得0分。</w:t>
            </w:r>
          </w:p>
          <w:p w:rsidR="00FB7349" w:rsidRPr="0037164A" w:rsidRDefault="00FB7349" w:rsidP="0009412C">
            <w:pPr>
              <w:spacing w:line="300" w:lineRule="exact"/>
              <w:jc w:val="left"/>
              <w:rPr>
                <w:rFonts w:ascii="楷体_GB2312" w:eastAsia="楷体_GB2312" w:hAnsi="楷体" w:hint="eastAsia"/>
                <w:szCs w:val="21"/>
              </w:rPr>
            </w:pPr>
            <w:r w:rsidRPr="0037164A">
              <w:rPr>
                <w:rFonts w:ascii="楷体_GB2312" w:eastAsia="楷体_GB2312" w:hAnsi="楷体" w:hint="eastAsia"/>
                <w:szCs w:val="21"/>
              </w:rPr>
              <w:t>注：未获“中国水利工程协会”信用等级评定，</w:t>
            </w:r>
          </w:p>
          <w:p w:rsidR="00FB7349" w:rsidRPr="0037164A" w:rsidRDefault="00FB7349" w:rsidP="0009412C">
            <w:pPr>
              <w:spacing w:line="300" w:lineRule="exact"/>
              <w:jc w:val="left"/>
              <w:rPr>
                <w:rFonts w:ascii="楷体_GB2312" w:eastAsia="楷体_GB2312" w:hAnsi="楷体"/>
                <w:szCs w:val="21"/>
              </w:rPr>
            </w:pPr>
            <w:r w:rsidRPr="0037164A">
              <w:rPr>
                <w:rFonts w:ascii="楷体_GB2312" w:eastAsia="楷体_GB2312" w:hAnsi="楷体" w:hint="eastAsia"/>
                <w:szCs w:val="21"/>
              </w:rPr>
              <w:t>但在“辽宁省水利建设市场信用信息平台”</w:t>
            </w:r>
          </w:p>
          <w:p w:rsidR="00FB7349" w:rsidRPr="0037164A" w:rsidRDefault="00FB7349" w:rsidP="0009412C">
            <w:pPr>
              <w:spacing w:line="300" w:lineRule="exact"/>
              <w:jc w:val="left"/>
              <w:rPr>
                <w:rFonts w:ascii="楷体_GB2312" w:eastAsia="楷体_GB2312" w:hAnsi="楷体"/>
                <w:szCs w:val="21"/>
              </w:rPr>
            </w:pPr>
            <w:r w:rsidRPr="0037164A">
              <w:rPr>
                <w:rFonts w:ascii="楷体_GB2312" w:eastAsia="楷体_GB2312" w:hAnsi="楷体" w:hint="eastAsia"/>
                <w:szCs w:val="21"/>
              </w:rPr>
              <w:t>建立信用档案的市场主体，按BBB级赋分；未建立的,按CCC级赋分。</w:t>
            </w:r>
          </w:p>
        </w:tc>
      </w:tr>
      <w:tr w:rsidR="00FB7349" w:rsidRPr="0037164A" w:rsidTr="0009412C">
        <w:trPr>
          <w:cantSplit/>
        </w:trPr>
        <w:tc>
          <w:tcPr>
            <w:tcW w:w="993" w:type="dxa"/>
            <w:vMerge/>
            <w:vAlign w:val="center"/>
          </w:tcPr>
          <w:p w:rsidR="00FB7349" w:rsidRPr="0037164A" w:rsidRDefault="00FB7349" w:rsidP="0009412C">
            <w:pPr>
              <w:jc w:val="center"/>
              <w:rPr>
                <w:rFonts w:ascii="楷体_GB2312" w:eastAsia="楷体_GB2312" w:hAnsi="楷体" w:hint="eastAsia"/>
                <w:b/>
                <w:szCs w:val="21"/>
              </w:rPr>
            </w:pPr>
          </w:p>
        </w:tc>
        <w:tc>
          <w:tcPr>
            <w:tcW w:w="3118" w:type="dxa"/>
            <w:vMerge/>
            <w:vAlign w:val="center"/>
          </w:tcPr>
          <w:p w:rsidR="00FB7349" w:rsidRPr="0037164A" w:rsidRDefault="00FB7349" w:rsidP="0009412C">
            <w:pPr>
              <w:jc w:val="center"/>
              <w:rPr>
                <w:rFonts w:ascii="楷体_GB2312" w:eastAsia="楷体_GB2312" w:hAnsi="楷体" w:hint="eastAsia"/>
                <w:szCs w:val="21"/>
              </w:rPr>
            </w:pPr>
          </w:p>
        </w:tc>
        <w:tc>
          <w:tcPr>
            <w:tcW w:w="709"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4</w:t>
            </w:r>
          </w:p>
        </w:tc>
        <w:tc>
          <w:tcPr>
            <w:tcW w:w="4394" w:type="dxa"/>
            <w:vAlign w:val="center"/>
          </w:tcPr>
          <w:p w:rsidR="00FB7349" w:rsidRPr="0037164A" w:rsidRDefault="00FB7349" w:rsidP="0009412C">
            <w:pPr>
              <w:spacing w:line="300" w:lineRule="exact"/>
              <w:jc w:val="left"/>
              <w:rPr>
                <w:rFonts w:ascii="楷体_GB2312" w:eastAsia="楷体_GB2312" w:hAnsi="楷体" w:hint="eastAsia"/>
                <w:b/>
                <w:szCs w:val="21"/>
              </w:rPr>
            </w:pPr>
            <w:r w:rsidRPr="0037164A">
              <w:rPr>
                <w:rFonts w:ascii="楷体_GB2312" w:eastAsia="楷体_GB2312" w:hAnsi="楷体" w:hint="eastAsia"/>
                <w:b/>
                <w:szCs w:val="21"/>
              </w:rPr>
              <w:t>信用动态评价</w:t>
            </w:r>
          </w:p>
          <w:p w:rsidR="00FB7349" w:rsidRPr="0037164A" w:rsidRDefault="00FB7349" w:rsidP="0009412C">
            <w:pPr>
              <w:spacing w:line="300" w:lineRule="exact"/>
              <w:jc w:val="left"/>
              <w:rPr>
                <w:rFonts w:ascii="楷体_GB2312" w:eastAsia="楷体_GB2312" w:hAnsi="楷体"/>
                <w:szCs w:val="21"/>
              </w:rPr>
            </w:pPr>
            <w:r w:rsidRPr="0037164A">
              <w:rPr>
                <w:rFonts w:ascii="楷体_GB2312" w:eastAsia="楷体_GB2312" w:hAnsi="楷体" w:hint="eastAsia"/>
                <w:szCs w:val="21"/>
              </w:rPr>
              <w:t>上一个评价周期内的市场主体信用动态评价得分率（%）与此项标准分值的乘积。</w:t>
            </w:r>
          </w:p>
          <w:p w:rsidR="00FB7349" w:rsidRPr="0037164A" w:rsidRDefault="00FB7349" w:rsidP="0009412C">
            <w:pPr>
              <w:spacing w:line="300" w:lineRule="exact"/>
              <w:jc w:val="left"/>
              <w:rPr>
                <w:rFonts w:ascii="楷体_GB2312" w:eastAsia="楷体_GB2312" w:hAnsi="楷体"/>
                <w:b/>
                <w:szCs w:val="21"/>
              </w:rPr>
            </w:pPr>
            <w:r w:rsidRPr="0037164A">
              <w:rPr>
                <w:rFonts w:ascii="楷体_GB2312" w:eastAsia="楷体_GB2312" w:hAnsi="楷体" w:hint="eastAsia"/>
                <w:szCs w:val="21"/>
              </w:rPr>
              <w:t>注：对于上一个评价周期未参与或未获得信用动态评价的市场主体，其信用动态评价得分为本项目通过初步评审的其它投标人信用动态评价得分的算数平均值。若如本项目所有投标人均未参与或未获得信用动态评价的本项均不得分，若本项目所有投标人只有一家参与或获得信用动态评价的，则其信用动态评价得分作为其它投标人信用动态评价得分率（%）</w:t>
            </w:r>
          </w:p>
        </w:tc>
      </w:tr>
      <w:tr w:rsidR="00FB7349" w:rsidRPr="0037164A" w:rsidTr="0009412C">
        <w:trPr>
          <w:cantSplit/>
        </w:trPr>
        <w:tc>
          <w:tcPr>
            <w:tcW w:w="993" w:type="dxa"/>
            <w:vMerge/>
            <w:vAlign w:val="center"/>
          </w:tcPr>
          <w:p w:rsidR="00FB7349" w:rsidRPr="0037164A" w:rsidRDefault="00FB7349" w:rsidP="0009412C">
            <w:pPr>
              <w:jc w:val="center"/>
              <w:rPr>
                <w:rFonts w:ascii="楷体_GB2312" w:eastAsia="楷体_GB2312" w:hAnsi="楷体" w:hint="eastAsia"/>
                <w:b/>
                <w:szCs w:val="21"/>
              </w:rPr>
            </w:pPr>
          </w:p>
        </w:tc>
        <w:tc>
          <w:tcPr>
            <w:tcW w:w="3118" w:type="dxa"/>
            <w:vMerge/>
            <w:vAlign w:val="center"/>
          </w:tcPr>
          <w:p w:rsidR="00FB7349" w:rsidRPr="0037164A" w:rsidRDefault="00FB7349" w:rsidP="0009412C">
            <w:pPr>
              <w:jc w:val="center"/>
              <w:rPr>
                <w:rFonts w:ascii="楷体_GB2312" w:eastAsia="楷体_GB2312" w:hAnsi="楷体" w:hint="eastAsia"/>
                <w:szCs w:val="21"/>
              </w:rPr>
            </w:pPr>
          </w:p>
        </w:tc>
        <w:tc>
          <w:tcPr>
            <w:tcW w:w="709" w:type="dxa"/>
            <w:vAlign w:val="center"/>
          </w:tcPr>
          <w:p w:rsidR="00FB7349" w:rsidRPr="0037164A" w:rsidRDefault="00FB7349" w:rsidP="0009412C">
            <w:pPr>
              <w:spacing w:line="260" w:lineRule="exact"/>
              <w:jc w:val="center"/>
              <w:rPr>
                <w:rFonts w:ascii="楷体_GB2312" w:eastAsia="楷体_GB2312" w:hAnsi="楷体" w:hint="eastAsia"/>
                <w:b/>
                <w:szCs w:val="21"/>
              </w:rPr>
            </w:pPr>
            <w:r w:rsidRPr="0037164A">
              <w:rPr>
                <w:rFonts w:ascii="楷体_GB2312" w:eastAsia="楷体_GB2312" w:hAnsi="楷体" w:hint="eastAsia"/>
                <w:b/>
                <w:szCs w:val="21"/>
              </w:rPr>
              <w:t>3</w:t>
            </w:r>
          </w:p>
        </w:tc>
        <w:tc>
          <w:tcPr>
            <w:tcW w:w="4394" w:type="dxa"/>
            <w:vAlign w:val="center"/>
          </w:tcPr>
          <w:p w:rsidR="00FB7349" w:rsidRPr="0037164A" w:rsidRDefault="00FB7349" w:rsidP="0009412C">
            <w:pPr>
              <w:spacing w:line="300" w:lineRule="exact"/>
              <w:jc w:val="left"/>
              <w:rPr>
                <w:rFonts w:ascii="楷体_GB2312" w:eastAsia="楷体_GB2312" w:hAnsi="楷体" w:hint="eastAsia"/>
                <w:b/>
                <w:szCs w:val="21"/>
              </w:rPr>
            </w:pPr>
            <w:r w:rsidRPr="0037164A">
              <w:rPr>
                <w:rFonts w:ascii="楷体_GB2312" w:eastAsia="楷体_GB2312" w:hAnsi="楷体" w:hint="eastAsia"/>
                <w:b/>
                <w:szCs w:val="21"/>
              </w:rPr>
              <w:t>失信曝光</w:t>
            </w:r>
          </w:p>
          <w:p w:rsidR="00FB7349" w:rsidRPr="0037164A" w:rsidRDefault="00FB7349" w:rsidP="0009412C">
            <w:pPr>
              <w:spacing w:line="300" w:lineRule="exact"/>
              <w:jc w:val="left"/>
              <w:rPr>
                <w:rFonts w:ascii="楷体_GB2312" w:eastAsia="楷体_GB2312" w:hAnsi="楷体"/>
                <w:b/>
                <w:szCs w:val="21"/>
              </w:rPr>
            </w:pPr>
            <w:r w:rsidRPr="0037164A">
              <w:rPr>
                <w:rFonts w:ascii="楷体_GB2312" w:eastAsia="楷体_GB2312" w:hAnsi="楷体" w:hint="eastAsia"/>
                <w:szCs w:val="21"/>
              </w:rPr>
              <w:t>采用数量递减法计分。按《辽宁省水利建设市场信用信息平台》公布的市场主体失信扣除相应的分数。失信扣分大于或等于3分的市场主体，本项目不得分。</w:t>
            </w:r>
          </w:p>
        </w:tc>
      </w:tr>
    </w:tbl>
    <w:p w:rsidR="00234DBB" w:rsidRPr="00FB7349" w:rsidRDefault="00234DBB"/>
    <w:sectPr w:rsidR="00234DBB" w:rsidRPr="00FB7349" w:rsidSect="00234D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A6F" w:rsidRDefault="006A2A6F" w:rsidP="00FB7349">
      <w:r>
        <w:separator/>
      </w:r>
    </w:p>
  </w:endnote>
  <w:endnote w:type="continuationSeparator" w:id="0">
    <w:p w:rsidR="006A2A6F" w:rsidRDefault="006A2A6F" w:rsidP="00FB73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A6F" w:rsidRDefault="006A2A6F" w:rsidP="00FB7349">
      <w:r>
        <w:separator/>
      </w:r>
    </w:p>
  </w:footnote>
  <w:footnote w:type="continuationSeparator" w:id="0">
    <w:p w:rsidR="006A2A6F" w:rsidRDefault="006A2A6F" w:rsidP="00FB73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349"/>
    <w:rsid w:val="000A2869"/>
    <w:rsid w:val="00234DBB"/>
    <w:rsid w:val="006A2A6F"/>
    <w:rsid w:val="007C448E"/>
    <w:rsid w:val="008921F1"/>
    <w:rsid w:val="00B55238"/>
    <w:rsid w:val="00D42BB0"/>
    <w:rsid w:val="00FB73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3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73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B7349"/>
    <w:rPr>
      <w:sz w:val="18"/>
      <w:szCs w:val="18"/>
    </w:rPr>
  </w:style>
  <w:style w:type="paragraph" w:styleId="a4">
    <w:name w:val="footer"/>
    <w:basedOn w:val="a"/>
    <w:link w:val="Char0"/>
    <w:uiPriority w:val="99"/>
    <w:semiHidden/>
    <w:unhideWhenUsed/>
    <w:rsid w:val="00FB734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734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2020-03-30T04:20:00Z</dcterms:created>
  <dcterms:modified xsi:type="dcterms:W3CDTF">2020-03-30T04:21:00Z</dcterms:modified>
</cp:coreProperties>
</file>