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0"/>
        <w:rPr>
          <w:color w:val="auto"/>
          <w:sz w:val="20"/>
          <w:highlight w:val="none"/>
        </w:rPr>
      </w:pPr>
    </w:p>
    <w:p>
      <w:pPr>
        <w:pStyle w:val="20"/>
        <w:rPr>
          <w:color w:val="auto"/>
          <w:sz w:val="19"/>
          <w:highlight w:val="none"/>
        </w:rPr>
      </w:pPr>
    </w:p>
    <w:p>
      <w:pPr>
        <w:tabs>
          <w:tab w:val="left" w:pos="2901"/>
          <w:tab w:val="left" w:pos="5695"/>
        </w:tabs>
        <w:jc w:val="center"/>
        <w:rPr>
          <w:rFonts w:asciiTheme="minorEastAsia" w:hAnsiTheme="minorEastAsia" w:eastAsiaTheme="minorEastAsia"/>
          <w:b/>
          <w:bCs/>
          <w:color w:val="auto"/>
          <w:sz w:val="52"/>
          <w:szCs w:val="52"/>
          <w:highlight w:val="none"/>
          <w:lang w:val="en-US"/>
        </w:rPr>
      </w:pPr>
    </w:p>
    <w:p>
      <w:pPr>
        <w:tabs>
          <w:tab w:val="left" w:pos="2901"/>
          <w:tab w:val="left" w:pos="5695"/>
        </w:tabs>
        <w:spacing w:line="360" w:lineRule="auto"/>
        <w:jc w:val="center"/>
        <w:rPr>
          <w:rFonts w:hint="eastAsia"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bCs/>
          <w:color w:val="auto"/>
          <w:sz w:val="48"/>
          <w:szCs w:val="48"/>
          <w:highlight w:val="none"/>
          <w:lang w:val="en-US" w:eastAsia="zh-CN"/>
        </w:rPr>
        <w:t>鞍山市库盘线张荒地辽河大桥维修加固工程</w:t>
      </w:r>
    </w:p>
    <w:p>
      <w:pPr>
        <w:ind w:left="1098" w:right="1061"/>
        <w:jc w:val="center"/>
        <w:rPr>
          <w:rFonts w:ascii="黑体" w:eastAsia="黑体"/>
          <w:color w:val="auto"/>
          <w:sz w:val="72"/>
          <w:szCs w:val="72"/>
          <w:highlight w:val="none"/>
        </w:rPr>
      </w:pPr>
    </w:p>
    <w:p>
      <w:pPr>
        <w:ind w:left="1098" w:right="1061"/>
        <w:jc w:val="center"/>
        <w:rPr>
          <w:rFonts w:ascii="黑体" w:eastAsia="黑体"/>
          <w:color w:val="auto"/>
          <w:sz w:val="72"/>
          <w:szCs w:val="72"/>
          <w:highlight w:val="none"/>
        </w:rPr>
      </w:pPr>
      <w:r>
        <w:rPr>
          <w:rFonts w:hint="eastAsia" w:ascii="黑体" w:eastAsia="黑体"/>
          <w:color w:val="auto"/>
          <w:sz w:val="72"/>
          <w:szCs w:val="72"/>
          <w:highlight w:val="none"/>
        </w:rPr>
        <w:t>招 标 文 件</w:t>
      </w:r>
    </w:p>
    <w:p>
      <w:pPr>
        <w:pStyle w:val="20"/>
        <w:rPr>
          <w:rFonts w:ascii="黑体"/>
          <w:color w:val="auto"/>
          <w:sz w:val="50"/>
          <w:highlight w:val="none"/>
        </w:rPr>
      </w:pPr>
    </w:p>
    <w:p>
      <w:pPr>
        <w:tabs>
          <w:tab w:val="left" w:pos="3189"/>
        </w:tabs>
        <w:ind w:left="39"/>
        <w:jc w:val="center"/>
        <w:rPr>
          <w:rFonts w:ascii="黑体" w:eastAsia="黑体"/>
          <w:color w:val="auto"/>
          <w:sz w:val="28"/>
          <w:highlight w:val="none"/>
        </w:rPr>
      </w:pPr>
      <w:r>
        <w:rPr>
          <w:rFonts w:hint="eastAsia" w:ascii="黑体" w:eastAsia="黑体"/>
          <w:color w:val="auto"/>
          <w:sz w:val="28"/>
          <w:highlight w:val="none"/>
        </w:rPr>
        <w:t>（招标</w:t>
      </w:r>
      <w:r>
        <w:rPr>
          <w:rFonts w:hint="eastAsia" w:ascii="黑体" w:eastAsia="黑体"/>
          <w:color w:val="auto"/>
          <w:spacing w:val="-3"/>
          <w:sz w:val="28"/>
          <w:highlight w:val="none"/>
        </w:rPr>
        <w:t>编</w:t>
      </w:r>
      <w:r>
        <w:rPr>
          <w:rFonts w:hint="eastAsia" w:ascii="黑体" w:eastAsia="黑体"/>
          <w:color w:val="auto"/>
          <w:sz w:val="28"/>
          <w:highlight w:val="none"/>
        </w:rPr>
        <w:t>号：LNZB02-ZBR2021-512）</w:t>
      </w:r>
    </w:p>
    <w:p>
      <w:pPr>
        <w:pStyle w:val="20"/>
        <w:rPr>
          <w:rFonts w:ascii="黑体"/>
          <w:color w:val="auto"/>
          <w:sz w:val="50"/>
          <w:highlight w:val="none"/>
        </w:rPr>
      </w:pPr>
    </w:p>
    <w:p>
      <w:pPr>
        <w:pStyle w:val="20"/>
        <w:rPr>
          <w:rFonts w:ascii="黑体"/>
          <w:color w:val="auto"/>
          <w:sz w:val="50"/>
          <w:highlight w:val="none"/>
        </w:rPr>
      </w:pPr>
    </w:p>
    <w:p>
      <w:pPr>
        <w:pStyle w:val="20"/>
        <w:rPr>
          <w:rFonts w:ascii="黑体"/>
          <w:color w:val="auto"/>
          <w:sz w:val="50"/>
          <w:highlight w:val="none"/>
        </w:rPr>
      </w:pPr>
    </w:p>
    <w:p>
      <w:pPr>
        <w:pStyle w:val="20"/>
        <w:rPr>
          <w:rFonts w:ascii="黑体"/>
          <w:color w:val="auto"/>
          <w:sz w:val="50"/>
          <w:highlight w:val="none"/>
        </w:rPr>
      </w:pPr>
    </w:p>
    <w:p>
      <w:pPr>
        <w:pStyle w:val="20"/>
        <w:rPr>
          <w:rFonts w:ascii="黑体"/>
          <w:color w:val="auto"/>
          <w:sz w:val="50"/>
          <w:highlight w:val="none"/>
        </w:rPr>
      </w:pPr>
    </w:p>
    <w:p>
      <w:pPr>
        <w:pStyle w:val="20"/>
        <w:rPr>
          <w:rFonts w:ascii="黑体"/>
          <w:color w:val="auto"/>
          <w:sz w:val="50"/>
          <w:highlight w:val="none"/>
        </w:rPr>
      </w:pPr>
    </w:p>
    <w:p>
      <w:pPr>
        <w:pStyle w:val="20"/>
        <w:rPr>
          <w:rFonts w:ascii="黑体"/>
          <w:color w:val="auto"/>
          <w:sz w:val="50"/>
          <w:highlight w:val="none"/>
        </w:rPr>
      </w:pPr>
    </w:p>
    <w:p>
      <w:pPr>
        <w:pStyle w:val="20"/>
        <w:spacing w:before="3"/>
        <w:rPr>
          <w:rFonts w:ascii="黑体"/>
          <w:color w:val="auto"/>
          <w:sz w:val="36"/>
          <w:highlight w:val="none"/>
        </w:rPr>
      </w:pPr>
    </w:p>
    <w:p>
      <w:pPr>
        <w:tabs>
          <w:tab w:val="left" w:pos="3256"/>
        </w:tabs>
        <w:spacing w:before="1"/>
        <w:ind w:left="36"/>
        <w:jc w:val="center"/>
        <w:rPr>
          <w:rFonts w:ascii="黑体" w:eastAsia="黑体"/>
          <w:color w:val="auto"/>
          <w:sz w:val="28"/>
          <w:highlight w:val="none"/>
        </w:rPr>
      </w:pPr>
      <w:r>
        <w:rPr>
          <w:rFonts w:hint="eastAsia" w:ascii="黑体" w:eastAsia="黑体"/>
          <w:color w:val="auto"/>
          <w:sz w:val="28"/>
          <w:highlight w:val="none"/>
        </w:rPr>
        <w:t>招标人：</w:t>
      </w:r>
      <w:r>
        <w:rPr>
          <w:rFonts w:hint="eastAsia" w:ascii="黑体" w:eastAsia="黑体"/>
          <w:bCs/>
          <w:color w:val="auto"/>
          <w:sz w:val="28"/>
          <w:highlight w:val="none"/>
          <w:lang w:val="en-US"/>
        </w:rPr>
        <w:t>鞍山市交通运输事务服务中心</w:t>
      </w:r>
    </w:p>
    <w:p>
      <w:pPr>
        <w:pStyle w:val="20"/>
        <w:spacing w:before="8"/>
        <w:rPr>
          <w:rFonts w:ascii="黑体"/>
          <w:color w:val="auto"/>
          <w:sz w:val="26"/>
          <w:highlight w:val="none"/>
        </w:rPr>
      </w:pPr>
    </w:p>
    <w:p>
      <w:pPr>
        <w:tabs>
          <w:tab w:val="left" w:pos="4098"/>
        </w:tabs>
        <w:spacing w:before="1"/>
        <w:ind w:left="39"/>
        <w:jc w:val="center"/>
        <w:rPr>
          <w:rFonts w:ascii="黑体" w:eastAsia="黑体"/>
          <w:color w:val="auto"/>
          <w:sz w:val="28"/>
          <w:highlight w:val="none"/>
        </w:rPr>
      </w:pPr>
      <w:r>
        <w:rPr>
          <w:rFonts w:hint="eastAsia" w:ascii="黑体" w:eastAsia="黑体"/>
          <w:color w:val="auto"/>
          <w:sz w:val="28"/>
          <w:highlight w:val="none"/>
        </w:rPr>
        <w:t>招标代理机构：</w:t>
      </w:r>
      <w:r>
        <w:rPr>
          <w:rFonts w:hint="eastAsia" w:ascii="黑体" w:eastAsia="黑体"/>
          <w:color w:val="auto"/>
          <w:sz w:val="28"/>
          <w:highlight w:val="none"/>
          <w:lang w:val="en-US"/>
        </w:rPr>
        <w:t>辽宁工程招标有限公</w:t>
      </w:r>
      <w:r>
        <w:rPr>
          <w:rFonts w:hint="eastAsia" w:ascii="黑体" w:eastAsia="黑体"/>
          <w:bCs/>
          <w:color w:val="auto"/>
          <w:sz w:val="28"/>
          <w:highlight w:val="none"/>
          <w:lang w:val="en-US"/>
        </w:rPr>
        <w:t>司</w:t>
      </w:r>
    </w:p>
    <w:p>
      <w:pPr>
        <w:rPr>
          <w:rFonts w:ascii="黑体" w:eastAsia="黑体"/>
          <w:color w:val="auto"/>
          <w:sz w:val="28"/>
          <w:highlight w:val="none"/>
        </w:rPr>
      </w:pPr>
    </w:p>
    <w:p>
      <w:pPr>
        <w:jc w:val="center"/>
        <w:rPr>
          <w:rFonts w:ascii="黑体" w:eastAsia="黑体"/>
          <w:color w:val="auto"/>
          <w:sz w:val="28"/>
          <w:highlight w:val="none"/>
          <w:lang w:val="en-US"/>
        </w:rPr>
        <w:sectPr>
          <w:footerReference r:id="rId5" w:type="default"/>
          <w:headerReference r:id="rId4" w:type="even"/>
          <w:footerReference r:id="rId6" w:type="even"/>
          <w:pgSz w:w="11907" w:h="16840"/>
          <w:pgMar w:top="1418" w:right="1191" w:bottom="1418" w:left="1191" w:header="1134" w:footer="1134" w:gutter="0"/>
          <w:cols w:space="720" w:num="1"/>
          <w:titlePg/>
          <w:docGrid w:linePitch="299" w:charSpace="0"/>
        </w:sectPr>
      </w:pPr>
      <w:r>
        <w:rPr>
          <w:rFonts w:hint="eastAsia" w:ascii="黑体" w:eastAsia="黑体"/>
          <w:color w:val="auto"/>
          <w:sz w:val="28"/>
          <w:highlight w:val="none"/>
          <w:lang w:val="en-US"/>
        </w:rPr>
        <w:t>2021年4月</w:t>
      </w:r>
    </w:p>
    <w:p>
      <w:pPr>
        <w:pStyle w:val="20"/>
        <w:spacing w:before="5"/>
        <w:rPr>
          <w:rFonts w:ascii="黑体"/>
          <w:color w:val="auto"/>
          <w:sz w:val="27"/>
          <w:highlight w:val="none"/>
        </w:rPr>
      </w:pPr>
    </w:p>
    <w:p>
      <w:pPr>
        <w:pStyle w:val="20"/>
        <w:spacing w:before="5"/>
        <w:rPr>
          <w:rFonts w:ascii="黑体"/>
          <w:color w:val="auto"/>
          <w:sz w:val="27"/>
          <w:highlight w:val="none"/>
        </w:rPr>
      </w:pPr>
    </w:p>
    <w:p>
      <w:pPr>
        <w:spacing w:line="360" w:lineRule="auto"/>
        <w:jc w:val="center"/>
        <w:rPr>
          <w:rFonts w:hint="eastAsia" w:ascii="宋体" w:hAnsi="宋体" w:cs="新宋体"/>
          <w:b/>
          <w:kern w:val="0"/>
          <w:sz w:val="44"/>
          <w:szCs w:val="44"/>
        </w:rPr>
      </w:pPr>
      <w:r>
        <w:rPr>
          <w:rFonts w:hint="eastAsia" w:ascii="宋体" w:hAnsi="宋体" w:cs="新宋体"/>
          <w:b/>
          <w:kern w:val="0"/>
          <w:sz w:val="44"/>
          <w:szCs w:val="44"/>
        </w:rPr>
        <w:t>使 用 说 明</w:t>
      </w:r>
    </w:p>
    <w:p>
      <w:pPr>
        <w:spacing w:line="360" w:lineRule="auto"/>
        <w:jc w:val="center"/>
        <w:rPr>
          <w:rFonts w:hint="eastAsia" w:ascii="宋体" w:hAnsi="宋体" w:cs="新宋体"/>
          <w:b/>
          <w:kern w:val="0"/>
          <w:sz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一、为加强公路工程施工招标管理，规范招标文件编制工作，交通运输部公路局会同国家发展改革委法规司，组织华杰工程咨询有限公司和国内专家对《公路工程标准施工招标文件)) (2009年版 )进行修订并经审定形成了《公路工程标准施工招标文件》(2018年版)(以下简称《公路工程标准招标文件》)。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二、《公路工程标准招标文件》以国家九部委《标准施工招标文件 )) (以下简称《标准招标文件》)为基础，以《中华人民共和国招标投标法》、《中华人民共和国招标投标法实施条例》、《公路工程建设项目招标投标管理办法》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cs="新宋体"/>
          <w:kern w:val="0"/>
          <w:sz w:val="24"/>
        </w:rPr>
      </w:pPr>
      <w:r>
        <w:rPr>
          <w:rFonts w:hint="eastAsia" w:ascii="宋体" w:hAnsi="宋体" w:cs="新宋体"/>
          <w:kern w:val="0"/>
          <w:sz w:val="24"/>
        </w:rPr>
        <w:t>(交通运输部令 2015年第 24号)等法律法规和部门规章为依据，结合公路工程施工招标特点和管理需要编制而成。《标准招标文件》规定通用部分，《公路工程标准招标文件》规定公路工程内容，两者结合使用，其中《公路工程标准招标文件》不加修改地引用了《标准招标文件》的部分只标注相关条款号，其内容详见《标准招标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三、《公路工程标准招标文件》适用于依法必须进行招标的各等级公路和桥梁、隧道建设项目，其他公路项目可参照执行。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四、招标人根据《公路工程标准招标文件》编制项目招标文件时，不得修改“投标人须知</w:t>
      </w:r>
      <w:r>
        <w:rPr>
          <w:rFonts w:ascii="宋体" w:hAnsi="宋体" w:cs="新宋体"/>
          <w:kern w:val="0"/>
          <w:sz w:val="24"/>
        </w:rPr>
        <w:t>”</w:t>
      </w:r>
      <w:r>
        <w:rPr>
          <w:rFonts w:hint="eastAsia" w:ascii="宋体" w:hAnsi="宋体" w:cs="新宋体"/>
          <w:kern w:val="0"/>
          <w:sz w:val="24"/>
        </w:rPr>
        <w:t>正文和“评标办法</w:t>
      </w:r>
      <w:r>
        <w:rPr>
          <w:rFonts w:ascii="宋体" w:hAnsi="宋体" w:cs="新宋体"/>
          <w:kern w:val="0"/>
          <w:sz w:val="24"/>
        </w:rPr>
        <w:t>”</w:t>
      </w:r>
      <w:r>
        <w:rPr>
          <w:rFonts w:hint="eastAsia" w:ascii="宋体" w:hAnsi="宋体" w:cs="新宋体"/>
          <w:kern w:val="0"/>
          <w:sz w:val="24"/>
        </w:rPr>
        <w:t>正文，但可在前附表中对“投标人须知</w:t>
      </w:r>
      <w:r>
        <w:rPr>
          <w:rFonts w:ascii="宋体" w:hAnsi="宋体" w:cs="新宋体"/>
          <w:kern w:val="0"/>
          <w:sz w:val="24"/>
        </w:rPr>
        <w:t>”</w:t>
      </w:r>
      <w:r>
        <w:rPr>
          <w:rFonts w:hint="eastAsia" w:ascii="宋体" w:hAnsi="宋体" w:cs="新宋体"/>
          <w:kern w:val="0"/>
          <w:sz w:val="24"/>
        </w:rPr>
        <w:t>和“评标办法</w:t>
      </w:r>
      <w:r>
        <w:rPr>
          <w:rFonts w:ascii="宋体" w:hAnsi="宋体" w:cs="新宋体"/>
          <w:kern w:val="0"/>
          <w:sz w:val="24"/>
        </w:rPr>
        <w:t>”</w:t>
      </w:r>
      <w:r>
        <w:rPr>
          <w:rFonts w:hint="eastAsia" w:ascii="宋体" w:hAnsi="宋体" w:cs="新宋体"/>
          <w:kern w:val="0"/>
          <w:sz w:val="24"/>
        </w:rPr>
        <w:t>进行补充、细化，补充和细化的内容不得与“投标人须知</w:t>
      </w:r>
      <w:r>
        <w:rPr>
          <w:rFonts w:ascii="宋体" w:hAnsi="宋体" w:cs="新宋体"/>
          <w:kern w:val="0"/>
          <w:sz w:val="24"/>
        </w:rPr>
        <w:t>”</w:t>
      </w:r>
      <w:r>
        <w:rPr>
          <w:rFonts w:hint="eastAsia" w:ascii="宋体" w:hAnsi="宋体" w:cs="新宋体"/>
          <w:kern w:val="0"/>
          <w:sz w:val="24"/>
        </w:rPr>
        <w:t>和“评标办法</w:t>
      </w:r>
      <w:r>
        <w:rPr>
          <w:rFonts w:ascii="宋体" w:hAnsi="宋体" w:cs="新宋体"/>
          <w:kern w:val="0"/>
          <w:sz w:val="24"/>
        </w:rPr>
        <w:t>”</w:t>
      </w:r>
      <w:r>
        <w:rPr>
          <w:rFonts w:hint="eastAsia" w:ascii="宋体" w:hAnsi="宋体" w:cs="新宋体"/>
          <w:kern w:val="0"/>
          <w:sz w:val="24"/>
        </w:rPr>
        <w:t>正文内容相抵触。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五、招标人在根据《公路工程标准招标文件》编制项目招标文件中的“项目专用合同条款</w:t>
      </w:r>
      <w:r>
        <w:rPr>
          <w:rFonts w:ascii="宋体" w:hAnsi="宋体" w:cs="新宋体"/>
          <w:kern w:val="0"/>
          <w:sz w:val="24"/>
        </w:rPr>
        <w:t>”</w:t>
      </w:r>
      <w:r>
        <w:rPr>
          <w:rFonts w:hint="eastAsia" w:ascii="宋体" w:hAnsi="宋体" w:cs="新宋体"/>
          <w:kern w:val="0"/>
          <w:sz w:val="24"/>
        </w:rPr>
        <w:t>时，可根据招标项目的具体特点和实际需要，对“通用合同条款</w:t>
      </w:r>
      <w:r>
        <w:rPr>
          <w:rFonts w:ascii="宋体" w:hAnsi="宋体" w:cs="新宋体"/>
          <w:kern w:val="0"/>
          <w:sz w:val="24"/>
        </w:rPr>
        <w:t>”</w:t>
      </w:r>
      <w:r>
        <w:rPr>
          <w:rFonts w:hint="eastAsia" w:ascii="宋体" w:hAnsi="宋体" w:cs="新宋体"/>
          <w:kern w:val="0"/>
          <w:sz w:val="24"/>
        </w:rPr>
        <w:t>及“公路工程专用合同条款</w:t>
      </w:r>
      <w:r>
        <w:rPr>
          <w:rFonts w:ascii="宋体" w:hAnsi="宋体" w:cs="新宋体"/>
          <w:kern w:val="0"/>
          <w:sz w:val="24"/>
        </w:rPr>
        <w:t>”</w:t>
      </w:r>
      <w:r>
        <w:rPr>
          <w:rFonts w:hint="eastAsia" w:ascii="宋体" w:hAnsi="宋体" w:cs="新宋体"/>
          <w:kern w:val="0"/>
          <w:sz w:val="24"/>
        </w:rPr>
        <w:t>进行补充、细化，除“通用合同条款</w:t>
      </w:r>
      <w:r>
        <w:rPr>
          <w:rFonts w:ascii="宋体" w:hAnsi="宋体" w:cs="新宋体"/>
          <w:kern w:val="0"/>
          <w:sz w:val="24"/>
        </w:rPr>
        <w:t>”</w:t>
      </w:r>
      <w:r>
        <w:rPr>
          <w:rFonts w:hint="eastAsia" w:ascii="宋体" w:hAnsi="宋体" w:cs="新宋体"/>
          <w:kern w:val="0"/>
          <w:sz w:val="24"/>
        </w:rPr>
        <w:t>明确“专用合同条款</w:t>
      </w:r>
      <w:r>
        <w:rPr>
          <w:rFonts w:ascii="宋体" w:hAnsi="宋体" w:cs="新宋体"/>
          <w:kern w:val="0"/>
          <w:sz w:val="24"/>
        </w:rPr>
        <w:t>”</w:t>
      </w:r>
      <w:r>
        <w:rPr>
          <w:rFonts w:hint="eastAsia" w:ascii="宋体" w:hAnsi="宋体" w:cs="新宋体"/>
          <w:kern w:val="0"/>
          <w:sz w:val="24"/>
        </w:rPr>
        <w:t>可作出不同约定以及“公路工程专用合同条款</w:t>
      </w:r>
      <w:r>
        <w:rPr>
          <w:rFonts w:ascii="宋体" w:hAnsi="宋体" w:cs="新宋体"/>
          <w:kern w:val="0"/>
          <w:sz w:val="24"/>
        </w:rPr>
        <w:t>”</w:t>
      </w:r>
      <w:r>
        <w:rPr>
          <w:rFonts w:hint="eastAsia" w:ascii="宋体" w:hAnsi="宋体" w:cs="新宋体"/>
          <w:kern w:val="0"/>
          <w:sz w:val="24"/>
        </w:rPr>
        <w:t>明确“项目专用合同条款</w:t>
      </w:r>
      <w:r>
        <w:rPr>
          <w:rFonts w:ascii="宋体" w:hAnsi="宋体" w:cs="新宋体"/>
          <w:kern w:val="0"/>
          <w:sz w:val="24"/>
        </w:rPr>
        <w:t>”</w:t>
      </w:r>
      <w:r>
        <w:rPr>
          <w:rFonts w:hint="eastAsia" w:ascii="宋体" w:hAnsi="宋体" w:cs="新宋体"/>
          <w:kern w:val="0"/>
          <w:sz w:val="24"/>
        </w:rPr>
        <w:t>可作出不同约定外，补充和细化的内容不得与“通用合同条款</w:t>
      </w:r>
      <w:r>
        <w:rPr>
          <w:rFonts w:ascii="宋体" w:hAnsi="宋体" w:cs="新宋体"/>
          <w:kern w:val="0"/>
          <w:sz w:val="24"/>
        </w:rPr>
        <w:t>”</w:t>
      </w:r>
      <w:r>
        <w:rPr>
          <w:rFonts w:hint="eastAsia" w:ascii="宋体" w:hAnsi="宋体" w:cs="新宋体"/>
          <w:kern w:val="0"/>
          <w:sz w:val="24"/>
        </w:rPr>
        <w:t>及“公路工程专用合同条款</w:t>
      </w:r>
      <w:r>
        <w:rPr>
          <w:rFonts w:ascii="宋体" w:hAnsi="宋体" w:cs="新宋体"/>
          <w:kern w:val="0"/>
          <w:sz w:val="24"/>
        </w:rPr>
        <w:t>”</w:t>
      </w:r>
      <w:r>
        <w:rPr>
          <w:rFonts w:hint="eastAsia" w:ascii="宋体" w:hAnsi="宋体" w:cs="新宋体"/>
          <w:kern w:val="0"/>
          <w:sz w:val="24"/>
        </w:rPr>
        <w:t>强制性规定相抵触。同时，补充、细化或约定的不同内容，不得违反法律、行政法规的强制性规定和平等、自愿、公平和诚实信用原则。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 xml:space="preserve">六、《公路工程标准招标文件》用相同序号标示的章、节、条、款、项、目，供招标人选择使用；以空格标示的部分，招标人应根据招标项目具体特点和实际需要进行填写，确实没有需要填写的，在空格中用“/ </w:t>
      </w:r>
      <w:r>
        <w:rPr>
          <w:rFonts w:ascii="宋体" w:hAnsi="宋体" w:cs="新宋体"/>
          <w:kern w:val="0"/>
          <w:sz w:val="24"/>
        </w:rPr>
        <w:t>”</w:t>
      </w:r>
      <w:r>
        <w:rPr>
          <w:rFonts w:hint="eastAsia" w:ascii="宋体" w:hAnsi="宋体" w:cs="新宋体"/>
          <w:kern w:val="0"/>
          <w:sz w:val="24"/>
        </w:rPr>
        <w:t>标示。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七、招标人按照《公路工程标准招标文件》第一章的格式发布招标公告或发出投标邀请书后，将实际发布的招标公告或实际发出的投标邀请书编入出售的招标文件中，作为招标文件的组成部分。其中，招标公告应同时注明发布的所有媒介名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八、《公路工程标准招标文件》第三章“评标办法</w:t>
      </w:r>
      <w:r>
        <w:rPr>
          <w:rFonts w:ascii="宋体" w:hAnsi="宋体" w:cs="新宋体"/>
          <w:kern w:val="0"/>
          <w:sz w:val="24"/>
        </w:rPr>
        <w:t>”</w:t>
      </w:r>
      <w:r>
        <w:rPr>
          <w:rFonts w:hint="eastAsia" w:ascii="宋体" w:hAnsi="宋体" w:cs="新宋体"/>
          <w:kern w:val="0"/>
          <w:sz w:val="24"/>
        </w:rPr>
        <w:t>分别规定合理低价法、技术评分最低标价法、综合评分法和经评审的最低投标价法四种评标方法。公路工程施工招标评标，一般采用合理低价法或技术评分最低标价法。技术特别复杂的特大桥梁和特长隧道项目主体工程，可以采用综合评分法。工程规模较小、技术含量较低的工程，可以采用经评审的最低投标价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第三章“评标办法</w:t>
      </w:r>
      <w:r>
        <w:rPr>
          <w:rFonts w:ascii="宋体" w:hAnsi="宋体" w:cs="新宋体"/>
          <w:kern w:val="0"/>
          <w:sz w:val="24"/>
        </w:rPr>
        <w:t>”</w:t>
      </w:r>
      <w:r>
        <w:rPr>
          <w:rFonts w:hint="eastAsia" w:ascii="宋体" w:hAnsi="宋体" w:cs="新宋体"/>
          <w:kern w:val="0"/>
          <w:sz w:val="24"/>
        </w:rPr>
        <w:t>前附表应列明全部评审因素和评审标准，并在本章(前附表及正文)标明投标人不满足要求即导致否决投标的全部条款。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招标人选择适用技术评分最低标价法、综合评分法的，在满足第三章“评标办法</w:t>
      </w:r>
      <w:r>
        <w:rPr>
          <w:rFonts w:ascii="宋体" w:hAnsi="宋体" w:cs="新宋体"/>
          <w:kern w:val="0"/>
          <w:sz w:val="24"/>
        </w:rPr>
        <w:t>”</w:t>
      </w:r>
      <w:r>
        <w:rPr>
          <w:rFonts w:hint="eastAsia" w:ascii="宋体" w:hAnsi="宋体" w:cs="新宋体"/>
          <w:kern w:val="0"/>
          <w:sz w:val="24"/>
        </w:rPr>
        <w:t>相关注释的前提下，各评审因素的评审标准和分值等由招标人根据项目特点和需要合理确定。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九、第五章“工程量清单</w:t>
      </w:r>
      <w:r>
        <w:rPr>
          <w:rFonts w:ascii="宋体" w:hAnsi="宋体" w:cs="新宋体"/>
          <w:kern w:val="0"/>
          <w:sz w:val="24"/>
        </w:rPr>
        <w:t>”</w:t>
      </w:r>
      <w:r>
        <w:rPr>
          <w:rFonts w:hint="eastAsia" w:ascii="宋体" w:hAnsi="宋体" w:cs="新宋体"/>
          <w:kern w:val="0"/>
          <w:sz w:val="24"/>
        </w:rPr>
        <w:t>由招标人根据《公路工程标准招标文件》、招标项目具体特点和实际需要编制，并与“投标人须知</w:t>
      </w:r>
      <w:r>
        <w:rPr>
          <w:rFonts w:ascii="宋体" w:hAnsi="宋体" w:cs="新宋体"/>
          <w:kern w:val="0"/>
          <w:sz w:val="24"/>
        </w:rPr>
        <w:t>”</w:t>
      </w:r>
      <w:r>
        <w:rPr>
          <w:rFonts w:hint="eastAsia" w:ascii="宋体" w:hAnsi="宋体" w:cs="新宋体"/>
          <w:kern w:val="0"/>
          <w:sz w:val="24"/>
        </w:rPr>
        <w:t>、“通用合同条款</w:t>
      </w:r>
      <w:r>
        <w:rPr>
          <w:rFonts w:ascii="宋体" w:hAnsi="宋体" w:cs="新宋体"/>
          <w:kern w:val="0"/>
          <w:sz w:val="24"/>
        </w:rPr>
        <w:t>”</w:t>
      </w:r>
      <w:r>
        <w:rPr>
          <w:rFonts w:hint="eastAsia" w:ascii="宋体" w:hAnsi="宋体" w:cs="新宋体"/>
          <w:kern w:val="0"/>
          <w:sz w:val="24"/>
        </w:rPr>
        <w:t>、 “专用合同条款</w:t>
      </w:r>
      <w:r>
        <w:rPr>
          <w:rFonts w:ascii="宋体" w:hAnsi="宋体" w:cs="新宋体"/>
          <w:kern w:val="0"/>
          <w:sz w:val="24"/>
        </w:rPr>
        <w:t>”</w:t>
      </w:r>
      <w:r>
        <w:rPr>
          <w:rFonts w:hint="eastAsia" w:ascii="宋体" w:hAnsi="宋体" w:cs="新宋体"/>
          <w:kern w:val="0"/>
          <w:sz w:val="24"/>
        </w:rPr>
        <w:t>、“技术规范</w:t>
      </w:r>
      <w:r>
        <w:rPr>
          <w:rFonts w:ascii="宋体" w:hAnsi="宋体" w:cs="新宋体"/>
          <w:kern w:val="0"/>
          <w:sz w:val="24"/>
        </w:rPr>
        <w:t>”</w:t>
      </w:r>
      <w:r>
        <w:rPr>
          <w:rFonts w:hint="eastAsia" w:ascii="宋体" w:hAnsi="宋体" w:cs="新宋体"/>
          <w:kern w:val="0"/>
          <w:sz w:val="24"/>
        </w:rPr>
        <w:t>、“工程量清单计量规则</w:t>
      </w:r>
      <w:r>
        <w:rPr>
          <w:rFonts w:ascii="宋体" w:hAnsi="宋体" w:cs="新宋体"/>
          <w:kern w:val="0"/>
          <w:sz w:val="24"/>
        </w:rPr>
        <w:t>”</w:t>
      </w:r>
      <w:r>
        <w:rPr>
          <w:rFonts w:hint="eastAsia" w:ascii="宋体" w:hAnsi="宋体" w:cs="新宋体"/>
          <w:kern w:val="0"/>
          <w:sz w:val="24"/>
        </w:rPr>
        <w:t>、“图纸"相衔接。第五章所附表格可根据有关规定作相应的调整和补充。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十、第六章“图纸</w:t>
      </w:r>
      <w:r>
        <w:rPr>
          <w:rFonts w:ascii="宋体" w:hAnsi="宋体" w:cs="新宋体"/>
          <w:kern w:val="0"/>
          <w:sz w:val="24"/>
        </w:rPr>
        <w:t>”</w:t>
      </w:r>
      <w:r>
        <w:rPr>
          <w:rFonts w:hint="eastAsia" w:ascii="宋体" w:hAnsi="宋体" w:cs="新宋体"/>
          <w:kern w:val="0"/>
          <w:sz w:val="24"/>
        </w:rPr>
        <w:t>由招标人根据《公路工程标准招标文件》、招标项目具体特点和实际需要编制，并与“投标人须知</w:t>
      </w:r>
      <w:r>
        <w:rPr>
          <w:rFonts w:ascii="宋体" w:hAnsi="宋体" w:cs="新宋体"/>
          <w:kern w:val="0"/>
          <w:sz w:val="24"/>
        </w:rPr>
        <w:t>”</w:t>
      </w:r>
      <w:r>
        <w:rPr>
          <w:rFonts w:hint="eastAsia" w:ascii="宋体" w:hAnsi="宋体" w:cs="新宋体"/>
          <w:kern w:val="0"/>
          <w:sz w:val="24"/>
        </w:rPr>
        <w:t>、 “通用合同条款</w:t>
      </w:r>
      <w:r>
        <w:rPr>
          <w:rFonts w:ascii="宋体" w:hAnsi="宋体" w:cs="新宋体"/>
          <w:kern w:val="0"/>
          <w:sz w:val="24"/>
        </w:rPr>
        <w:t>”</w:t>
      </w:r>
      <w:r>
        <w:rPr>
          <w:rFonts w:hint="eastAsia" w:ascii="宋体" w:hAnsi="宋体" w:cs="新宋体"/>
          <w:kern w:val="0"/>
          <w:sz w:val="24"/>
        </w:rPr>
        <w:t>、 “专用合同条款</w:t>
      </w:r>
      <w:r>
        <w:rPr>
          <w:rFonts w:ascii="宋体" w:hAnsi="宋体" w:cs="新宋体"/>
          <w:kern w:val="0"/>
          <w:sz w:val="24"/>
        </w:rPr>
        <w:t>”</w:t>
      </w:r>
      <w:r>
        <w:rPr>
          <w:rFonts w:hint="eastAsia" w:ascii="宋体" w:hAnsi="宋体" w:cs="新宋体"/>
          <w:kern w:val="0"/>
          <w:sz w:val="24"/>
        </w:rPr>
        <w:t>、 “技术规范</w:t>
      </w:r>
      <w:r>
        <w:rPr>
          <w:rFonts w:ascii="宋体" w:hAnsi="宋体" w:cs="新宋体"/>
          <w:kern w:val="0"/>
          <w:sz w:val="24"/>
        </w:rPr>
        <w:t>”</w:t>
      </w:r>
      <w:r>
        <w:rPr>
          <w:rFonts w:hint="eastAsia" w:ascii="宋体" w:hAnsi="宋体" w:cs="新宋体"/>
          <w:kern w:val="0"/>
          <w:sz w:val="24"/>
        </w:rPr>
        <w:t>相衔接。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十一、第七章“技术规范</w:t>
      </w:r>
      <w:r>
        <w:rPr>
          <w:rFonts w:ascii="宋体" w:hAnsi="宋体" w:cs="新宋体"/>
          <w:kern w:val="0"/>
          <w:sz w:val="24"/>
        </w:rPr>
        <w:t>”</w:t>
      </w:r>
      <w:r>
        <w:rPr>
          <w:rFonts w:hint="eastAsia" w:ascii="宋体" w:hAnsi="宋体" w:cs="新宋体"/>
          <w:kern w:val="0"/>
          <w:sz w:val="24"/>
        </w:rPr>
        <w:t>、第八章“工程量清单计量规则</w:t>
      </w:r>
      <w:r>
        <w:rPr>
          <w:rFonts w:ascii="宋体" w:hAnsi="宋体" w:cs="新宋体"/>
          <w:kern w:val="0"/>
          <w:sz w:val="24"/>
        </w:rPr>
        <w:t>”</w:t>
      </w:r>
      <w:r>
        <w:rPr>
          <w:rFonts w:hint="eastAsia" w:ascii="宋体" w:hAnsi="宋体" w:cs="新宋体"/>
          <w:kern w:val="0"/>
          <w:sz w:val="24"/>
        </w:rPr>
        <w:t>由招标人根据《公路工程标准招标文件》、招标项目具体特点和实际需要编制。"技术规范"中的各项技术标准应符合国家强制性标准，不得要求或标明某一特定的专利、商标、名称、设计、原产地或生产供应者，不得含有倾向或排斥潜在投标人的其他内容。如果必须引用某一生产供应者的技术标准才能准确或清楚地说明拟招标项目的技术标准时，则应在参照后面加上"或相当于"字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新宋体"/>
          <w:kern w:val="0"/>
          <w:sz w:val="24"/>
        </w:rPr>
      </w:pPr>
      <w:r>
        <w:rPr>
          <w:rFonts w:hint="eastAsia" w:ascii="宋体" w:hAnsi="宋体" w:cs="新宋体"/>
          <w:kern w:val="0"/>
          <w:sz w:val="24"/>
        </w:rPr>
        <w:t>十二、采用电子招标投标的，招标人应按照国家有关规定，结合项目具体情况和交易平台操作特点，在招标文件中载明相应要求。其中，招标文件的获取、澄清、修改、异议，投标文件的编制、密封和标识、递交、修改与撤回，开标、评标、中标候选人公示及异议、中标通知等条款可参考“附录采用电子招标投标条款示例</w:t>
      </w:r>
      <w:r>
        <w:rPr>
          <w:rFonts w:ascii="宋体" w:hAnsi="宋体" w:cs="新宋体"/>
          <w:kern w:val="0"/>
          <w:sz w:val="24"/>
        </w:rPr>
        <w:t>”</w:t>
      </w:r>
      <w:r>
        <w:rPr>
          <w:rFonts w:hint="eastAsia" w:ascii="宋体" w:hAnsi="宋体" w:cs="新宋体"/>
          <w:kern w:val="0"/>
          <w:sz w:val="24"/>
        </w:rPr>
        <w:t>对《公路工程标准招标文件》的相应条款进行调整。</w:t>
      </w:r>
    </w:p>
    <w:p>
      <w:pPr>
        <w:pStyle w:val="7"/>
        <w:keepNext w:val="0"/>
        <w:keepLines w:val="0"/>
        <w:pageBreakBefore w:val="0"/>
        <w:widowControl w:val="0"/>
        <w:tabs>
          <w:tab w:val="left" w:pos="1305"/>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新宋体"/>
          <w:kern w:val="0"/>
          <w:sz w:val="24"/>
          <w:szCs w:val="22"/>
          <w:lang w:val="zh-CN" w:eastAsia="zh-CN" w:bidi="zh-CN"/>
        </w:rPr>
        <w:sectPr>
          <w:headerReference r:id="rId7" w:type="default"/>
          <w:footerReference r:id="rId9" w:type="default"/>
          <w:headerReference r:id="rId8" w:type="even"/>
          <w:footerReference r:id="rId10" w:type="even"/>
          <w:pgSz w:w="11907" w:h="16840"/>
          <w:pgMar w:top="1418" w:right="1191" w:bottom="1418" w:left="1191" w:header="1134" w:footer="1134" w:gutter="0"/>
          <w:pgNumType w:start="1"/>
          <w:cols w:space="720" w:num="1"/>
        </w:sectPr>
      </w:pPr>
      <w:r>
        <w:rPr>
          <w:rFonts w:hint="eastAsia" w:ascii="宋体" w:hAnsi="宋体" w:eastAsia="宋体" w:cs="新宋体"/>
          <w:kern w:val="0"/>
          <w:sz w:val="24"/>
          <w:szCs w:val="22"/>
          <w:lang w:val="zh-CN" w:eastAsia="zh-CN" w:bidi="zh-CN"/>
        </w:rPr>
        <w:t>十三、各使用单位或个人对《公路工程标准招标文件》的修改意见和建议，请及时反馈交通运输部。</w:t>
      </w:r>
    </w:p>
    <w:p>
      <w:pPr>
        <w:pStyle w:val="7"/>
        <w:tabs>
          <w:tab w:val="left" w:pos="1305"/>
        </w:tabs>
        <w:spacing w:before="108"/>
        <w:rPr>
          <w:color w:val="auto"/>
          <w:highlight w:val="none"/>
        </w:rPr>
      </w:pPr>
      <w:r>
        <w:rPr>
          <w:rFonts w:hint="eastAsia"/>
          <w:color w:val="auto"/>
          <w:highlight w:val="none"/>
          <w:lang w:val="en-US" w:eastAsia="zh-CN"/>
        </w:rPr>
        <w:t xml:space="preserve">总 </w:t>
      </w:r>
      <w:r>
        <w:rPr>
          <w:color w:val="auto"/>
          <w:highlight w:val="none"/>
        </w:rPr>
        <w:t>目</w:t>
      </w:r>
      <w:r>
        <w:rPr>
          <w:rFonts w:hint="eastAsia"/>
          <w:color w:val="auto"/>
          <w:highlight w:val="none"/>
          <w:lang w:val="en-US" w:eastAsia="zh-CN"/>
        </w:rPr>
        <w:t xml:space="preserve"> </w:t>
      </w:r>
      <w:r>
        <w:rPr>
          <w:color w:val="auto"/>
          <w:highlight w:val="none"/>
        </w:rPr>
        <w:t>录</w:t>
      </w:r>
    </w:p>
    <w:p>
      <w:pPr>
        <w:pStyle w:val="7"/>
        <w:tabs>
          <w:tab w:val="left" w:pos="1305"/>
        </w:tabs>
        <w:spacing w:before="108"/>
        <w:rPr>
          <w:color w:val="auto"/>
          <w:highlight w:val="none"/>
        </w:rPr>
      </w:pPr>
    </w:p>
    <w:p>
      <w:pPr>
        <w:pStyle w:val="34"/>
        <w:tabs>
          <w:tab w:val="right" w:leader="dot" w:pos="9525"/>
        </w:tabs>
        <w:adjustRightInd w:val="0"/>
        <w:snapToGrid w:val="0"/>
        <w:spacing w:before="0" w:line="480" w:lineRule="auto"/>
        <w:rPr>
          <w:color w:val="auto"/>
          <w:sz w:val="32"/>
          <w:szCs w:val="32"/>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TOC \o "1-2" \f \h \u </w:instrText>
      </w:r>
      <w:r>
        <w:rPr>
          <w:rFonts w:asciiTheme="minorEastAsia" w:hAnsiTheme="minorEastAsia" w:eastAsia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"_Toc17184" </w:instrText>
      </w:r>
      <w:r>
        <w:rPr>
          <w:color w:val="auto"/>
          <w:highlight w:val="none"/>
        </w:rPr>
        <w:fldChar w:fldCharType="separate"/>
      </w:r>
      <w:r>
        <w:rPr>
          <w:rFonts w:hint="eastAsia"/>
          <w:color w:val="auto"/>
          <w:sz w:val="32"/>
          <w:szCs w:val="32"/>
          <w:highlight w:val="none"/>
        </w:rPr>
        <w:t>第一卷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_Toc17184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pPr>
        <w:pStyle w:val="39"/>
        <w:tabs>
          <w:tab w:val="right" w:pos="3200"/>
          <w:tab w:val="right" w:leader="dot" w:pos="9525"/>
        </w:tabs>
        <w:adjustRightInd w:val="0"/>
        <w:snapToGrid w:val="0"/>
        <w:spacing w:before="0" w:line="480" w:lineRule="auto"/>
        <w:rPr>
          <w:rFonts w:ascii="宋体" w:hAnsi="宋体" w:eastAsia="宋体" w:cs="宋体"/>
          <w:color w:val="auto"/>
          <w:sz w:val="32"/>
          <w:szCs w:val="32"/>
          <w:highlight w:val="none"/>
        </w:rPr>
      </w:pPr>
      <w:r>
        <w:rPr>
          <w:color w:val="auto"/>
          <w:highlight w:val="none"/>
        </w:rPr>
        <w:fldChar w:fldCharType="begin"/>
      </w:r>
      <w:r>
        <w:rPr>
          <w:color w:val="auto"/>
          <w:highlight w:val="none"/>
        </w:rPr>
        <w:instrText xml:space="preserve"> HYPERLINK \l "_Toc11611" </w:instrText>
      </w:r>
      <w:r>
        <w:rPr>
          <w:color w:val="auto"/>
          <w:highlight w:val="none"/>
        </w:rPr>
        <w:fldChar w:fldCharType="separate"/>
      </w:r>
      <w:r>
        <w:rPr>
          <w:rFonts w:hint="eastAsia" w:ascii="宋体" w:hAnsi="宋体" w:eastAsia="宋体" w:cs="宋体"/>
          <w:color w:val="auto"/>
          <w:sz w:val="32"/>
          <w:szCs w:val="32"/>
          <w:highlight w:val="none"/>
        </w:rPr>
        <w:t>第一章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招标公告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_Toc11611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9"/>
        <w:tabs>
          <w:tab w:val="right" w:pos="3200"/>
          <w:tab w:val="right" w:leader="dot" w:pos="9525"/>
        </w:tabs>
        <w:adjustRightInd w:val="0"/>
        <w:snapToGrid w:val="0"/>
        <w:spacing w:before="0" w:line="480" w:lineRule="auto"/>
        <w:rPr>
          <w:rFonts w:ascii="宋体" w:hAnsi="宋体" w:eastAsia="宋体" w:cs="宋体"/>
          <w:color w:val="auto"/>
          <w:sz w:val="32"/>
          <w:szCs w:val="32"/>
          <w:highlight w:val="none"/>
        </w:rPr>
      </w:pPr>
      <w:r>
        <w:rPr>
          <w:color w:val="auto"/>
          <w:highlight w:val="none"/>
        </w:rPr>
        <w:fldChar w:fldCharType="begin"/>
      </w:r>
      <w:r>
        <w:rPr>
          <w:color w:val="auto"/>
          <w:highlight w:val="none"/>
        </w:rPr>
        <w:instrText xml:space="preserve"> HYPERLINK \l "_Toc28438" </w:instrText>
      </w:r>
      <w:r>
        <w:rPr>
          <w:color w:val="auto"/>
          <w:highlight w:val="none"/>
        </w:rPr>
        <w:fldChar w:fldCharType="separate"/>
      </w:r>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投标人须知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_Toc28438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9"/>
        <w:tabs>
          <w:tab w:val="right" w:pos="3200"/>
          <w:tab w:val="right" w:leader="dot" w:pos="9525"/>
        </w:tabs>
        <w:adjustRightInd w:val="0"/>
        <w:snapToGrid w:val="0"/>
        <w:spacing w:before="0" w:line="480" w:lineRule="auto"/>
        <w:rPr>
          <w:rFonts w:ascii="宋体" w:hAnsi="宋体" w:eastAsia="宋体" w:cs="宋体"/>
          <w:color w:val="auto"/>
          <w:sz w:val="32"/>
          <w:szCs w:val="32"/>
          <w:highlight w:val="none"/>
        </w:rPr>
      </w:pPr>
      <w:r>
        <w:rPr>
          <w:color w:val="auto"/>
          <w:highlight w:val="none"/>
        </w:rPr>
        <w:fldChar w:fldCharType="begin"/>
      </w:r>
      <w:r>
        <w:rPr>
          <w:color w:val="auto"/>
          <w:highlight w:val="none"/>
        </w:rPr>
        <w:instrText xml:space="preserve"> HYPERLINK \l "_Toc11069" </w:instrText>
      </w:r>
      <w:r>
        <w:rPr>
          <w:color w:val="auto"/>
          <w:highlight w:val="none"/>
        </w:rPr>
        <w:fldChar w:fldCharType="separate"/>
      </w:r>
      <w:r>
        <w:rPr>
          <w:rFonts w:hint="eastAsia" w:ascii="宋体" w:hAnsi="宋体" w:eastAsia="宋体" w:cs="宋体"/>
          <w:color w:val="auto"/>
          <w:sz w:val="32"/>
          <w:szCs w:val="32"/>
          <w:highlight w:val="none"/>
        </w:rPr>
        <w:t>第三章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评标办法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_Toc11069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9"/>
        <w:tabs>
          <w:tab w:val="right" w:pos="3200"/>
          <w:tab w:val="right" w:leader="dot" w:pos="9525"/>
        </w:tabs>
        <w:adjustRightInd w:val="0"/>
        <w:snapToGrid w:val="0"/>
        <w:spacing w:before="0" w:line="480" w:lineRule="auto"/>
        <w:rPr>
          <w:rFonts w:ascii="宋体" w:hAnsi="宋体" w:eastAsia="宋体" w:cs="宋体"/>
          <w:color w:val="auto"/>
          <w:sz w:val="32"/>
          <w:szCs w:val="32"/>
          <w:highlight w:val="none"/>
        </w:rPr>
      </w:pPr>
      <w:r>
        <w:rPr>
          <w:color w:val="auto"/>
          <w:highlight w:val="none"/>
        </w:rPr>
        <w:fldChar w:fldCharType="begin"/>
      </w:r>
      <w:r>
        <w:rPr>
          <w:color w:val="auto"/>
          <w:highlight w:val="none"/>
        </w:rPr>
        <w:instrText xml:space="preserve"> HYPERLINK \l "_Toc29914" </w:instrText>
      </w:r>
      <w:r>
        <w:rPr>
          <w:color w:val="auto"/>
          <w:highlight w:val="none"/>
        </w:rPr>
        <w:fldChar w:fldCharType="separate"/>
      </w:r>
      <w:r>
        <w:rPr>
          <w:rFonts w:hint="eastAsia" w:ascii="宋体" w:hAnsi="宋体" w:eastAsia="宋体" w:cs="宋体"/>
          <w:color w:val="auto"/>
          <w:sz w:val="32"/>
          <w:szCs w:val="32"/>
          <w:highlight w:val="none"/>
        </w:rPr>
        <w:t>第四章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_Toc29914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69</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9"/>
        <w:tabs>
          <w:tab w:val="right" w:pos="3200"/>
          <w:tab w:val="right" w:leader="dot" w:pos="9525"/>
        </w:tabs>
        <w:adjustRightInd w:val="0"/>
        <w:snapToGrid w:val="0"/>
        <w:spacing w:before="0" w:line="480" w:lineRule="auto"/>
        <w:rPr>
          <w:color w:val="auto"/>
          <w:sz w:val="32"/>
          <w:szCs w:val="32"/>
          <w:highlight w:val="none"/>
        </w:rPr>
      </w:pPr>
      <w:r>
        <w:rPr>
          <w:color w:val="auto"/>
          <w:highlight w:val="none"/>
        </w:rPr>
        <w:fldChar w:fldCharType="begin"/>
      </w:r>
      <w:r>
        <w:rPr>
          <w:color w:val="auto"/>
          <w:highlight w:val="none"/>
        </w:rPr>
        <w:instrText xml:space="preserve"> HYPERLINK \l "_Toc31561" </w:instrText>
      </w:r>
      <w:r>
        <w:rPr>
          <w:color w:val="auto"/>
          <w:highlight w:val="none"/>
        </w:rPr>
        <w:fldChar w:fldCharType="separate"/>
      </w:r>
      <w:r>
        <w:rPr>
          <w:rFonts w:hint="eastAsia" w:ascii="宋体" w:hAnsi="宋体" w:eastAsia="宋体" w:cs="宋体"/>
          <w:color w:val="auto"/>
          <w:sz w:val="32"/>
          <w:szCs w:val="32"/>
          <w:highlight w:val="none"/>
        </w:rPr>
        <w:t>第五章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工程量清单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_Toc31561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198</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4"/>
        <w:tabs>
          <w:tab w:val="right" w:leader="dot" w:pos="9525"/>
        </w:tabs>
        <w:adjustRightInd w:val="0"/>
        <w:snapToGrid w:val="0"/>
        <w:spacing w:before="0" w:line="480" w:lineRule="auto"/>
        <w:rPr>
          <w:color w:val="auto"/>
          <w:sz w:val="32"/>
          <w:szCs w:val="32"/>
          <w:highlight w:val="none"/>
        </w:rPr>
      </w:pPr>
      <w:r>
        <w:rPr>
          <w:color w:val="auto"/>
          <w:highlight w:val="none"/>
        </w:rPr>
        <w:fldChar w:fldCharType="begin"/>
      </w:r>
      <w:r>
        <w:rPr>
          <w:color w:val="auto"/>
          <w:highlight w:val="none"/>
        </w:rPr>
        <w:instrText xml:space="preserve"> HYPERLINK \l "_Toc15833" </w:instrText>
      </w:r>
      <w:r>
        <w:rPr>
          <w:color w:val="auto"/>
          <w:highlight w:val="none"/>
        </w:rPr>
        <w:fldChar w:fldCharType="separate"/>
      </w:r>
      <w:r>
        <w:rPr>
          <w:rFonts w:hint="eastAsia"/>
          <w:color w:val="auto"/>
          <w:sz w:val="32"/>
          <w:szCs w:val="32"/>
          <w:highlight w:val="none"/>
        </w:rPr>
        <w:t>第二卷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_Toc15833 \h </w:instrText>
      </w:r>
      <w:r>
        <w:rPr>
          <w:color w:val="auto"/>
          <w:sz w:val="32"/>
          <w:szCs w:val="32"/>
          <w:highlight w:val="none"/>
        </w:rPr>
        <w:fldChar w:fldCharType="separate"/>
      </w:r>
      <w:r>
        <w:rPr>
          <w:color w:val="auto"/>
          <w:sz w:val="32"/>
          <w:szCs w:val="32"/>
          <w:highlight w:val="none"/>
        </w:rPr>
        <w:t>199</w:t>
      </w:r>
      <w:r>
        <w:rPr>
          <w:color w:val="auto"/>
          <w:sz w:val="32"/>
          <w:szCs w:val="32"/>
          <w:highlight w:val="none"/>
        </w:rPr>
        <w:fldChar w:fldCharType="end"/>
      </w:r>
      <w:r>
        <w:rPr>
          <w:color w:val="auto"/>
          <w:sz w:val="32"/>
          <w:szCs w:val="32"/>
          <w:highlight w:val="none"/>
        </w:rPr>
        <w:fldChar w:fldCharType="end"/>
      </w:r>
    </w:p>
    <w:p>
      <w:pPr>
        <w:pStyle w:val="39"/>
        <w:tabs>
          <w:tab w:val="right" w:pos="3200"/>
          <w:tab w:val="right" w:leader="dot" w:pos="9525"/>
        </w:tabs>
        <w:adjustRightInd w:val="0"/>
        <w:snapToGrid w:val="0"/>
        <w:spacing w:before="0" w:line="480" w:lineRule="auto"/>
        <w:rPr>
          <w:rFonts w:ascii="宋体" w:hAnsi="宋体" w:eastAsia="宋体" w:cs="宋体"/>
          <w:color w:val="auto"/>
          <w:sz w:val="32"/>
          <w:szCs w:val="32"/>
          <w:highlight w:val="none"/>
        </w:rPr>
      </w:pPr>
      <w:r>
        <w:rPr>
          <w:color w:val="auto"/>
          <w:highlight w:val="none"/>
        </w:rPr>
        <w:fldChar w:fldCharType="begin"/>
      </w:r>
      <w:r>
        <w:rPr>
          <w:color w:val="auto"/>
          <w:highlight w:val="none"/>
        </w:rPr>
        <w:instrText xml:space="preserve"> HYPERLINK \l "_Toc9729" </w:instrText>
      </w:r>
      <w:r>
        <w:rPr>
          <w:color w:val="auto"/>
          <w:highlight w:val="none"/>
        </w:rPr>
        <w:fldChar w:fldCharType="separate"/>
      </w:r>
      <w:r>
        <w:rPr>
          <w:rFonts w:hint="eastAsia" w:ascii="宋体" w:hAnsi="宋体" w:eastAsia="宋体" w:cs="宋体"/>
          <w:color w:val="auto"/>
          <w:sz w:val="32"/>
          <w:szCs w:val="32"/>
          <w:highlight w:val="none"/>
        </w:rPr>
        <w:t>第六章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图纸（另册）</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_Toc9729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200</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4"/>
        <w:tabs>
          <w:tab w:val="right" w:leader="dot" w:pos="9525"/>
        </w:tabs>
        <w:adjustRightInd w:val="0"/>
        <w:snapToGrid w:val="0"/>
        <w:spacing w:before="0" w:line="480" w:lineRule="auto"/>
        <w:rPr>
          <w:color w:val="auto"/>
          <w:sz w:val="32"/>
          <w:szCs w:val="32"/>
          <w:highlight w:val="none"/>
        </w:rPr>
      </w:pPr>
      <w:r>
        <w:rPr>
          <w:color w:val="auto"/>
          <w:highlight w:val="none"/>
        </w:rPr>
        <w:fldChar w:fldCharType="begin"/>
      </w:r>
      <w:r>
        <w:rPr>
          <w:color w:val="auto"/>
          <w:highlight w:val="none"/>
        </w:rPr>
        <w:instrText xml:space="preserve"> HYPERLINK \l "_Toc2484" </w:instrText>
      </w:r>
      <w:r>
        <w:rPr>
          <w:color w:val="auto"/>
          <w:highlight w:val="none"/>
        </w:rPr>
        <w:fldChar w:fldCharType="separate"/>
      </w:r>
      <w:r>
        <w:rPr>
          <w:rFonts w:hint="eastAsia"/>
          <w:color w:val="auto"/>
          <w:sz w:val="32"/>
          <w:szCs w:val="32"/>
          <w:highlight w:val="none"/>
        </w:rPr>
        <w:t>第三卷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_Toc2484 \h </w:instrText>
      </w:r>
      <w:r>
        <w:rPr>
          <w:color w:val="auto"/>
          <w:sz w:val="32"/>
          <w:szCs w:val="32"/>
          <w:highlight w:val="none"/>
        </w:rPr>
        <w:fldChar w:fldCharType="separate"/>
      </w:r>
      <w:r>
        <w:rPr>
          <w:color w:val="auto"/>
          <w:sz w:val="32"/>
          <w:szCs w:val="32"/>
          <w:highlight w:val="none"/>
        </w:rPr>
        <w:t>201</w:t>
      </w:r>
      <w:r>
        <w:rPr>
          <w:color w:val="auto"/>
          <w:sz w:val="32"/>
          <w:szCs w:val="32"/>
          <w:highlight w:val="none"/>
        </w:rPr>
        <w:fldChar w:fldCharType="end"/>
      </w:r>
      <w:r>
        <w:rPr>
          <w:color w:val="auto"/>
          <w:sz w:val="32"/>
          <w:szCs w:val="32"/>
          <w:highlight w:val="none"/>
        </w:rPr>
        <w:fldChar w:fldCharType="end"/>
      </w:r>
    </w:p>
    <w:p>
      <w:pPr>
        <w:pStyle w:val="39"/>
        <w:tabs>
          <w:tab w:val="right" w:pos="3200"/>
          <w:tab w:val="right" w:leader="dot" w:pos="9525"/>
        </w:tabs>
        <w:adjustRightInd w:val="0"/>
        <w:snapToGrid w:val="0"/>
        <w:spacing w:before="0" w:line="480" w:lineRule="auto"/>
        <w:rPr>
          <w:rFonts w:ascii="宋体" w:hAnsi="宋体" w:eastAsia="宋体" w:cs="宋体"/>
          <w:color w:val="auto"/>
          <w:sz w:val="32"/>
          <w:szCs w:val="32"/>
          <w:highlight w:val="none"/>
        </w:rPr>
      </w:pPr>
      <w:r>
        <w:rPr>
          <w:color w:val="auto"/>
          <w:highlight w:val="none"/>
        </w:rPr>
        <w:fldChar w:fldCharType="begin"/>
      </w:r>
      <w:r>
        <w:rPr>
          <w:color w:val="auto"/>
          <w:highlight w:val="none"/>
        </w:rPr>
        <w:instrText xml:space="preserve"> HYPERLINK \l "_Toc18186" </w:instrText>
      </w:r>
      <w:r>
        <w:rPr>
          <w:color w:val="auto"/>
          <w:highlight w:val="none"/>
        </w:rPr>
        <w:fldChar w:fldCharType="separate"/>
      </w:r>
      <w:r>
        <w:rPr>
          <w:rFonts w:hint="eastAsia" w:ascii="宋体" w:hAnsi="宋体" w:eastAsia="宋体" w:cs="宋体"/>
          <w:color w:val="auto"/>
          <w:sz w:val="32"/>
          <w:szCs w:val="32"/>
          <w:highlight w:val="none"/>
        </w:rPr>
        <w:t>第七章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技术规范（另册）</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_Toc18186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9"/>
        <w:tabs>
          <w:tab w:val="right" w:pos="3200"/>
          <w:tab w:val="right" w:leader="dot" w:pos="9525"/>
        </w:tabs>
        <w:adjustRightInd w:val="0"/>
        <w:snapToGrid w:val="0"/>
        <w:spacing w:before="0" w:line="480" w:lineRule="auto"/>
        <w:rPr>
          <w:color w:val="auto"/>
          <w:sz w:val="32"/>
          <w:szCs w:val="32"/>
          <w:highlight w:val="none"/>
        </w:rPr>
      </w:pPr>
      <w:r>
        <w:rPr>
          <w:color w:val="auto"/>
          <w:highlight w:val="none"/>
        </w:rPr>
        <w:fldChar w:fldCharType="begin"/>
      </w:r>
      <w:r>
        <w:rPr>
          <w:color w:val="auto"/>
          <w:highlight w:val="none"/>
        </w:rPr>
        <w:instrText xml:space="preserve"> HYPERLINK \l "_Toc24294" </w:instrText>
      </w:r>
      <w:r>
        <w:rPr>
          <w:color w:val="auto"/>
          <w:highlight w:val="none"/>
        </w:rPr>
        <w:fldChar w:fldCharType="separate"/>
      </w:r>
      <w:r>
        <w:rPr>
          <w:rFonts w:hint="eastAsia" w:ascii="宋体" w:hAnsi="宋体" w:eastAsia="宋体" w:cs="宋体"/>
          <w:color w:val="auto"/>
          <w:sz w:val="32"/>
          <w:szCs w:val="32"/>
          <w:highlight w:val="none"/>
        </w:rPr>
        <w:t>第八章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工程量清单计量规则</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_Toc24294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203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pStyle w:val="34"/>
        <w:tabs>
          <w:tab w:val="right" w:leader="dot" w:pos="9525"/>
        </w:tabs>
        <w:adjustRightInd w:val="0"/>
        <w:snapToGrid w:val="0"/>
        <w:spacing w:before="0" w:line="480" w:lineRule="auto"/>
        <w:rPr>
          <w:color w:val="auto"/>
          <w:sz w:val="32"/>
          <w:szCs w:val="32"/>
          <w:highlight w:val="none"/>
        </w:rPr>
      </w:pPr>
      <w:r>
        <w:rPr>
          <w:color w:val="auto"/>
          <w:highlight w:val="none"/>
        </w:rPr>
        <w:fldChar w:fldCharType="begin"/>
      </w:r>
      <w:r>
        <w:rPr>
          <w:color w:val="auto"/>
          <w:highlight w:val="none"/>
        </w:rPr>
        <w:instrText xml:space="preserve"> HYPERLINK \l "_Toc19496" </w:instrText>
      </w:r>
      <w:r>
        <w:rPr>
          <w:color w:val="auto"/>
          <w:highlight w:val="none"/>
        </w:rPr>
        <w:fldChar w:fldCharType="separate"/>
      </w:r>
      <w:r>
        <w:rPr>
          <w:rFonts w:hint="eastAsia"/>
          <w:color w:val="auto"/>
          <w:sz w:val="32"/>
          <w:szCs w:val="32"/>
          <w:highlight w:val="none"/>
        </w:rPr>
        <w:t>第四卷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_Toc19496 \h </w:instrText>
      </w:r>
      <w:r>
        <w:rPr>
          <w:color w:val="auto"/>
          <w:sz w:val="32"/>
          <w:szCs w:val="32"/>
          <w:highlight w:val="none"/>
        </w:rPr>
        <w:fldChar w:fldCharType="separate"/>
      </w:r>
      <w:r>
        <w:rPr>
          <w:color w:val="auto"/>
          <w:sz w:val="32"/>
          <w:szCs w:val="32"/>
          <w:highlight w:val="none"/>
        </w:rPr>
        <w:t>204</w:t>
      </w:r>
      <w:r>
        <w:rPr>
          <w:color w:val="auto"/>
          <w:sz w:val="32"/>
          <w:szCs w:val="32"/>
          <w:highlight w:val="none"/>
        </w:rPr>
        <w:fldChar w:fldCharType="end"/>
      </w:r>
      <w:r>
        <w:rPr>
          <w:color w:val="auto"/>
          <w:sz w:val="32"/>
          <w:szCs w:val="32"/>
          <w:highlight w:val="none"/>
        </w:rPr>
        <w:fldChar w:fldCharType="end"/>
      </w:r>
    </w:p>
    <w:p>
      <w:pPr>
        <w:pStyle w:val="39"/>
        <w:tabs>
          <w:tab w:val="right" w:pos="3200"/>
          <w:tab w:val="right" w:leader="dot" w:pos="9525"/>
        </w:tabs>
        <w:adjustRightInd w:val="0"/>
        <w:snapToGrid w:val="0"/>
        <w:spacing w:before="0" w:line="480" w:lineRule="auto"/>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sz w:val="32"/>
          <w:szCs w:val="32"/>
          <w:highlight w:val="none"/>
        </w:rPr>
        <w:t>第九章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投标文件格式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_Toc14482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205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pPr>
        <w:adjustRightInd w:val="0"/>
        <w:snapToGrid w:val="0"/>
        <w:spacing w:line="480" w:lineRule="auto"/>
        <w:rPr>
          <w:rFonts w:cs="黑体" w:asciiTheme="minorEastAsia" w:hAnsiTheme="minorEastAsia" w:eastAsiaTheme="minorEastAsia"/>
          <w:color w:val="auto"/>
          <w:sz w:val="28"/>
          <w:szCs w:val="28"/>
          <w:highlight w:val="none"/>
        </w:rPr>
      </w:pPr>
      <w:r>
        <w:rPr>
          <w:rFonts w:cs="黑体" w:asciiTheme="minorEastAsia" w:hAnsiTheme="minorEastAsia" w:eastAsiaTheme="minorEastAsia"/>
          <w:color w:val="auto"/>
          <w:szCs w:val="28"/>
          <w:highlight w:val="none"/>
        </w:rPr>
        <w:fldChar w:fldCharType="end"/>
      </w:r>
    </w:p>
    <w:p>
      <w:pPr>
        <w:adjustRightInd w:val="0"/>
        <w:snapToGrid w:val="0"/>
        <w:spacing w:line="480" w:lineRule="auto"/>
        <w:rPr>
          <w:color w:val="auto"/>
          <w:highlight w:val="none"/>
        </w:rPr>
      </w:pPr>
    </w:p>
    <w:p>
      <w:pPr>
        <w:jc w:val="center"/>
        <w:rPr>
          <w:color w:val="auto"/>
          <w:sz w:val="28"/>
          <w:szCs w:val="28"/>
          <w:highlight w:val="none"/>
        </w:rPr>
      </w:pPr>
    </w:p>
    <w:p>
      <w:pPr>
        <w:jc w:val="center"/>
        <w:rPr>
          <w:color w:val="auto"/>
          <w:sz w:val="20"/>
          <w:highlight w:val="none"/>
        </w:rPr>
        <w:sectPr>
          <w:pgSz w:w="11907" w:h="16840"/>
          <w:pgMar w:top="1418" w:right="1191" w:bottom="1418" w:left="1191" w:header="1134" w:footer="1134" w:gutter="0"/>
          <w:pgNumType w:start="1"/>
          <w:cols w:space="720" w:num="1"/>
        </w:sectPr>
      </w:pPr>
    </w:p>
    <w:p>
      <w:pPr>
        <w:pStyle w:val="7"/>
        <w:tabs>
          <w:tab w:val="left" w:pos="1305"/>
        </w:tabs>
        <w:spacing w:before="108"/>
        <w:rPr>
          <w:color w:val="auto"/>
          <w:highlight w:val="none"/>
        </w:rPr>
      </w:pPr>
      <w:r>
        <w:rPr>
          <w:rFonts w:hint="eastAsia"/>
          <w:color w:val="auto"/>
          <w:highlight w:val="none"/>
        </w:rPr>
        <w:t>目</w:t>
      </w:r>
      <w:r>
        <w:rPr>
          <w:rFonts w:hint="eastAsia"/>
          <w:color w:val="auto"/>
          <w:highlight w:val="none"/>
        </w:rPr>
        <w:tab/>
      </w:r>
      <w:r>
        <w:rPr>
          <w:rFonts w:hint="eastAsia"/>
          <w:color w:val="auto"/>
          <w:highlight w:val="none"/>
        </w:rPr>
        <w:t>录</w:t>
      </w:r>
    </w:p>
    <w:p>
      <w:pPr>
        <w:pStyle w:val="20"/>
        <w:spacing w:before="9"/>
        <w:rPr>
          <w:rFonts w:ascii="黑体"/>
          <w:color w:val="auto"/>
          <w:sz w:val="32"/>
          <w:highlight w:val="none"/>
        </w:rPr>
      </w:pPr>
    </w:p>
    <w:p>
      <w:pPr>
        <w:pStyle w:val="34"/>
        <w:tabs>
          <w:tab w:val="right" w:leader="dot" w:pos="9525"/>
        </w:tabs>
        <w:rPr>
          <w:rFonts w:hint="eastAsia" w:ascii="宋体" w:hAnsi="宋体" w:eastAsia="宋体" w:cs="宋体"/>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_Toc32274 </w:instrText>
      </w:r>
      <w:r>
        <w:rPr>
          <w:rFonts w:hint="eastAsia" w:ascii="宋体" w:hAnsi="宋体" w:eastAsia="宋体" w:cs="宋体"/>
          <w:highlight w:val="none"/>
        </w:rPr>
        <w:fldChar w:fldCharType="separate"/>
      </w:r>
      <w:r>
        <w:rPr>
          <w:rFonts w:hint="eastAsia" w:ascii="宋体" w:hAnsi="宋体" w:eastAsia="宋体" w:cs="宋体"/>
          <w:highlight w:val="none"/>
        </w:rPr>
        <w:t>第一卷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_Toc32274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_Toc3622 </w:instrText>
      </w:r>
      <w:r>
        <w:rPr>
          <w:rFonts w:hint="eastAsia" w:ascii="宋体" w:hAnsi="宋体" w:eastAsia="宋体" w:cs="宋体"/>
          <w:highlight w:val="none"/>
        </w:rPr>
        <w:fldChar w:fldCharType="separate"/>
      </w:r>
      <w:r>
        <w:rPr>
          <w:rFonts w:hint="eastAsia" w:ascii="宋体" w:hAnsi="宋体" w:eastAsia="宋体" w:cs="宋体"/>
          <w:highlight w:val="none"/>
        </w:rPr>
        <w:t>第一章</w:t>
      </w:r>
      <w:r>
        <w:rPr>
          <w:rFonts w:hint="eastAsia" w:ascii="宋体" w:hAnsi="宋体" w:eastAsia="宋体" w:cs="宋体"/>
          <w:highlight w:val="none"/>
        </w:rPr>
        <w:tab/>
      </w:r>
      <w:r>
        <w:rPr>
          <w:rFonts w:hint="eastAsia" w:ascii="宋体" w:hAnsi="宋体" w:eastAsia="宋体" w:cs="宋体"/>
          <w:highlight w:val="none"/>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_Toc3622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_Toc16562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1. </w:t>
      </w:r>
      <w:r>
        <w:rPr>
          <w:rFonts w:hint="eastAsia" w:ascii="宋体" w:hAnsi="宋体" w:eastAsia="宋体" w:cs="宋体"/>
          <w:highlight w:val="none"/>
        </w:rPr>
        <w:t>招标条件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_Toc16562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_Toc5673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2. </w:t>
      </w:r>
      <w:r>
        <w:rPr>
          <w:rFonts w:hint="eastAsia" w:ascii="宋体" w:hAnsi="宋体" w:eastAsia="宋体" w:cs="宋体"/>
          <w:highlight w:val="none"/>
        </w:rPr>
        <w:t>项目概况与招标范围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_Toc5673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_Toc19999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3. </w:t>
      </w:r>
      <w:r>
        <w:rPr>
          <w:rFonts w:hint="eastAsia" w:ascii="宋体" w:hAnsi="宋体" w:eastAsia="宋体" w:cs="宋体"/>
          <w:highlight w:val="none"/>
        </w:rPr>
        <w:t>投标人资格要求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_Toc19999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_Toc15898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4. </w:t>
      </w:r>
      <w:r>
        <w:rPr>
          <w:rFonts w:hint="eastAsia" w:ascii="宋体" w:hAnsi="宋体" w:eastAsia="宋体" w:cs="宋体"/>
          <w:highlight w:val="none"/>
        </w:rPr>
        <w:t>领取招标文件的时间及方式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_Toc15898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_Toc9154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5. </w:t>
      </w:r>
      <w:r>
        <w:rPr>
          <w:rFonts w:hint="eastAsia" w:ascii="宋体" w:hAnsi="宋体" w:eastAsia="宋体" w:cs="宋体"/>
          <w:highlight w:val="none"/>
        </w:rPr>
        <w:t>投标报名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_Toc9154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_Toc6771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6. </w:t>
      </w:r>
      <w:r>
        <w:rPr>
          <w:rFonts w:hint="eastAsia" w:ascii="宋体" w:hAnsi="宋体" w:eastAsia="宋体" w:cs="宋体"/>
          <w:highlight w:val="none"/>
        </w:rPr>
        <w:t>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_Toc6771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_Toc9745 </w:instrText>
      </w:r>
      <w:r>
        <w:rPr>
          <w:rFonts w:hint="eastAsia" w:ascii="宋体" w:hAnsi="宋体" w:eastAsia="宋体" w:cs="宋体"/>
          <w:highlight w:val="none"/>
        </w:rPr>
        <w:fldChar w:fldCharType="separate"/>
      </w:r>
      <w:r>
        <w:rPr>
          <w:rFonts w:hint="eastAsia" w:ascii="宋体" w:hAnsi="宋体" w:eastAsia="宋体" w:cs="宋体"/>
          <w:bCs/>
          <w:w w:val="100"/>
          <w:szCs w:val="28"/>
          <w:lang w:val="zh-CN" w:eastAsia="zh-CN" w:bidi="zh-CN"/>
        </w:rPr>
        <w:t xml:space="preserve">7. </w:t>
      </w:r>
      <w:r>
        <w:rPr>
          <w:rFonts w:hint="eastAsia" w:ascii="宋体" w:hAnsi="宋体" w:eastAsia="宋体" w:cs="宋体"/>
          <w:highlight w:val="none"/>
        </w:rPr>
        <w:t>投标文件的递交及相关事宜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_Toc9745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_Toc16401 </w:instrText>
      </w:r>
      <w:r>
        <w:rPr>
          <w:rFonts w:hint="eastAsia" w:ascii="宋体" w:hAnsi="宋体" w:eastAsia="宋体" w:cs="宋体"/>
          <w:highlight w:val="none"/>
        </w:rPr>
        <w:fldChar w:fldCharType="separate"/>
      </w:r>
      <w:r>
        <w:rPr>
          <w:rFonts w:hint="eastAsia" w:ascii="宋体" w:hAnsi="宋体" w:eastAsia="宋体" w:cs="宋体"/>
          <w:highlight w:val="none"/>
        </w:rPr>
        <w:t>8. 发布招标公告的媒介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_Toc16401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_Toc22454 </w:instrText>
      </w:r>
      <w:r>
        <w:rPr>
          <w:rFonts w:hint="eastAsia" w:ascii="宋体" w:hAnsi="宋体" w:eastAsia="宋体" w:cs="宋体"/>
          <w:highlight w:val="none"/>
        </w:rPr>
        <w:fldChar w:fldCharType="separate"/>
      </w:r>
      <w:r>
        <w:rPr>
          <w:rFonts w:hint="eastAsia" w:ascii="宋体" w:hAnsi="宋体" w:eastAsia="宋体" w:cs="宋体"/>
          <w:highlight w:val="none"/>
        </w:rPr>
        <w:t>9. 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_Toc22454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_Toc19273 </w:instrText>
      </w:r>
      <w:r>
        <w:rPr>
          <w:rFonts w:hint="eastAsia" w:ascii="宋体" w:hAnsi="宋体" w:eastAsia="宋体" w:cs="宋体"/>
          <w:highlight w:val="none"/>
        </w:rPr>
        <w:fldChar w:fldCharType="separate"/>
      </w:r>
      <w:r>
        <w:rPr>
          <w:rFonts w:hint="eastAsia" w:ascii="宋体" w:hAnsi="宋体" w:eastAsia="宋体" w:cs="宋体"/>
          <w:highlight w:val="none"/>
        </w:rPr>
        <w:t>第二章</w:t>
      </w:r>
      <w:r>
        <w:rPr>
          <w:rFonts w:hint="eastAsia" w:ascii="宋体" w:hAnsi="宋体" w:eastAsia="宋体" w:cs="宋体"/>
          <w:highlight w:val="none"/>
        </w:rPr>
        <w:tab/>
      </w:r>
      <w:r>
        <w:rPr>
          <w:rFonts w:hint="eastAsia" w:ascii="宋体" w:hAnsi="宋体" w:eastAsia="宋体" w:cs="宋体"/>
          <w:highlight w:val="none"/>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_Toc19273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_Toc16054 </w:instrText>
      </w:r>
      <w:r>
        <w:rPr>
          <w:rFonts w:hint="eastAsia" w:ascii="宋体" w:hAnsi="宋体" w:eastAsia="宋体" w:cs="宋体"/>
          <w:highlight w:val="none"/>
        </w:rPr>
        <w:fldChar w:fldCharType="separate"/>
      </w:r>
      <w:r>
        <w:rPr>
          <w:rFonts w:hint="eastAsia" w:ascii="宋体" w:hAnsi="宋体" w:eastAsia="宋体" w:cs="宋体"/>
          <w:highlight w:val="none"/>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_Toc16054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_Toc16626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附录1  资格审查条件(资质最低条件)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_Toc16626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_Toc8300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附录2 资格审查条件(财务状况要求)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_Toc8300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_Toc15192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附录3资格审查条件(业绩最低要求)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_Toc15192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_Toc30506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附录4资格审查条件(信誉最低要求)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_Toc30506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_Toc2086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附录5资格审查条件(项目经理和项目总工最低要求)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_Toc2381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 </w:t>
      </w:r>
      <w:r>
        <w:rPr>
          <w:rFonts w:hint="eastAsia" w:ascii="宋体" w:hAnsi="宋体" w:eastAsia="宋体" w:cs="宋体"/>
          <w:highlight w:val="none"/>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_Toc2381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_Toc9526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 </w:t>
      </w:r>
      <w:r>
        <w:rPr>
          <w:rFonts w:hint="eastAsia" w:ascii="宋体" w:hAnsi="宋体" w:eastAsia="宋体" w:cs="宋体"/>
          <w:highlight w:val="none"/>
        </w:rPr>
        <w:t>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_Toc9526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_Toc78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3. </w:t>
      </w:r>
      <w:r>
        <w:rPr>
          <w:rFonts w:hint="eastAsia" w:ascii="宋体" w:hAnsi="宋体" w:eastAsia="宋体" w:cs="宋体"/>
          <w:highlight w:val="none"/>
        </w:rPr>
        <w:t>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_Toc31674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4. </w:t>
      </w:r>
      <w:r>
        <w:rPr>
          <w:rFonts w:hint="eastAsia" w:ascii="宋体" w:hAnsi="宋体" w:eastAsia="宋体" w:cs="宋体"/>
          <w:highlight w:val="none"/>
        </w:rPr>
        <w:t>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_Toc31674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_Toc22479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5. </w:t>
      </w:r>
      <w:r>
        <w:rPr>
          <w:rFonts w:hint="eastAsia" w:ascii="宋体" w:hAnsi="宋体" w:eastAsia="宋体" w:cs="宋体"/>
          <w:highlight w:val="none"/>
        </w:rPr>
        <w:t>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_Toc22479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_Toc15158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6. </w:t>
      </w:r>
      <w:r>
        <w:rPr>
          <w:rFonts w:hint="eastAsia" w:ascii="宋体" w:hAnsi="宋体" w:eastAsia="宋体" w:cs="宋体"/>
          <w:highlight w:val="none"/>
        </w:rPr>
        <w:t>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_Toc15158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_Toc16897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7. </w:t>
      </w:r>
      <w:r>
        <w:rPr>
          <w:rFonts w:hint="eastAsia" w:ascii="宋体" w:hAnsi="宋体" w:eastAsia="宋体" w:cs="宋体"/>
          <w:highlight w:val="none"/>
        </w:rPr>
        <w:t>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_Toc16897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_Toc4813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8. </w:t>
      </w:r>
      <w:r>
        <w:rPr>
          <w:rFonts w:hint="eastAsia" w:ascii="宋体" w:hAnsi="宋体" w:eastAsia="宋体" w:cs="宋体"/>
          <w:spacing w:val="-1"/>
          <w:highlight w:val="none"/>
        </w:rPr>
        <w:t>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_Toc4813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_Toc18509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9. </w:t>
      </w:r>
      <w:r>
        <w:rPr>
          <w:rFonts w:hint="eastAsia" w:ascii="宋体" w:hAnsi="宋体" w:eastAsia="宋体" w:cs="宋体"/>
          <w:spacing w:val="-2"/>
          <w:highlight w:val="none"/>
        </w:rPr>
        <w:t>是否采用电子招标投标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_Toc18509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_Toc21017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10. </w:t>
      </w:r>
      <w:r>
        <w:rPr>
          <w:rFonts w:hint="eastAsia" w:ascii="宋体" w:hAnsi="宋体" w:eastAsia="宋体" w:cs="宋体"/>
          <w:spacing w:val="-2"/>
          <w:highlight w:val="none"/>
        </w:rPr>
        <w:t>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_Toc21017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_Toc14834 </w:instrText>
      </w:r>
      <w:r>
        <w:rPr>
          <w:rFonts w:hint="eastAsia" w:ascii="宋体" w:hAnsi="宋体" w:eastAsia="宋体" w:cs="宋体"/>
          <w:highlight w:val="none"/>
        </w:rPr>
        <w:fldChar w:fldCharType="separate"/>
      </w:r>
      <w:r>
        <w:rPr>
          <w:rFonts w:hint="eastAsia" w:ascii="宋体" w:hAnsi="宋体" w:eastAsia="宋体" w:cs="宋体"/>
          <w:highlight w:val="none"/>
        </w:rPr>
        <w:t>第三章</w:t>
      </w:r>
      <w:r>
        <w:rPr>
          <w:rFonts w:hint="eastAsia" w:ascii="宋体" w:hAnsi="宋体" w:eastAsia="宋体" w:cs="宋体"/>
          <w:highlight w:val="none"/>
        </w:rPr>
        <w:tab/>
      </w:r>
      <w:r>
        <w:rPr>
          <w:rFonts w:hint="eastAsia" w:ascii="宋体" w:hAnsi="宋体" w:eastAsia="宋体" w:cs="宋体"/>
          <w:highlight w:val="none"/>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_Toc14834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_Toc19167 </w:instrText>
      </w:r>
      <w:r>
        <w:rPr>
          <w:rFonts w:hint="eastAsia" w:ascii="宋体" w:hAnsi="宋体" w:eastAsia="宋体" w:cs="宋体"/>
          <w:highlight w:val="none"/>
        </w:rPr>
        <w:fldChar w:fldCharType="separate"/>
      </w:r>
      <w:r>
        <w:rPr>
          <w:rFonts w:hint="eastAsia" w:ascii="宋体" w:hAnsi="宋体" w:eastAsia="宋体" w:cs="宋体"/>
          <w:highlight w:val="none"/>
        </w:rPr>
        <w:t>评标办法前附表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_Toc19167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_Toc32606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 </w:t>
      </w:r>
      <w:r>
        <w:rPr>
          <w:rFonts w:hint="eastAsia" w:ascii="宋体" w:hAnsi="宋体" w:eastAsia="宋体" w:cs="宋体"/>
          <w:highlight w:val="none"/>
        </w:rPr>
        <w:t>评标方法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_Toc32606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_Toc10749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 </w:t>
      </w:r>
      <w:r>
        <w:rPr>
          <w:rFonts w:hint="eastAsia" w:ascii="宋体" w:hAnsi="宋体" w:eastAsia="宋体" w:cs="宋体"/>
          <w:highlight w:val="none"/>
        </w:rPr>
        <w:t>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_Toc10749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_Toc6140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3. </w:t>
      </w:r>
      <w:r>
        <w:rPr>
          <w:rFonts w:hint="eastAsia" w:ascii="宋体" w:hAnsi="宋体" w:eastAsia="宋体" w:cs="宋体"/>
          <w:highlight w:val="none"/>
        </w:rPr>
        <w:t>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_Toc6140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_Toc29145 </w:instrText>
      </w:r>
      <w:r>
        <w:rPr>
          <w:rFonts w:hint="eastAsia" w:ascii="宋体" w:hAnsi="宋体" w:eastAsia="宋体" w:cs="宋体"/>
          <w:highlight w:val="none"/>
        </w:rPr>
        <w:fldChar w:fldCharType="separate"/>
      </w:r>
      <w:r>
        <w:rPr>
          <w:rFonts w:hint="eastAsia" w:ascii="宋体" w:hAnsi="宋体" w:eastAsia="宋体" w:cs="宋体"/>
          <w:highlight w:val="none"/>
        </w:rPr>
        <w:t>第四章</w:t>
      </w:r>
      <w:r>
        <w:rPr>
          <w:rFonts w:hint="eastAsia" w:ascii="宋体" w:hAnsi="宋体" w:eastAsia="宋体" w:cs="宋体"/>
          <w:highlight w:val="none"/>
        </w:rPr>
        <w:tab/>
      </w:r>
      <w:r>
        <w:rPr>
          <w:rFonts w:hint="eastAsia" w:ascii="宋体" w:hAnsi="宋体" w:eastAsia="宋体" w:cs="宋体"/>
          <w:highlight w:val="none"/>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_Toc29145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_Toc28771 </w:instrText>
      </w:r>
      <w:r>
        <w:rPr>
          <w:rFonts w:hint="eastAsia" w:ascii="宋体" w:hAnsi="宋体" w:eastAsia="宋体" w:cs="宋体"/>
          <w:highlight w:val="none"/>
        </w:rPr>
        <w:fldChar w:fldCharType="separate"/>
      </w:r>
      <w:r>
        <w:rPr>
          <w:rFonts w:hint="eastAsia" w:ascii="宋体" w:hAnsi="宋体" w:eastAsia="宋体" w:cs="宋体"/>
        </w:rPr>
        <w:t xml:space="preserve">第一节 </w:t>
      </w:r>
      <w:r>
        <w:rPr>
          <w:rFonts w:hint="eastAsia" w:ascii="宋体" w:hAnsi="宋体" w:eastAsia="宋体" w:cs="宋体"/>
          <w:highlight w:val="none"/>
        </w:rPr>
        <w:t>通用合同条款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_Toc28771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_Toc10577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 一般约定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_Toc10577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_Toc5652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2. 发包人义务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_Toc5652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_Toc10645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3. 监理人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_Toc10645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_Toc11222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4. 承包人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_Toc11222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_Toc11784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5. 材料和工程设备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_Toc11784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_Toc7539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6. 施工设备和临时设施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_Toc7539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_Toc25310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7. 交通运输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_Toc25310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_Toc13963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8. 测量放线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_Toc13963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_Toc10321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9. 施工安全、治安保卫和环境保护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_Toc10321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10. 进度计划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_Toc1994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11. 开工和竣工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_Toc1994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_Toc7440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12. 暂停施工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_Toc7440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_Toc3042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13. 工程质量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_Toc3042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_Toc22637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14. 试验和检验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_Toc22637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_Toc30964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15. 变更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_Toc30964 \h </w:instrText>
      </w:r>
      <w:r>
        <w:rPr>
          <w:rFonts w:hint="eastAsia" w:ascii="宋体" w:hAnsi="宋体" w:eastAsia="宋体" w:cs="宋体"/>
        </w:rPr>
        <w:fldChar w:fldCharType="separate"/>
      </w:r>
      <w:r>
        <w:rPr>
          <w:rFonts w:hint="eastAsia" w:ascii="宋体" w:hAnsi="宋体" w:eastAsia="宋体" w:cs="宋体"/>
        </w:rPr>
        <w:t>92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_Toc20824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16. 价格调整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_Toc20824 \h </w:instrText>
      </w:r>
      <w:r>
        <w:rPr>
          <w:rFonts w:hint="eastAsia" w:ascii="宋体" w:hAnsi="宋体" w:eastAsia="宋体" w:cs="宋体"/>
        </w:rPr>
        <w:fldChar w:fldCharType="separate"/>
      </w:r>
      <w:r>
        <w:rPr>
          <w:rFonts w:hint="eastAsia" w:ascii="宋体" w:hAnsi="宋体" w:eastAsia="宋体" w:cs="宋体"/>
        </w:rPr>
        <w:t>95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_Toc29943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17. 计量与支付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_Toc29943 \h </w:instrText>
      </w:r>
      <w:r>
        <w:rPr>
          <w:rFonts w:hint="eastAsia" w:ascii="宋体" w:hAnsi="宋体" w:eastAsia="宋体" w:cs="宋体"/>
        </w:rPr>
        <w:fldChar w:fldCharType="separate"/>
      </w:r>
      <w:r>
        <w:rPr>
          <w:rFonts w:hint="eastAsia" w:ascii="宋体" w:hAnsi="宋体" w:eastAsia="宋体" w:cs="宋体"/>
        </w:rPr>
        <w:t>96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_Toc13223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18. 竣工验收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_Toc13223 \h </w:instrText>
      </w:r>
      <w:r>
        <w:rPr>
          <w:rFonts w:hint="eastAsia" w:ascii="宋体" w:hAnsi="宋体" w:eastAsia="宋体" w:cs="宋体"/>
        </w:rPr>
        <w:fldChar w:fldCharType="separate"/>
      </w:r>
      <w:r>
        <w:rPr>
          <w:rFonts w:hint="eastAsia" w:ascii="宋体" w:hAnsi="宋体" w:eastAsia="宋体" w:cs="宋体"/>
        </w:rPr>
        <w:t>100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_Toc11037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19. 缺陷责任与保修责任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_Toc11037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_Toc22938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20. 保险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_Toc22938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_Toc16689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21. 不可抗力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_Toc16689 \h </w:instrText>
      </w:r>
      <w:r>
        <w:rPr>
          <w:rFonts w:hint="eastAsia" w:ascii="宋体" w:hAnsi="宋体" w:eastAsia="宋体" w:cs="宋体"/>
        </w:rPr>
        <w:fldChar w:fldCharType="separate"/>
      </w:r>
      <w:r>
        <w:rPr>
          <w:rFonts w:hint="eastAsia" w:ascii="宋体" w:hAnsi="宋体" w:eastAsia="宋体" w:cs="宋体"/>
        </w:rPr>
        <w:t>106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_Toc23603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22. 违约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_Toc23603 \h </w:instrText>
      </w:r>
      <w:r>
        <w:rPr>
          <w:rFonts w:hint="eastAsia" w:ascii="宋体" w:hAnsi="宋体" w:eastAsia="宋体" w:cs="宋体"/>
        </w:rPr>
        <w:fldChar w:fldCharType="separate"/>
      </w:r>
      <w:r>
        <w:rPr>
          <w:rFonts w:hint="eastAsia" w:ascii="宋体" w:hAnsi="宋体" w:eastAsia="宋体" w:cs="宋体"/>
        </w:rPr>
        <w:t>107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_Toc21771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23. 索赔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_Toc21771 \h </w:instrText>
      </w:r>
      <w:r>
        <w:rPr>
          <w:rFonts w:hint="eastAsia" w:ascii="宋体" w:hAnsi="宋体" w:eastAsia="宋体" w:cs="宋体"/>
        </w:rPr>
        <w:fldChar w:fldCharType="separate"/>
      </w:r>
      <w:r>
        <w:rPr>
          <w:rFonts w:hint="eastAsia" w:ascii="宋体" w:hAnsi="宋体" w:eastAsia="宋体" w:cs="宋体"/>
        </w:rPr>
        <w:t>110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_Toc3928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24. 争议的解决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_Toc3928 \h </w:instrText>
      </w:r>
      <w:r>
        <w:rPr>
          <w:rFonts w:hint="eastAsia" w:ascii="宋体" w:hAnsi="宋体" w:eastAsia="宋体" w:cs="宋体"/>
        </w:rPr>
        <w:fldChar w:fldCharType="separate"/>
      </w:r>
      <w:r>
        <w:rPr>
          <w:rFonts w:hint="eastAsia" w:ascii="宋体" w:hAnsi="宋体" w:eastAsia="宋体" w:cs="宋体"/>
        </w:rPr>
        <w:t>111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_Toc10911 </w:instrText>
      </w:r>
      <w:r>
        <w:rPr>
          <w:rFonts w:hint="eastAsia" w:ascii="宋体" w:hAnsi="宋体" w:eastAsia="宋体" w:cs="宋体"/>
          <w:highlight w:val="none"/>
        </w:rPr>
        <w:fldChar w:fldCharType="separate"/>
      </w:r>
      <w:r>
        <w:rPr>
          <w:rFonts w:hint="eastAsia" w:ascii="宋体" w:hAnsi="宋体" w:eastAsia="宋体" w:cs="宋体"/>
          <w:highlight w:val="none"/>
        </w:rPr>
        <w:t>第二节</w:t>
      </w:r>
      <w:r>
        <w:rPr>
          <w:rFonts w:hint="eastAsia" w:ascii="宋体" w:hAnsi="宋体" w:eastAsia="宋体" w:cs="宋体"/>
          <w:highlight w:val="none"/>
        </w:rPr>
        <w:tab/>
      </w:r>
      <w:r>
        <w:rPr>
          <w:rFonts w:hint="eastAsia" w:ascii="宋体" w:hAnsi="宋体" w:eastAsia="宋体" w:cs="宋体"/>
          <w:highlight w:val="none"/>
        </w:rPr>
        <w:t>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_Toc10911 \h </w:instrText>
      </w:r>
      <w:r>
        <w:rPr>
          <w:rFonts w:hint="eastAsia" w:ascii="宋体" w:hAnsi="宋体" w:eastAsia="宋体" w:cs="宋体"/>
        </w:rPr>
        <w:fldChar w:fldCharType="separate"/>
      </w:r>
      <w:r>
        <w:rPr>
          <w:rFonts w:hint="eastAsia" w:ascii="宋体" w:hAnsi="宋体" w:eastAsia="宋体" w:cs="宋体"/>
        </w:rPr>
        <w:t>113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_Toc4149 </w:instrText>
      </w:r>
      <w:r>
        <w:rPr>
          <w:rFonts w:hint="eastAsia" w:ascii="宋体" w:hAnsi="宋体" w:eastAsia="宋体" w:cs="宋体"/>
          <w:highlight w:val="none"/>
        </w:rPr>
        <w:fldChar w:fldCharType="separate"/>
      </w:r>
      <w:r>
        <w:rPr>
          <w:rFonts w:hint="eastAsia" w:ascii="宋体" w:hAnsi="宋体" w:eastAsia="宋体" w:cs="宋体"/>
          <w:w w:val="99"/>
          <w:szCs w:val="32"/>
          <w:lang w:val="zh-CN" w:eastAsia="zh-CN" w:bidi="zh-CN"/>
        </w:rPr>
        <w:t xml:space="preserve">A. </w:t>
      </w:r>
      <w:r>
        <w:rPr>
          <w:rFonts w:hint="eastAsia" w:ascii="宋体" w:hAnsi="宋体" w:eastAsia="宋体" w:cs="宋体"/>
          <w:highlight w:val="none"/>
        </w:rPr>
        <w:t>公路工程专用合同条款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_Toc4149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_Toc14180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 </w:t>
      </w:r>
      <w:r>
        <w:rPr>
          <w:rFonts w:hint="eastAsia" w:ascii="宋体" w:hAnsi="宋体" w:eastAsia="宋体" w:cs="宋体"/>
          <w:szCs w:val="24"/>
          <w:highlight w:val="none"/>
        </w:rPr>
        <w:t>一般约定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_Toc14180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_Toc32625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 </w:t>
      </w:r>
      <w:r>
        <w:rPr>
          <w:rFonts w:hint="eastAsia" w:ascii="宋体" w:hAnsi="宋体" w:eastAsia="宋体" w:cs="宋体"/>
          <w:spacing w:val="-1"/>
          <w:szCs w:val="24"/>
          <w:highlight w:val="none"/>
        </w:rPr>
        <w:t>发包人义务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_Toc32625 \h </w:instrText>
      </w:r>
      <w:r>
        <w:rPr>
          <w:rFonts w:hint="eastAsia" w:ascii="宋体" w:hAnsi="宋体" w:eastAsia="宋体" w:cs="宋体"/>
        </w:rPr>
        <w:fldChar w:fldCharType="separate"/>
      </w:r>
      <w:r>
        <w:rPr>
          <w:rFonts w:hint="eastAsia" w:ascii="宋体" w:hAnsi="宋体" w:eastAsia="宋体" w:cs="宋体"/>
        </w:rPr>
        <w:t>117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_Toc24113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3. </w:t>
      </w:r>
      <w:r>
        <w:rPr>
          <w:rFonts w:hint="eastAsia" w:ascii="宋体" w:hAnsi="宋体" w:eastAsia="宋体" w:cs="宋体"/>
          <w:szCs w:val="24"/>
          <w:highlight w:val="none"/>
        </w:rPr>
        <w:t>监理人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_Toc24113 \h </w:instrText>
      </w:r>
      <w:r>
        <w:rPr>
          <w:rFonts w:hint="eastAsia" w:ascii="宋体" w:hAnsi="宋体" w:eastAsia="宋体" w:cs="宋体"/>
        </w:rPr>
        <w:fldChar w:fldCharType="separate"/>
      </w:r>
      <w:r>
        <w:rPr>
          <w:rFonts w:hint="eastAsia" w:ascii="宋体" w:hAnsi="宋体" w:eastAsia="宋体" w:cs="宋体"/>
        </w:rPr>
        <w:t>118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_Toc3627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4. </w:t>
      </w:r>
      <w:r>
        <w:rPr>
          <w:rFonts w:hint="eastAsia" w:ascii="宋体" w:hAnsi="宋体" w:eastAsia="宋体" w:cs="宋体"/>
          <w:szCs w:val="24"/>
          <w:highlight w:val="none"/>
        </w:rPr>
        <w:t>承包人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_Toc3627 \h </w:instrText>
      </w:r>
      <w:r>
        <w:rPr>
          <w:rFonts w:hint="eastAsia" w:ascii="宋体" w:hAnsi="宋体" w:eastAsia="宋体" w:cs="宋体"/>
        </w:rPr>
        <w:fldChar w:fldCharType="separate"/>
      </w:r>
      <w:r>
        <w:rPr>
          <w:rFonts w:hint="eastAsia" w:ascii="宋体" w:hAnsi="宋体" w:eastAsia="宋体" w:cs="宋体"/>
        </w:rPr>
        <w:t>118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_Toc1728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5. </w:t>
      </w:r>
      <w:r>
        <w:rPr>
          <w:rFonts w:hint="eastAsia" w:ascii="宋体" w:hAnsi="宋体" w:eastAsia="宋体" w:cs="宋体"/>
          <w:spacing w:val="-1"/>
          <w:szCs w:val="24"/>
          <w:highlight w:val="none"/>
        </w:rPr>
        <w:t>材料和工程设备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 \h </w:instrText>
      </w:r>
      <w:r>
        <w:rPr>
          <w:rFonts w:hint="eastAsia" w:ascii="宋体" w:hAnsi="宋体" w:eastAsia="宋体" w:cs="宋体"/>
        </w:rPr>
        <w:fldChar w:fldCharType="separate"/>
      </w:r>
      <w:r>
        <w:rPr>
          <w:rFonts w:hint="eastAsia" w:ascii="宋体" w:hAnsi="宋体" w:eastAsia="宋体" w:cs="宋体"/>
        </w:rPr>
        <w:t>124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_Toc31719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6. </w:t>
      </w:r>
      <w:r>
        <w:rPr>
          <w:rFonts w:hint="eastAsia" w:ascii="宋体" w:hAnsi="宋体" w:eastAsia="宋体" w:cs="宋体"/>
          <w:spacing w:val="-2"/>
          <w:szCs w:val="24"/>
          <w:highlight w:val="none"/>
        </w:rPr>
        <w:t>施工设备和临时设施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_Toc31719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_Toc22127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7. </w:t>
      </w:r>
      <w:r>
        <w:rPr>
          <w:rFonts w:hint="eastAsia" w:ascii="宋体" w:hAnsi="宋体" w:eastAsia="宋体" w:cs="宋体"/>
          <w:szCs w:val="24"/>
          <w:highlight w:val="none"/>
        </w:rPr>
        <w:t>交通运输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_Toc22127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_Toc15361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8. </w:t>
      </w:r>
      <w:r>
        <w:rPr>
          <w:rFonts w:hint="eastAsia" w:ascii="宋体" w:hAnsi="宋体" w:eastAsia="宋体" w:cs="宋体"/>
          <w:szCs w:val="24"/>
          <w:highlight w:val="none"/>
        </w:rPr>
        <w:t>测量放线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_Toc15361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_Toc20074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9. </w:t>
      </w:r>
      <w:r>
        <w:rPr>
          <w:rFonts w:hint="eastAsia" w:ascii="宋体" w:hAnsi="宋体" w:eastAsia="宋体" w:cs="宋体"/>
          <w:spacing w:val="-3"/>
          <w:szCs w:val="24"/>
          <w:highlight w:val="none"/>
        </w:rPr>
        <w:t>施工安全、治安保卫和环境保护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_Toc20074 \h </w:instrText>
      </w:r>
      <w:r>
        <w:rPr>
          <w:rFonts w:hint="eastAsia" w:ascii="宋体" w:hAnsi="宋体" w:eastAsia="宋体" w:cs="宋体"/>
        </w:rPr>
        <w:fldChar w:fldCharType="separate"/>
      </w:r>
      <w:r>
        <w:rPr>
          <w:rFonts w:hint="eastAsia" w:ascii="宋体" w:hAnsi="宋体" w:eastAsia="宋体" w:cs="宋体"/>
        </w:rPr>
        <w:t>126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_Toc6712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10. </w:t>
      </w:r>
      <w:r>
        <w:rPr>
          <w:rFonts w:hint="eastAsia" w:ascii="宋体" w:hAnsi="宋体" w:eastAsia="宋体" w:cs="宋体"/>
          <w:szCs w:val="24"/>
          <w:highlight w:val="none"/>
        </w:rPr>
        <w:t>进度计划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_Toc6712 \h </w:instrText>
      </w:r>
      <w:r>
        <w:rPr>
          <w:rFonts w:hint="eastAsia" w:ascii="宋体" w:hAnsi="宋体" w:eastAsia="宋体" w:cs="宋体"/>
        </w:rPr>
        <w:fldChar w:fldCharType="separate"/>
      </w:r>
      <w:r>
        <w:rPr>
          <w:rFonts w:hint="eastAsia" w:ascii="宋体" w:hAnsi="宋体" w:eastAsia="宋体" w:cs="宋体"/>
        </w:rPr>
        <w:t>129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_Toc26369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11. </w:t>
      </w:r>
      <w:r>
        <w:rPr>
          <w:rFonts w:hint="eastAsia" w:ascii="宋体" w:hAnsi="宋体" w:eastAsia="宋体" w:cs="宋体"/>
          <w:szCs w:val="24"/>
          <w:highlight w:val="none"/>
        </w:rPr>
        <w:t>开工和交工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_Toc26369 \h </w:instrText>
      </w:r>
      <w:r>
        <w:rPr>
          <w:rFonts w:hint="eastAsia" w:ascii="宋体" w:hAnsi="宋体" w:eastAsia="宋体" w:cs="宋体"/>
        </w:rPr>
        <w:fldChar w:fldCharType="separate"/>
      </w:r>
      <w:r>
        <w:rPr>
          <w:rFonts w:hint="eastAsia" w:ascii="宋体" w:hAnsi="宋体" w:eastAsia="宋体" w:cs="宋体"/>
        </w:rPr>
        <w:t>130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_Toc24819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12. </w:t>
      </w:r>
      <w:r>
        <w:rPr>
          <w:rFonts w:hint="eastAsia" w:ascii="宋体" w:hAnsi="宋体" w:eastAsia="宋体" w:cs="宋体"/>
          <w:szCs w:val="24"/>
          <w:highlight w:val="none"/>
        </w:rPr>
        <w:t>暂停施工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_Toc24819 \h </w:instrText>
      </w:r>
      <w:r>
        <w:rPr>
          <w:rFonts w:hint="eastAsia" w:ascii="宋体" w:hAnsi="宋体" w:eastAsia="宋体" w:cs="宋体"/>
        </w:rPr>
        <w:fldChar w:fldCharType="separate"/>
      </w:r>
      <w:r>
        <w:rPr>
          <w:rFonts w:hint="eastAsia" w:ascii="宋体" w:hAnsi="宋体" w:eastAsia="宋体" w:cs="宋体"/>
        </w:rPr>
        <w:t>132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_Toc15948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13. </w:t>
      </w:r>
      <w:r>
        <w:rPr>
          <w:rFonts w:hint="eastAsia" w:ascii="宋体" w:hAnsi="宋体" w:eastAsia="宋体" w:cs="宋体"/>
          <w:szCs w:val="24"/>
          <w:highlight w:val="none"/>
        </w:rPr>
        <w:t>工程质量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_Toc15948 \h </w:instrText>
      </w:r>
      <w:r>
        <w:rPr>
          <w:rFonts w:hint="eastAsia" w:ascii="宋体" w:hAnsi="宋体" w:eastAsia="宋体" w:cs="宋体"/>
        </w:rPr>
        <w:fldChar w:fldCharType="separate"/>
      </w:r>
      <w:r>
        <w:rPr>
          <w:rFonts w:hint="eastAsia" w:ascii="宋体" w:hAnsi="宋体" w:eastAsia="宋体" w:cs="宋体"/>
        </w:rPr>
        <w:t>132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_Toc17598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14. </w:t>
      </w:r>
      <w:r>
        <w:rPr>
          <w:rFonts w:hint="eastAsia" w:ascii="宋体" w:hAnsi="宋体" w:eastAsia="宋体" w:cs="宋体"/>
          <w:szCs w:val="24"/>
          <w:highlight w:val="none"/>
        </w:rPr>
        <w:t>试验和检验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_Toc17598 \h </w:instrText>
      </w:r>
      <w:r>
        <w:rPr>
          <w:rFonts w:hint="eastAsia" w:ascii="宋体" w:hAnsi="宋体" w:eastAsia="宋体" w:cs="宋体"/>
        </w:rPr>
        <w:fldChar w:fldCharType="separate"/>
      </w:r>
      <w:r>
        <w:rPr>
          <w:rFonts w:hint="eastAsia" w:ascii="宋体" w:hAnsi="宋体" w:eastAsia="宋体" w:cs="宋体"/>
        </w:rPr>
        <w:t>134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_Toc10252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15. </w:t>
      </w:r>
      <w:r>
        <w:rPr>
          <w:rFonts w:hint="eastAsia" w:ascii="宋体" w:hAnsi="宋体" w:eastAsia="宋体" w:cs="宋体"/>
          <w:szCs w:val="24"/>
          <w:highlight w:val="none"/>
        </w:rPr>
        <w:t>变更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_Toc10252 \h </w:instrText>
      </w:r>
      <w:r>
        <w:rPr>
          <w:rFonts w:hint="eastAsia" w:ascii="宋体" w:hAnsi="宋体" w:eastAsia="宋体" w:cs="宋体"/>
        </w:rPr>
        <w:fldChar w:fldCharType="separate"/>
      </w:r>
      <w:r>
        <w:rPr>
          <w:rFonts w:hint="eastAsia" w:ascii="宋体" w:hAnsi="宋体" w:eastAsia="宋体" w:cs="宋体"/>
        </w:rPr>
        <w:t>134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_Toc15443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16. </w:t>
      </w:r>
      <w:r>
        <w:rPr>
          <w:rFonts w:hint="eastAsia" w:ascii="宋体" w:hAnsi="宋体" w:eastAsia="宋体" w:cs="宋体"/>
          <w:szCs w:val="24"/>
          <w:highlight w:val="none"/>
        </w:rPr>
        <w:t>价格调整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_Toc15443 \h </w:instrText>
      </w:r>
      <w:r>
        <w:rPr>
          <w:rFonts w:hint="eastAsia" w:ascii="宋体" w:hAnsi="宋体" w:eastAsia="宋体" w:cs="宋体"/>
        </w:rPr>
        <w:fldChar w:fldCharType="separate"/>
      </w:r>
      <w:r>
        <w:rPr>
          <w:rFonts w:hint="eastAsia" w:ascii="宋体" w:hAnsi="宋体" w:eastAsia="宋体" w:cs="宋体"/>
        </w:rPr>
        <w:t>136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_Toc19996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17. </w:t>
      </w:r>
      <w:r>
        <w:rPr>
          <w:rFonts w:hint="eastAsia" w:ascii="宋体" w:hAnsi="宋体" w:eastAsia="宋体" w:cs="宋体"/>
          <w:szCs w:val="24"/>
          <w:highlight w:val="none"/>
        </w:rPr>
        <w:t>计量与支付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_Toc19996 \h </w:instrText>
      </w:r>
      <w:r>
        <w:rPr>
          <w:rFonts w:hint="eastAsia" w:ascii="宋体" w:hAnsi="宋体" w:eastAsia="宋体" w:cs="宋体"/>
        </w:rPr>
        <w:fldChar w:fldCharType="separate"/>
      </w:r>
      <w:r>
        <w:rPr>
          <w:rFonts w:hint="eastAsia" w:ascii="宋体" w:hAnsi="宋体" w:eastAsia="宋体" w:cs="宋体"/>
        </w:rPr>
        <w:t>137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_Toc20821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18. </w:t>
      </w:r>
      <w:r>
        <w:rPr>
          <w:rFonts w:hint="eastAsia" w:ascii="宋体" w:hAnsi="宋体" w:eastAsia="宋体" w:cs="宋体"/>
          <w:szCs w:val="24"/>
          <w:highlight w:val="none"/>
        </w:rPr>
        <w:t>交工验收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_Toc20821 \h </w:instrText>
      </w:r>
      <w:r>
        <w:rPr>
          <w:rFonts w:hint="eastAsia" w:ascii="宋体" w:hAnsi="宋体" w:eastAsia="宋体" w:cs="宋体"/>
        </w:rPr>
        <w:fldChar w:fldCharType="separate"/>
      </w:r>
      <w:r>
        <w:rPr>
          <w:rFonts w:hint="eastAsia" w:ascii="宋体" w:hAnsi="宋体" w:eastAsia="宋体" w:cs="宋体"/>
        </w:rPr>
        <w:t>140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_Toc28828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19. </w:t>
      </w:r>
      <w:r>
        <w:rPr>
          <w:rFonts w:hint="eastAsia" w:ascii="宋体" w:hAnsi="宋体" w:eastAsia="宋体" w:cs="宋体"/>
          <w:spacing w:val="-2"/>
          <w:szCs w:val="24"/>
          <w:highlight w:val="none"/>
        </w:rPr>
        <w:t>缺陷责任与保修责任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_Toc28828 \h </w:instrText>
      </w:r>
      <w:r>
        <w:rPr>
          <w:rFonts w:hint="eastAsia" w:ascii="宋体" w:hAnsi="宋体" w:eastAsia="宋体" w:cs="宋体"/>
        </w:rPr>
        <w:fldChar w:fldCharType="separate"/>
      </w:r>
      <w:r>
        <w:rPr>
          <w:rFonts w:hint="eastAsia" w:ascii="宋体" w:hAnsi="宋体" w:eastAsia="宋体" w:cs="宋体"/>
        </w:rPr>
        <w:t>141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_Toc24547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20. </w:t>
      </w:r>
      <w:r>
        <w:rPr>
          <w:rFonts w:hint="eastAsia" w:ascii="宋体" w:hAnsi="宋体" w:eastAsia="宋体" w:cs="宋体"/>
          <w:szCs w:val="24"/>
          <w:highlight w:val="none"/>
        </w:rPr>
        <w:t>保险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_Toc24547 \h </w:instrText>
      </w:r>
      <w:r>
        <w:rPr>
          <w:rFonts w:hint="eastAsia" w:ascii="宋体" w:hAnsi="宋体" w:eastAsia="宋体" w:cs="宋体"/>
        </w:rPr>
        <w:fldChar w:fldCharType="separate"/>
      </w:r>
      <w:r>
        <w:rPr>
          <w:rFonts w:hint="eastAsia" w:ascii="宋体" w:hAnsi="宋体" w:eastAsia="宋体" w:cs="宋体"/>
        </w:rPr>
        <w:t>142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_Toc4841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21. </w:t>
      </w:r>
      <w:r>
        <w:rPr>
          <w:rFonts w:hint="eastAsia" w:ascii="宋体" w:hAnsi="宋体" w:eastAsia="宋体" w:cs="宋体"/>
          <w:szCs w:val="24"/>
          <w:highlight w:val="none"/>
        </w:rPr>
        <w:t>不可抗力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_Toc4841 \h </w:instrText>
      </w:r>
      <w:r>
        <w:rPr>
          <w:rFonts w:hint="eastAsia" w:ascii="宋体" w:hAnsi="宋体" w:eastAsia="宋体" w:cs="宋体"/>
        </w:rPr>
        <w:fldChar w:fldCharType="separate"/>
      </w:r>
      <w:r>
        <w:rPr>
          <w:rFonts w:hint="eastAsia" w:ascii="宋体" w:hAnsi="宋体" w:eastAsia="宋体" w:cs="宋体"/>
        </w:rPr>
        <w:t>143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_Toc32437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22. </w:t>
      </w:r>
      <w:r>
        <w:rPr>
          <w:rFonts w:hint="eastAsia" w:ascii="宋体" w:hAnsi="宋体" w:eastAsia="宋体" w:cs="宋体"/>
          <w:szCs w:val="24"/>
          <w:highlight w:val="none"/>
        </w:rPr>
        <w:t>违约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_Toc32437 \h </w:instrText>
      </w:r>
      <w:r>
        <w:rPr>
          <w:rFonts w:hint="eastAsia" w:ascii="宋体" w:hAnsi="宋体" w:eastAsia="宋体" w:cs="宋体"/>
        </w:rPr>
        <w:fldChar w:fldCharType="separate"/>
      </w:r>
      <w:r>
        <w:rPr>
          <w:rFonts w:hint="eastAsia" w:ascii="宋体" w:hAnsi="宋体" w:eastAsia="宋体" w:cs="宋体"/>
        </w:rPr>
        <w:t>144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_Toc22119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23. </w:t>
      </w:r>
      <w:r>
        <w:rPr>
          <w:rFonts w:hint="eastAsia" w:ascii="宋体" w:hAnsi="宋体" w:eastAsia="宋体" w:cs="宋体"/>
          <w:szCs w:val="24"/>
          <w:highlight w:val="none"/>
        </w:rPr>
        <w:t>索赔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_Toc22119 \h </w:instrText>
      </w:r>
      <w:r>
        <w:rPr>
          <w:rFonts w:hint="eastAsia" w:ascii="宋体" w:hAnsi="宋体" w:eastAsia="宋体" w:cs="宋体"/>
        </w:rPr>
        <w:fldChar w:fldCharType="separate"/>
      </w:r>
      <w:r>
        <w:rPr>
          <w:rFonts w:hint="eastAsia" w:ascii="宋体" w:hAnsi="宋体" w:eastAsia="宋体" w:cs="宋体"/>
        </w:rPr>
        <w:t>145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_Toc16645 </w:instrText>
      </w:r>
      <w:r>
        <w:rPr>
          <w:rFonts w:hint="eastAsia" w:ascii="宋体" w:hAnsi="宋体" w:eastAsia="宋体" w:cs="宋体"/>
          <w:highlight w:val="none"/>
        </w:rPr>
        <w:fldChar w:fldCharType="separate"/>
      </w:r>
      <w:r>
        <w:rPr>
          <w:rFonts w:hint="eastAsia" w:ascii="宋体" w:hAnsi="宋体" w:eastAsia="宋体" w:cs="宋体"/>
          <w:w w:val="100"/>
          <w:szCs w:val="28"/>
          <w:lang w:val="zh-CN" w:eastAsia="zh-CN" w:bidi="zh-CN"/>
        </w:rPr>
        <w:t xml:space="preserve">24. </w:t>
      </w:r>
      <w:r>
        <w:rPr>
          <w:rFonts w:hint="eastAsia" w:ascii="宋体" w:hAnsi="宋体" w:eastAsia="宋体" w:cs="宋体"/>
          <w:szCs w:val="24"/>
          <w:highlight w:val="none"/>
        </w:rPr>
        <w:t>争议的解决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_Toc16645 \h </w:instrText>
      </w:r>
      <w:r>
        <w:rPr>
          <w:rFonts w:hint="eastAsia" w:ascii="宋体" w:hAnsi="宋体" w:eastAsia="宋体" w:cs="宋体"/>
        </w:rPr>
        <w:fldChar w:fldCharType="separate"/>
      </w:r>
      <w:r>
        <w:rPr>
          <w:rFonts w:hint="eastAsia" w:ascii="宋体" w:hAnsi="宋体" w:eastAsia="宋体" w:cs="宋体"/>
        </w:rPr>
        <w:t>146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_Toc9022 </w:instrText>
      </w:r>
      <w:r>
        <w:rPr>
          <w:rFonts w:hint="eastAsia" w:ascii="宋体" w:hAnsi="宋体" w:eastAsia="宋体" w:cs="宋体"/>
          <w:highlight w:val="none"/>
        </w:rPr>
        <w:fldChar w:fldCharType="separate"/>
      </w:r>
      <w:r>
        <w:rPr>
          <w:rFonts w:hint="eastAsia" w:ascii="宋体" w:hAnsi="宋体" w:eastAsia="宋体" w:cs="宋体"/>
          <w:szCs w:val="36"/>
        </w:rPr>
        <w:t xml:space="preserve">B、 </w:t>
      </w:r>
      <w:r>
        <w:rPr>
          <w:rFonts w:hint="eastAsia" w:ascii="宋体" w:hAnsi="宋体" w:eastAsia="宋体" w:cs="宋体"/>
          <w:szCs w:val="36"/>
          <w:highlight w:val="none"/>
        </w:rPr>
        <w:t>项目专用合同条款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_Toc9022 \h </w:instrText>
      </w:r>
      <w:r>
        <w:rPr>
          <w:rFonts w:hint="eastAsia" w:ascii="宋体" w:hAnsi="宋体" w:eastAsia="宋体" w:cs="宋体"/>
        </w:rPr>
        <w:fldChar w:fldCharType="separate"/>
      </w:r>
      <w:r>
        <w:rPr>
          <w:rFonts w:hint="eastAsia" w:ascii="宋体" w:hAnsi="宋体" w:eastAsia="宋体" w:cs="宋体"/>
        </w:rPr>
        <w:t>148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_Toc28872 </w:instrText>
      </w:r>
      <w:r>
        <w:rPr>
          <w:rFonts w:hint="eastAsia" w:ascii="宋体" w:hAnsi="宋体" w:eastAsia="宋体" w:cs="宋体"/>
          <w:highlight w:val="none"/>
        </w:rPr>
        <w:fldChar w:fldCharType="separate"/>
      </w:r>
      <w:r>
        <w:rPr>
          <w:rFonts w:hint="eastAsia" w:ascii="宋体" w:hAnsi="宋体" w:eastAsia="宋体" w:cs="宋体"/>
          <w:szCs w:val="32"/>
          <w:highlight w:val="none"/>
          <w:lang w:val="zh-CN" w:bidi="zh-CN"/>
        </w:rPr>
        <w:t>项目专用合同条款数据表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_Toc28872 \h </w:instrText>
      </w:r>
      <w:r>
        <w:rPr>
          <w:rFonts w:hint="eastAsia" w:ascii="宋体" w:hAnsi="宋体" w:eastAsia="宋体" w:cs="宋体"/>
        </w:rPr>
        <w:fldChar w:fldCharType="separate"/>
      </w:r>
      <w:r>
        <w:rPr>
          <w:rFonts w:hint="eastAsia" w:ascii="宋体" w:hAnsi="宋体" w:eastAsia="宋体" w:cs="宋体"/>
        </w:rPr>
        <w:t>149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_Toc23612 </w:instrText>
      </w:r>
      <w:r>
        <w:rPr>
          <w:rFonts w:hint="eastAsia" w:ascii="宋体" w:hAnsi="宋体" w:eastAsia="宋体" w:cs="宋体"/>
          <w:highlight w:val="none"/>
        </w:rPr>
        <w:fldChar w:fldCharType="separate"/>
      </w:r>
      <w:r>
        <w:rPr>
          <w:rFonts w:hint="eastAsia" w:ascii="宋体" w:hAnsi="宋体" w:eastAsia="宋体" w:cs="宋体"/>
          <w:szCs w:val="36"/>
          <w:highlight w:val="none"/>
        </w:rPr>
        <w:t>项目专用合同条款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_Toc23612 \h </w:instrText>
      </w:r>
      <w:r>
        <w:rPr>
          <w:rFonts w:hint="eastAsia" w:ascii="宋体" w:hAnsi="宋体" w:eastAsia="宋体" w:cs="宋体"/>
        </w:rPr>
        <w:fldChar w:fldCharType="separate"/>
      </w:r>
      <w:r>
        <w:rPr>
          <w:rFonts w:hint="eastAsia" w:ascii="宋体" w:hAnsi="宋体" w:eastAsia="宋体" w:cs="宋体"/>
        </w:rPr>
        <w:t>163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_Toc19350 </w:instrText>
      </w:r>
      <w:r>
        <w:rPr>
          <w:rFonts w:hint="eastAsia" w:ascii="宋体" w:hAnsi="宋体" w:eastAsia="宋体" w:cs="宋体"/>
          <w:highlight w:val="none"/>
        </w:rPr>
        <w:fldChar w:fldCharType="separate"/>
      </w:r>
      <w:r>
        <w:rPr>
          <w:rFonts w:hint="eastAsia" w:ascii="宋体" w:hAnsi="宋体" w:eastAsia="宋体" w:cs="宋体"/>
          <w:bCs/>
          <w:highlight w:val="none"/>
        </w:rPr>
        <w:t>1. 一般约定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_Toc19350 \h </w:instrText>
      </w:r>
      <w:r>
        <w:rPr>
          <w:rFonts w:hint="eastAsia" w:ascii="宋体" w:hAnsi="宋体" w:eastAsia="宋体" w:cs="宋体"/>
        </w:rPr>
        <w:fldChar w:fldCharType="separate"/>
      </w:r>
      <w:r>
        <w:rPr>
          <w:rFonts w:hint="eastAsia" w:ascii="宋体" w:hAnsi="宋体" w:eastAsia="宋体" w:cs="宋体"/>
        </w:rPr>
        <w:t>163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_Toc7825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2.</w:t>
      </w:r>
      <w:r>
        <w:rPr>
          <w:rFonts w:hint="eastAsia" w:ascii="宋体" w:hAnsi="宋体" w:eastAsia="宋体" w:cs="宋体"/>
          <w:bCs/>
          <w:highlight w:val="none"/>
        </w:rPr>
        <w:t>发包人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_Toc7825 \h </w:instrText>
      </w:r>
      <w:r>
        <w:rPr>
          <w:rFonts w:hint="eastAsia" w:ascii="宋体" w:hAnsi="宋体" w:eastAsia="宋体" w:cs="宋体"/>
        </w:rPr>
        <w:fldChar w:fldCharType="separate"/>
      </w:r>
      <w:r>
        <w:rPr>
          <w:rFonts w:hint="eastAsia" w:ascii="宋体" w:hAnsi="宋体" w:eastAsia="宋体" w:cs="宋体"/>
        </w:rPr>
        <w:t>164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_Toc21616 </w:instrText>
      </w:r>
      <w:r>
        <w:rPr>
          <w:rFonts w:hint="eastAsia" w:ascii="宋体" w:hAnsi="宋体" w:eastAsia="宋体" w:cs="宋体"/>
          <w:highlight w:val="none"/>
        </w:rPr>
        <w:fldChar w:fldCharType="separate"/>
      </w:r>
      <w:r>
        <w:rPr>
          <w:rFonts w:hint="eastAsia" w:ascii="宋体" w:hAnsi="宋体" w:eastAsia="宋体" w:cs="宋体"/>
          <w:bCs/>
          <w:highlight w:val="none"/>
        </w:rPr>
        <w:t>4.承包人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_Toc21616 \h </w:instrText>
      </w:r>
      <w:r>
        <w:rPr>
          <w:rFonts w:hint="eastAsia" w:ascii="宋体" w:hAnsi="宋体" w:eastAsia="宋体" w:cs="宋体"/>
        </w:rPr>
        <w:fldChar w:fldCharType="separate"/>
      </w:r>
      <w:r>
        <w:rPr>
          <w:rFonts w:hint="eastAsia" w:ascii="宋体" w:hAnsi="宋体" w:eastAsia="宋体" w:cs="宋体"/>
        </w:rPr>
        <w:t>164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_Toc21998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5.</w:t>
      </w:r>
      <w:r>
        <w:rPr>
          <w:rFonts w:hint="eastAsia" w:ascii="宋体" w:hAnsi="宋体" w:eastAsia="宋体" w:cs="宋体"/>
          <w:bCs/>
          <w:highlight w:val="none"/>
        </w:rPr>
        <w:t>材料和工程设备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_Toc21998 \h </w:instrText>
      </w:r>
      <w:r>
        <w:rPr>
          <w:rFonts w:hint="eastAsia" w:ascii="宋体" w:hAnsi="宋体" w:eastAsia="宋体" w:cs="宋体"/>
        </w:rPr>
        <w:fldChar w:fldCharType="separate"/>
      </w:r>
      <w:r>
        <w:rPr>
          <w:rFonts w:hint="eastAsia" w:ascii="宋体" w:hAnsi="宋体" w:eastAsia="宋体" w:cs="宋体"/>
        </w:rPr>
        <w:t>172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_Toc23022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6.施工设备和临时设施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_Toc23022 \h </w:instrText>
      </w:r>
      <w:r>
        <w:rPr>
          <w:rFonts w:hint="eastAsia" w:ascii="宋体" w:hAnsi="宋体" w:eastAsia="宋体" w:cs="宋体"/>
        </w:rPr>
        <w:fldChar w:fldCharType="separate"/>
      </w:r>
      <w:r>
        <w:rPr>
          <w:rFonts w:hint="eastAsia" w:ascii="宋体" w:hAnsi="宋体" w:eastAsia="宋体" w:cs="宋体"/>
        </w:rPr>
        <w:t>173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_Toc1266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7.交通运输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_Toc1266 \h </w:instrText>
      </w:r>
      <w:r>
        <w:rPr>
          <w:rFonts w:hint="eastAsia" w:ascii="宋体" w:hAnsi="宋体" w:eastAsia="宋体" w:cs="宋体"/>
        </w:rPr>
        <w:fldChar w:fldCharType="separate"/>
      </w:r>
      <w:r>
        <w:rPr>
          <w:rFonts w:hint="eastAsia" w:ascii="宋体" w:hAnsi="宋体" w:eastAsia="宋体" w:cs="宋体"/>
        </w:rPr>
        <w:t>173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_Toc11660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8.测量放线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_Toc11660 \h </w:instrText>
      </w:r>
      <w:r>
        <w:rPr>
          <w:rFonts w:hint="eastAsia" w:ascii="宋体" w:hAnsi="宋体" w:eastAsia="宋体" w:cs="宋体"/>
        </w:rPr>
        <w:fldChar w:fldCharType="separate"/>
      </w:r>
      <w:r>
        <w:rPr>
          <w:rFonts w:hint="eastAsia" w:ascii="宋体" w:hAnsi="宋体" w:eastAsia="宋体" w:cs="宋体"/>
        </w:rPr>
        <w:t>174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_Toc2752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9.施工安全、治安保卫和环境保护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_Toc2752 \h </w:instrText>
      </w:r>
      <w:r>
        <w:rPr>
          <w:rFonts w:hint="eastAsia" w:ascii="宋体" w:hAnsi="宋体" w:eastAsia="宋体" w:cs="宋体"/>
        </w:rPr>
        <w:fldChar w:fldCharType="separate"/>
      </w:r>
      <w:r>
        <w:rPr>
          <w:rFonts w:hint="eastAsia" w:ascii="宋体" w:hAnsi="宋体" w:eastAsia="宋体" w:cs="宋体"/>
        </w:rPr>
        <w:t>175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_Toc12874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10.进度计划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_Toc12874 \h </w:instrText>
      </w:r>
      <w:r>
        <w:rPr>
          <w:rFonts w:hint="eastAsia" w:ascii="宋体" w:hAnsi="宋体" w:eastAsia="宋体" w:cs="宋体"/>
        </w:rPr>
        <w:fldChar w:fldCharType="separate"/>
      </w:r>
      <w:r>
        <w:rPr>
          <w:rFonts w:hint="eastAsia" w:ascii="宋体" w:hAnsi="宋体" w:eastAsia="宋体" w:cs="宋体"/>
        </w:rPr>
        <w:t>177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_Toc29097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11.开工和竣工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_Toc29097 \h </w:instrText>
      </w:r>
      <w:r>
        <w:rPr>
          <w:rFonts w:hint="eastAsia" w:ascii="宋体" w:hAnsi="宋体" w:eastAsia="宋体" w:cs="宋体"/>
        </w:rPr>
        <w:fldChar w:fldCharType="separate"/>
      </w:r>
      <w:r>
        <w:rPr>
          <w:rFonts w:hint="eastAsia" w:ascii="宋体" w:hAnsi="宋体" w:eastAsia="宋体" w:cs="宋体"/>
        </w:rPr>
        <w:t>177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_Toc30531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12.暂停施工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_Toc30531 \h </w:instrText>
      </w:r>
      <w:r>
        <w:rPr>
          <w:rFonts w:hint="eastAsia" w:ascii="宋体" w:hAnsi="宋体" w:eastAsia="宋体" w:cs="宋体"/>
        </w:rPr>
        <w:fldChar w:fldCharType="separate"/>
      </w:r>
      <w:r>
        <w:rPr>
          <w:rFonts w:hint="eastAsia" w:ascii="宋体" w:hAnsi="宋体" w:eastAsia="宋体" w:cs="宋体"/>
        </w:rPr>
        <w:t>178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_Toc10817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13.工程质量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_Toc10817 \h </w:instrText>
      </w:r>
      <w:r>
        <w:rPr>
          <w:rFonts w:hint="eastAsia" w:ascii="宋体" w:hAnsi="宋体" w:eastAsia="宋体" w:cs="宋体"/>
        </w:rPr>
        <w:fldChar w:fldCharType="separate"/>
      </w:r>
      <w:r>
        <w:rPr>
          <w:rFonts w:hint="eastAsia" w:ascii="宋体" w:hAnsi="宋体" w:eastAsia="宋体" w:cs="宋体"/>
        </w:rPr>
        <w:t>179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_Toc31646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15.变更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_Toc31646 \h </w:instrText>
      </w:r>
      <w:r>
        <w:rPr>
          <w:rFonts w:hint="eastAsia" w:ascii="宋体" w:hAnsi="宋体" w:eastAsia="宋体" w:cs="宋体"/>
        </w:rPr>
        <w:fldChar w:fldCharType="separate"/>
      </w:r>
      <w:r>
        <w:rPr>
          <w:rFonts w:hint="eastAsia" w:ascii="宋体" w:hAnsi="宋体" w:eastAsia="宋体" w:cs="宋体"/>
        </w:rPr>
        <w:t>180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_Toc26253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16.价格调整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_Toc26253 \h </w:instrText>
      </w:r>
      <w:r>
        <w:rPr>
          <w:rFonts w:hint="eastAsia" w:ascii="宋体" w:hAnsi="宋体" w:eastAsia="宋体" w:cs="宋体"/>
        </w:rPr>
        <w:fldChar w:fldCharType="separate"/>
      </w:r>
      <w:r>
        <w:rPr>
          <w:rFonts w:hint="eastAsia" w:ascii="宋体" w:hAnsi="宋体" w:eastAsia="宋体" w:cs="宋体"/>
        </w:rPr>
        <w:t>180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_Toc20238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17.计量与支付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_Toc20238 \h </w:instrText>
      </w:r>
      <w:r>
        <w:rPr>
          <w:rFonts w:hint="eastAsia" w:ascii="宋体" w:hAnsi="宋体" w:eastAsia="宋体" w:cs="宋体"/>
        </w:rPr>
        <w:fldChar w:fldCharType="separate"/>
      </w:r>
      <w:r>
        <w:rPr>
          <w:rFonts w:hint="eastAsia" w:ascii="宋体" w:hAnsi="宋体" w:eastAsia="宋体" w:cs="宋体"/>
        </w:rPr>
        <w:t>180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_Toc7008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18.交工验收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_Toc7008 \h </w:instrText>
      </w:r>
      <w:r>
        <w:rPr>
          <w:rFonts w:hint="eastAsia" w:ascii="宋体" w:hAnsi="宋体" w:eastAsia="宋体" w:cs="宋体"/>
        </w:rPr>
        <w:fldChar w:fldCharType="separate"/>
      </w:r>
      <w:r>
        <w:rPr>
          <w:rFonts w:hint="eastAsia" w:ascii="宋体" w:hAnsi="宋体" w:eastAsia="宋体" w:cs="宋体"/>
        </w:rPr>
        <w:t>181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_Toc18588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19.缺陷责任与保修责任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_Toc18588 \h </w:instrText>
      </w:r>
      <w:r>
        <w:rPr>
          <w:rFonts w:hint="eastAsia" w:ascii="宋体" w:hAnsi="宋体" w:eastAsia="宋体" w:cs="宋体"/>
        </w:rPr>
        <w:fldChar w:fldCharType="separate"/>
      </w:r>
      <w:r>
        <w:rPr>
          <w:rFonts w:hint="eastAsia" w:ascii="宋体" w:hAnsi="宋体" w:eastAsia="宋体" w:cs="宋体"/>
        </w:rPr>
        <w:t>181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_Toc24390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20.保险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_Toc24390 \h </w:instrText>
      </w:r>
      <w:r>
        <w:rPr>
          <w:rFonts w:hint="eastAsia" w:ascii="宋体" w:hAnsi="宋体" w:eastAsia="宋体" w:cs="宋体"/>
        </w:rPr>
        <w:fldChar w:fldCharType="separate"/>
      </w:r>
      <w:r>
        <w:rPr>
          <w:rFonts w:hint="eastAsia" w:ascii="宋体" w:hAnsi="宋体" w:eastAsia="宋体" w:cs="宋体"/>
        </w:rPr>
        <w:t>182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_Toc347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21.不可抗力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_Toc347 \h </w:instrText>
      </w:r>
      <w:r>
        <w:rPr>
          <w:rFonts w:hint="eastAsia" w:ascii="宋体" w:hAnsi="宋体" w:eastAsia="宋体" w:cs="宋体"/>
        </w:rPr>
        <w:fldChar w:fldCharType="separate"/>
      </w:r>
      <w:r>
        <w:rPr>
          <w:rFonts w:hint="eastAsia" w:ascii="宋体" w:hAnsi="宋体" w:eastAsia="宋体" w:cs="宋体"/>
        </w:rPr>
        <w:t>182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_Toc25934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22.违约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_Toc25934 \h </w:instrText>
      </w:r>
      <w:r>
        <w:rPr>
          <w:rFonts w:hint="eastAsia" w:ascii="宋体" w:hAnsi="宋体" w:eastAsia="宋体" w:cs="宋体"/>
        </w:rPr>
        <w:fldChar w:fldCharType="separate"/>
      </w:r>
      <w:r>
        <w:rPr>
          <w:rFonts w:hint="eastAsia" w:ascii="宋体" w:hAnsi="宋体" w:eastAsia="宋体" w:cs="宋体"/>
        </w:rPr>
        <w:t>183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_Toc9612 </w:instrText>
      </w:r>
      <w:r>
        <w:rPr>
          <w:rFonts w:hint="eastAsia" w:ascii="宋体" w:hAnsi="宋体" w:eastAsia="宋体" w:cs="宋体"/>
          <w:highlight w:val="none"/>
        </w:rPr>
        <w:fldChar w:fldCharType="separate"/>
      </w:r>
      <w:r>
        <w:rPr>
          <w:rFonts w:hint="eastAsia" w:ascii="宋体" w:hAnsi="宋体" w:eastAsia="宋体" w:cs="宋体"/>
          <w:bCs/>
          <w:highlight w:val="none"/>
          <w:lang w:val="en-US"/>
        </w:rPr>
        <w:t>23.</w:t>
      </w:r>
      <w:r>
        <w:rPr>
          <w:rFonts w:hint="eastAsia" w:ascii="宋体" w:hAnsi="宋体" w:eastAsia="宋体" w:cs="宋体"/>
          <w:bCs/>
          <w:highlight w:val="none"/>
        </w:rPr>
        <w:t>索赔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_Toc9612 \h </w:instrText>
      </w:r>
      <w:r>
        <w:rPr>
          <w:rFonts w:hint="eastAsia" w:ascii="宋体" w:hAnsi="宋体" w:eastAsia="宋体" w:cs="宋体"/>
        </w:rPr>
        <w:fldChar w:fldCharType="separate"/>
      </w:r>
      <w:r>
        <w:rPr>
          <w:rFonts w:hint="eastAsia" w:ascii="宋体" w:hAnsi="宋体" w:eastAsia="宋体" w:cs="宋体"/>
        </w:rPr>
        <w:t>184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_Toc126 </w:instrText>
      </w:r>
      <w:r>
        <w:rPr>
          <w:rFonts w:hint="eastAsia" w:ascii="宋体" w:hAnsi="宋体" w:eastAsia="宋体" w:cs="宋体"/>
          <w:highlight w:val="none"/>
        </w:rPr>
        <w:fldChar w:fldCharType="separate"/>
      </w:r>
      <w:r>
        <w:rPr>
          <w:rFonts w:hint="eastAsia" w:ascii="宋体" w:hAnsi="宋体" w:eastAsia="宋体" w:cs="宋体"/>
          <w:highlight w:val="none"/>
        </w:rPr>
        <w:t>第三节</w:t>
      </w:r>
      <w:r>
        <w:rPr>
          <w:rFonts w:hint="eastAsia" w:ascii="宋体" w:hAnsi="宋体" w:eastAsia="宋体" w:cs="宋体"/>
          <w:highlight w:val="none"/>
        </w:rPr>
        <w:tab/>
      </w:r>
      <w:r>
        <w:rPr>
          <w:rFonts w:hint="eastAsia" w:ascii="宋体" w:hAnsi="宋体" w:eastAsia="宋体" w:cs="宋体"/>
          <w:highlight w:val="none"/>
        </w:rPr>
        <w:t>合同附件格式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 \h </w:instrText>
      </w:r>
      <w:r>
        <w:rPr>
          <w:rFonts w:hint="eastAsia" w:ascii="宋体" w:hAnsi="宋体" w:eastAsia="宋体" w:cs="宋体"/>
        </w:rPr>
        <w:fldChar w:fldCharType="separate"/>
      </w:r>
      <w:r>
        <w:rPr>
          <w:rFonts w:hint="eastAsia" w:ascii="宋体" w:hAnsi="宋体" w:eastAsia="宋体" w:cs="宋体"/>
        </w:rPr>
        <w:t>185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_Toc15577 </w:instrText>
      </w:r>
      <w:r>
        <w:rPr>
          <w:rFonts w:hint="eastAsia" w:ascii="宋体" w:hAnsi="宋体" w:eastAsia="宋体" w:cs="宋体"/>
          <w:highlight w:val="none"/>
        </w:rPr>
        <w:fldChar w:fldCharType="separate"/>
      </w:r>
      <w:r>
        <w:rPr>
          <w:rFonts w:hint="eastAsia" w:ascii="宋体" w:hAnsi="宋体" w:eastAsia="宋体" w:cs="宋体"/>
          <w:highlight w:val="none"/>
        </w:rPr>
        <w:t>附件一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_Toc15577 \h </w:instrText>
      </w:r>
      <w:r>
        <w:rPr>
          <w:rFonts w:hint="eastAsia" w:ascii="宋体" w:hAnsi="宋体" w:eastAsia="宋体" w:cs="宋体"/>
        </w:rPr>
        <w:fldChar w:fldCharType="separate"/>
      </w:r>
      <w:r>
        <w:rPr>
          <w:rFonts w:hint="eastAsia" w:ascii="宋体" w:hAnsi="宋体" w:eastAsia="宋体" w:cs="宋体"/>
        </w:rPr>
        <w:t>186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_Toc32676 </w:instrText>
      </w:r>
      <w:r>
        <w:rPr>
          <w:rFonts w:hint="eastAsia" w:ascii="宋体" w:hAnsi="宋体" w:eastAsia="宋体" w:cs="宋体"/>
          <w:highlight w:val="none"/>
        </w:rPr>
        <w:fldChar w:fldCharType="separate"/>
      </w:r>
      <w:r>
        <w:rPr>
          <w:rFonts w:hint="eastAsia" w:ascii="宋体" w:hAnsi="宋体" w:eastAsia="宋体" w:cs="宋体"/>
          <w:highlight w:val="none"/>
        </w:rPr>
        <w:t>附件二 廉政合同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_Toc32676 \h </w:instrText>
      </w:r>
      <w:r>
        <w:rPr>
          <w:rFonts w:hint="eastAsia" w:ascii="宋体" w:hAnsi="宋体" w:eastAsia="宋体" w:cs="宋体"/>
        </w:rPr>
        <w:fldChar w:fldCharType="separate"/>
      </w:r>
      <w:r>
        <w:rPr>
          <w:rFonts w:hint="eastAsia" w:ascii="宋体" w:hAnsi="宋体" w:eastAsia="宋体" w:cs="宋体"/>
        </w:rPr>
        <w:t>188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_Toc29020 </w:instrText>
      </w:r>
      <w:r>
        <w:rPr>
          <w:rFonts w:hint="eastAsia" w:ascii="宋体" w:hAnsi="宋体" w:eastAsia="宋体" w:cs="宋体"/>
          <w:highlight w:val="none"/>
        </w:rPr>
        <w:fldChar w:fldCharType="separate"/>
      </w:r>
      <w:r>
        <w:rPr>
          <w:rFonts w:hint="eastAsia" w:ascii="宋体" w:hAnsi="宋体" w:eastAsia="宋体" w:cs="宋体"/>
          <w:highlight w:val="none"/>
        </w:rPr>
        <w:t>附件三 安全生产合同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_Toc29020 \h </w:instrText>
      </w:r>
      <w:r>
        <w:rPr>
          <w:rFonts w:hint="eastAsia" w:ascii="宋体" w:hAnsi="宋体" w:eastAsia="宋体" w:cs="宋体"/>
        </w:rPr>
        <w:fldChar w:fldCharType="separate"/>
      </w:r>
      <w:r>
        <w:rPr>
          <w:rFonts w:hint="eastAsia" w:ascii="宋体" w:hAnsi="宋体" w:eastAsia="宋体" w:cs="宋体"/>
        </w:rPr>
        <w:t>190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_Toc18647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附件四 其他管理和技术人员最低要求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_Toc18647 \h </w:instrText>
      </w:r>
      <w:r>
        <w:rPr>
          <w:rFonts w:hint="eastAsia" w:ascii="宋体" w:hAnsi="宋体" w:eastAsia="宋体" w:cs="宋体"/>
        </w:rPr>
        <w:fldChar w:fldCharType="separate"/>
      </w:r>
      <w:r>
        <w:rPr>
          <w:rFonts w:hint="eastAsia" w:ascii="宋体" w:hAnsi="宋体" w:eastAsia="宋体" w:cs="宋体"/>
        </w:rPr>
        <w:t>192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_Toc27569 </w:instrText>
      </w:r>
      <w:r>
        <w:rPr>
          <w:rFonts w:hint="eastAsia" w:ascii="宋体" w:hAnsi="宋体" w:eastAsia="宋体" w:cs="宋体"/>
          <w:highlight w:val="none"/>
        </w:rPr>
        <w:fldChar w:fldCharType="separate"/>
      </w:r>
      <w:r>
        <w:rPr>
          <w:rFonts w:hint="eastAsia" w:ascii="宋体" w:hAnsi="宋体" w:eastAsia="宋体" w:cs="宋体"/>
          <w:highlight w:val="none"/>
        </w:rPr>
        <w:t>附件五 主要机械设备和试验检测设备最低要求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_Toc27569 \h </w:instrText>
      </w:r>
      <w:r>
        <w:rPr>
          <w:rFonts w:hint="eastAsia" w:ascii="宋体" w:hAnsi="宋体" w:eastAsia="宋体" w:cs="宋体"/>
        </w:rPr>
        <w:fldChar w:fldCharType="separate"/>
      </w:r>
      <w:r>
        <w:rPr>
          <w:rFonts w:hint="eastAsia" w:ascii="宋体" w:hAnsi="宋体" w:eastAsia="宋体" w:cs="宋体"/>
        </w:rPr>
        <w:t>193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_Toc21663 </w:instrText>
      </w:r>
      <w:r>
        <w:rPr>
          <w:rFonts w:hint="eastAsia" w:ascii="宋体" w:hAnsi="宋体" w:eastAsia="宋体" w:cs="宋体"/>
          <w:highlight w:val="none"/>
        </w:rPr>
        <w:fldChar w:fldCharType="separate"/>
      </w:r>
      <w:r>
        <w:rPr>
          <w:rFonts w:hint="eastAsia" w:ascii="宋体" w:hAnsi="宋体" w:eastAsia="宋体" w:cs="宋体"/>
          <w:highlight w:val="none"/>
        </w:rPr>
        <w:t>附件六 项目经理委任书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_Toc21663 \h </w:instrText>
      </w:r>
      <w:r>
        <w:rPr>
          <w:rFonts w:hint="eastAsia" w:ascii="宋体" w:hAnsi="宋体" w:eastAsia="宋体" w:cs="宋体"/>
        </w:rPr>
        <w:fldChar w:fldCharType="separate"/>
      </w:r>
      <w:r>
        <w:rPr>
          <w:rFonts w:hint="eastAsia" w:ascii="宋体" w:hAnsi="宋体" w:eastAsia="宋体" w:cs="宋体"/>
        </w:rPr>
        <w:t>194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_Toc15080 </w:instrText>
      </w:r>
      <w:r>
        <w:rPr>
          <w:rFonts w:hint="eastAsia" w:ascii="宋体" w:hAnsi="宋体" w:eastAsia="宋体" w:cs="宋体"/>
          <w:highlight w:val="none"/>
        </w:rPr>
        <w:fldChar w:fldCharType="separate"/>
      </w:r>
      <w:r>
        <w:rPr>
          <w:rFonts w:hint="eastAsia" w:ascii="宋体" w:hAnsi="宋体" w:eastAsia="宋体" w:cs="宋体"/>
          <w:highlight w:val="none"/>
        </w:rPr>
        <w:t>附件七 履约保证金格式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_Toc15080 \h </w:instrText>
      </w:r>
      <w:r>
        <w:rPr>
          <w:rFonts w:hint="eastAsia" w:ascii="宋体" w:hAnsi="宋体" w:eastAsia="宋体" w:cs="宋体"/>
        </w:rPr>
        <w:fldChar w:fldCharType="separate"/>
      </w:r>
      <w:r>
        <w:rPr>
          <w:rFonts w:hint="eastAsia" w:ascii="宋体" w:hAnsi="宋体" w:eastAsia="宋体" w:cs="宋体"/>
        </w:rPr>
        <w:t>195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_Toc20780 </w:instrText>
      </w:r>
      <w:r>
        <w:rPr>
          <w:rFonts w:hint="eastAsia" w:ascii="宋体" w:hAnsi="宋体" w:eastAsia="宋体" w:cs="宋体"/>
          <w:highlight w:val="none"/>
        </w:rPr>
        <w:fldChar w:fldCharType="separate"/>
      </w:r>
      <w:r>
        <w:rPr>
          <w:rFonts w:hint="eastAsia" w:ascii="宋体" w:hAnsi="宋体" w:eastAsia="宋体" w:cs="宋体"/>
          <w:highlight w:val="none"/>
        </w:rPr>
        <w:t>附件八 工程资金监管协议格式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_Toc20780 \h </w:instrText>
      </w:r>
      <w:r>
        <w:rPr>
          <w:rFonts w:hint="eastAsia" w:ascii="宋体" w:hAnsi="宋体" w:eastAsia="宋体" w:cs="宋体"/>
        </w:rPr>
        <w:fldChar w:fldCharType="separate"/>
      </w:r>
      <w:r>
        <w:rPr>
          <w:rFonts w:hint="eastAsia" w:ascii="宋体" w:hAnsi="宋体" w:eastAsia="宋体" w:cs="宋体"/>
        </w:rPr>
        <w:t>196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_Toc10358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工程量清单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_Toc10358 \h </w:instrText>
      </w:r>
      <w:r>
        <w:rPr>
          <w:rFonts w:hint="eastAsia" w:ascii="宋体" w:hAnsi="宋体" w:eastAsia="宋体" w:cs="宋体"/>
        </w:rPr>
        <w:fldChar w:fldCharType="separate"/>
      </w:r>
      <w:r>
        <w:rPr>
          <w:rFonts w:hint="eastAsia" w:ascii="宋体" w:hAnsi="宋体" w:eastAsia="宋体" w:cs="宋体"/>
        </w:rPr>
        <w:t>198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_Toc13322 </w:instrText>
      </w:r>
      <w:r>
        <w:rPr>
          <w:rFonts w:hint="eastAsia" w:ascii="宋体" w:hAnsi="宋体" w:eastAsia="宋体" w:cs="宋体"/>
          <w:highlight w:val="none"/>
        </w:rPr>
        <w:fldChar w:fldCharType="separate"/>
      </w:r>
      <w:r>
        <w:rPr>
          <w:rFonts w:hint="eastAsia" w:ascii="宋体" w:hAnsi="宋体" w:eastAsia="宋体" w:cs="宋体"/>
          <w:highlight w:val="none"/>
        </w:rPr>
        <w:t>第二卷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_Toc13322 \h </w:instrText>
      </w:r>
      <w:r>
        <w:rPr>
          <w:rFonts w:hint="eastAsia" w:ascii="宋体" w:hAnsi="宋体" w:eastAsia="宋体" w:cs="宋体"/>
        </w:rPr>
        <w:fldChar w:fldCharType="separate"/>
      </w:r>
      <w:r>
        <w:rPr>
          <w:rFonts w:hint="eastAsia" w:ascii="宋体" w:hAnsi="宋体" w:eastAsia="宋体" w:cs="宋体"/>
        </w:rPr>
        <w:t>199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_Toc32227 </w:instrText>
      </w:r>
      <w:r>
        <w:rPr>
          <w:rFonts w:hint="eastAsia" w:ascii="宋体" w:hAnsi="宋体" w:eastAsia="宋体" w:cs="宋体"/>
          <w:highlight w:val="none"/>
        </w:rPr>
        <w:fldChar w:fldCharType="separate"/>
      </w:r>
      <w:r>
        <w:rPr>
          <w:rFonts w:hint="eastAsia" w:ascii="宋体" w:hAnsi="宋体" w:eastAsia="宋体" w:cs="宋体"/>
          <w:highlight w:val="none"/>
        </w:rPr>
        <w:t>第六章</w:t>
      </w:r>
      <w:r>
        <w:rPr>
          <w:rFonts w:hint="eastAsia" w:ascii="宋体" w:hAnsi="宋体" w:eastAsia="宋体" w:cs="宋体"/>
          <w:highlight w:val="none"/>
        </w:rPr>
        <w:tab/>
      </w:r>
      <w:r>
        <w:rPr>
          <w:rFonts w:hint="eastAsia" w:ascii="宋体" w:hAnsi="宋体" w:eastAsia="宋体" w:cs="宋体"/>
          <w:highlight w:val="none"/>
        </w:rPr>
        <w:t>图纸（另册）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_Toc32227 \h </w:instrText>
      </w:r>
      <w:r>
        <w:rPr>
          <w:rFonts w:hint="eastAsia" w:ascii="宋体" w:hAnsi="宋体" w:eastAsia="宋体" w:cs="宋体"/>
        </w:rPr>
        <w:fldChar w:fldCharType="separate"/>
      </w:r>
      <w:r>
        <w:rPr>
          <w:rFonts w:hint="eastAsia" w:ascii="宋体" w:hAnsi="宋体" w:eastAsia="宋体" w:cs="宋体"/>
        </w:rPr>
        <w:t>200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_Toc14280 </w:instrText>
      </w:r>
      <w:r>
        <w:rPr>
          <w:rFonts w:hint="eastAsia" w:ascii="宋体" w:hAnsi="宋体" w:eastAsia="宋体" w:cs="宋体"/>
          <w:highlight w:val="none"/>
        </w:rPr>
        <w:fldChar w:fldCharType="separate"/>
      </w:r>
      <w:r>
        <w:rPr>
          <w:rFonts w:hint="eastAsia" w:ascii="宋体" w:hAnsi="宋体" w:eastAsia="宋体" w:cs="宋体"/>
          <w:highlight w:val="none"/>
        </w:rPr>
        <w:t>第三卷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_Toc14280 \h </w:instrText>
      </w:r>
      <w:r>
        <w:rPr>
          <w:rFonts w:hint="eastAsia" w:ascii="宋体" w:hAnsi="宋体" w:eastAsia="宋体" w:cs="宋体"/>
        </w:rPr>
        <w:fldChar w:fldCharType="separate"/>
      </w:r>
      <w:r>
        <w:rPr>
          <w:rFonts w:hint="eastAsia" w:ascii="宋体" w:hAnsi="宋体" w:eastAsia="宋体" w:cs="宋体"/>
        </w:rPr>
        <w:t>201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_Toc27708 </w:instrText>
      </w:r>
      <w:r>
        <w:rPr>
          <w:rFonts w:hint="eastAsia" w:ascii="宋体" w:hAnsi="宋体" w:eastAsia="宋体" w:cs="宋体"/>
          <w:highlight w:val="none"/>
        </w:rPr>
        <w:fldChar w:fldCharType="separate"/>
      </w:r>
      <w:r>
        <w:rPr>
          <w:rFonts w:hint="eastAsia" w:ascii="宋体" w:hAnsi="宋体" w:eastAsia="宋体" w:cs="宋体"/>
          <w:highlight w:val="none"/>
        </w:rPr>
        <w:t>第七章</w:t>
      </w:r>
      <w:r>
        <w:rPr>
          <w:rFonts w:hint="eastAsia" w:ascii="宋体" w:hAnsi="宋体" w:eastAsia="宋体" w:cs="宋体"/>
          <w:highlight w:val="none"/>
        </w:rPr>
        <w:tab/>
      </w:r>
      <w:r>
        <w:rPr>
          <w:rFonts w:hint="eastAsia" w:ascii="宋体" w:hAnsi="宋体" w:eastAsia="宋体" w:cs="宋体"/>
          <w:highlight w:val="none"/>
        </w:rPr>
        <w:t>技术规范（另册）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_Toc27708 \h </w:instrText>
      </w:r>
      <w:r>
        <w:rPr>
          <w:rFonts w:hint="eastAsia" w:ascii="宋体" w:hAnsi="宋体" w:eastAsia="宋体" w:cs="宋体"/>
        </w:rPr>
        <w:fldChar w:fldCharType="separate"/>
      </w:r>
      <w:r>
        <w:rPr>
          <w:rFonts w:hint="eastAsia" w:ascii="宋体" w:hAnsi="宋体" w:eastAsia="宋体" w:cs="宋体"/>
        </w:rPr>
        <w:t>202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pos="32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_Toc28456 </w:instrText>
      </w:r>
      <w:r>
        <w:rPr>
          <w:rFonts w:hint="eastAsia" w:ascii="宋体" w:hAnsi="宋体" w:eastAsia="宋体" w:cs="宋体"/>
          <w:highlight w:val="none"/>
        </w:rPr>
        <w:fldChar w:fldCharType="separate"/>
      </w:r>
      <w:r>
        <w:rPr>
          <w:rFonts w:hint="eastAsia" w:ascii="宋体" w:hAnsi="宋体" w:eastAsia="宋体" w:cs="宋体"/>
          <w:highlight w:val="none"/>
        </w:rPr>
        <w:t>第八章</w:t>
      </w:r>
      <w:r>
        <w:rPr>
          <w:rFonts w:hint="eastAsia" w:ascii="宋体" w:hAnsi="宋体" w:eastAsia="宋体" w:cs="宋体"/>
          <w:highlight w:val="none"/>
        </w:rPr>
        <w:tab/>
      </w:r>
      <w:r>
        <w:rPr>
          <w:rFonts w:hint="eastAsia" w:ascii="宋体" w:hAnsi="宋体" w:eastAsia="宋体" w:cs="宋体"/>
          <w:highlight w:val="none"/>
        </w:rPr>
        <w:t>工程量清单计量规则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_Toc28456 \h </w:instrText>
      </w:r>
      <w:r>
        <w:rPr>
          <w:rFonts w:hint="eastAsia" w:ascii="宋体" w:hAnsi="宋体" w:eastAsia="宋体" w:cs="宋体"/>
        </w:rPr>
        <w:fldChar w:fldCharType="separate"/>
      </w:r>
      <w:r>
        <w:rPr>
          <w:rFonts w:hint="eastAsia" w:ascii="宋体" w:hAnsi="宋体" w:eastAsia="宋体" w:cs="宋体"/>
        </w:rPr>
        <w:t>203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_Toc29045 </w:instrText>
      </w:r>
      <w:r>
        <w:rPr>
          <w:rFonts w:hint="eastAsia" w:ascii="宋体" w:hAnsi="宋体" w:eastAsia="宋体" w:cs="宋体"/>
          <w:highlight w:val="none"/>
        </w:rPr>
        <w:fldChar w:fldCharType="separate"/>
      </w:r>
      <w:r>
        <w:rPr>
          <w:rFonts w:hint="eastAsia" w:ascii="宋体" w:hAnsi="宋体" w:eastAsia="宋体" w:cs="宋体"/>
          <w:highlight w:val="none"/>
        </w:rPr>
        <w:t>第四卷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_Toc29045 \h </w:instrText>
      </w:r>
      <w:r>
        <w:rPr>
          <w:rFonts w:hint="eastAsia" w:ascii="宋体" w:hAnsi="宋体" w:eastAsia="宋体" w:cs="宋体"/>
        </w:rPr>
        <w:fldChar w:fldCharType="separate"/>
      </w:r>
      <w:r>
        <w:rPr>
          <w:rFonts w:hint="eastAsia" w:ascii="宋体" w:hAnsi="宋体" w:eastAsia="宋体" w:cs="宋体"/>
        </w:rPr>
        <w:t>204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9"/>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_Toc17803 </w:instrText>
      </w:r>
      <w:r>
        <w:rPr>
          <w:rFonts w:hint="eastAsia" w:ascii="宋体" w:hAnsi="宋体" w:eastAsia="宋体" w:cs="宋体"/>
          <w:highlight w:val="none"/>
        </w:rPr>
        <w:fldChar w:fldCharType="separate"/>
      </w:r>
      <w:r>
        <w:rPr>
          <w:rFonts w:hint="eastAsia" w:ascii="宋体" w:hAnsi="宋体" w:eastAsia="宋体" w:cs="宋体"/>
          <w:highlight w:val="none"/>
        </w:rPr>
        <w:t>第九章</w:t>
      </w:r>
      <w:r>
        <w:rPr>
          <w:rFonts w:hint="eastAsia" w:ascii="宋体" w:hAnsi="宋体" w:eastAsia="宋体" w:cs="宋体"/>
          <w:highlight w:val="none"/>
          <w:lang w:val="en-US"/>
        </w:rPr>
        <w:t xml:space="preserve"> </w:t>
      </w:r>
      <w:r>
        <w:rPr>
          <w:rFonts w:hint="eastAsia" w:ascii="宋体" w:hAnsi="宋体" w:eastAsia="宋体" w:cs="宋体"/>
          <w:highlight w:val="none"/>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_Toc17803 \h </w:instrText>
      </w:r>
      <w:r>
        <w:rPr>
          <w:rFonts w:hint="eastAsia" w:ascii="宋体" w:hAnsi="宋体" w:eastAsia="宋体" w:cs="宋体"/>
        </w:rPr>
        <w:fldChar w:fldCharType="separate"/>
      </w:r>
      <w:r>
        <w:rPr>
          <w:rFonts w:hint="eastAsia" w:ascii="宋体" w:hAnsi="宋体" w:eastAsia="宋体" w:cs="宋体"/>
        </w:rPr>
        <w:t>205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pos="28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_Toc967 </w:instrText>
      </w:r>
      <w:r>
        <w:rPr>
          <w:rFonts w:hint="eastAsia" w:ascii="宋体" w:hAnsi="宋体" w:eastAsia="宋体" w:cs="宋体"/>
          <w:highlight w:val="none"/>
        </w:rPr>
        <w:fldChar w:fldCharType="separate"/>
      </w:r>
      <w:r>
        <w:rPr>
          <w:rFonts w:hint="eastAsia" w:ascii="宋体" w:hAnsi="宋体" w:eastAsia="宋体" w:cs="宋体"/>
          <w:highlight w:val="none"/>
        </w:rPr>
        <w:t>投</w:t>
      </w:r>
      <w:r>
        <w:rPr>
          <w:rFonts w:hint="eastAsia" w:ascii="宋体" w:hAnsi="宋体" w:eastAsia="宋体" w:cs="宋体"/>
          <w:highlight w:val="none"/>
        </w:rPr>
        <w:tab/>
      </w:r>
      <w:r>
        <w:rPr>
          <w:rFonts w:hint="eastAsia" w:ascii="宋体" w:hAnsi="宋体" w:eastAsia="宋体" w:cs="宋体"/>
          <w:highlight w:val="none"/>
        </w:rPr>
        <w:t xml:space="preserve">标 文 件  </w:t>
      </w:r>
      <w:r>
        <w:rPr>
          <w:rFonts w:hint="eastAsia" w:ascii="宋体" w:hAnsi="宋体" w:eastAsia="宋体" w:cs="宋体"/>
          <w:szCs w:val="36"/>
          <w:highlight w:val="none"/>
        </w:rPr>
        <w:t>（商务及技术文件）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_Toc967 \h </w:instrText>
      </w:r>
      <w:r>
        <w:rPr>
          <w:rFonts w:hint="eastAsia" w:ascii="宋体" w:hAnsi="宋体" w:eastAsia="宋体" w:cs="宋体"/>
        </w:rPr>
        <w:fldChar w:fldCharType="separate"/>
      </w:r>
      <w:r>
        <w:rPr>
          <w:rFonts w:hint="eastAsia" w:ascii="宋体" w:hAnsi="宋体" w:eastAsia="宋体" w:cs="宋体"/>
        </w:rPr>
        <w:t>206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_Toc30543 </w:instrText>
      </w:r>
      <w:r>
        <w:rPr>
          <w:rFonts w:hint="eastAsia" w:ascii="宋体" w:hAnsi="宋体" w:eastAsia="宋体" w:cs="宋体"/>
          <w:highlight w:val="none"/>
        </w:rPr>
        <w:fldChar w:fldCharType="separate"/>
      </w:r>
      <w:r>
        <w:rPr>
          <w:rFonts w:hint="eastAsia" w:ascii="宋体" w:hAnsi="宋体" w:eastAsia="宋体" w:cs="宋体"/>
          <w:szCs w:val="28"/>
          <w:highlight w:val="none"/>
        </w:rPr>
        <w:t>一、投标函及投标函附录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_Toc30543 \h </w:instrText>
      </w:r>
      <w:r>
        <w:rPr>
          <w:rFonts w:hint="eastAsia" w:ascii="宋体" w:hAnsi="宋体" w:eastAsia="宋体" w:cs="宋体"/>
        </w:rPr>
        <w:fldChar w:fldCharType="separate"/>
      </w:r>
      <w:r>
        <w:rPr>
          <w:rFonts w:hint="eastAsia" w:ascii="宋体" w:hAnsi="宋体" w:eastAsia="宋体" w:cs="宋体"/>
        </w:rPr>
        <w:t>208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_Toc14574 </w:instrText>
      </w:r>
      <w:r>
        <w:rPr>
          <w:rFonts w:hint="eastAsia" w:ascii="宋体" w:hAnsi="宋体" w:eastAsia="宋体" w:cs="宋体"/>
          <w:highlight w:val="none"/>
        </w:rPr>
        <w:fldChar w:fldCharType="separate"/>
      </w:r>
      <w:r>
        <w:rPr>
          <w:rFonts w:hint="eastAsia" w:ascii="宋体" w:hAnsi="宋体" w:eastAsia="宋体" w:cs="宋体"/>
          <w:szCs w:val="28"/>
          <w:highlight w:val="none"/>
        </w:rPr>
        <w:t>二、授权委托书或法定代表人身份证明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_Toc14574 \h </w:instrText>
      </w:r>
      <w:r>
        <w:rPr>
          <w:rFonts w:hint="eastAsia" w:ascii="宋体" w:hAnsi="宋体" w:eastAsia="宋体" w:cs="宋体"/>
        </w:rPr>
        <w:fldChar w:fldCharType="separate"/>
      </w:r>
      <w:r>
        <w:rPr>
          <w:rFonts w:hint="eastAsia" w:ascii="宋体" w:hAnsi="宋体" w:eastAsia="宋体" w:cs="宋体"/>
        </w:rPr>
        <w:t>210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_Toc27287 </w:instrText>
      </w:r>
      <w:r>
        <w:rPr>
          <w:rFonts w:hint="eastAsia" w:ascii="宋体" w:hAnsi="宋体" w:eastAsia="宋体" w:cs="宋体"/>
          <w:highlight w:val="none"/>
        </w:rPr>
        <w:fldChar w:fldCharType="separate"/>
      </w:r>
      <w:r>
        <w:rPr>
          <w:rFonts w:hint="eastAsia" w:ascii="宋体" w:hAnsi="宋体" w:eastAsia="宋体" w:cs="宋体"/>
          <w:szCs w:val="28"/>
          <w:highlight w:val="none"/>
        </w:rPr>
        <w:t>三、联合体协议书(如有)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_Toc27287 \h </w:instrText>
      </w:r>
      <w:r>
        <w:rPr>
          <w:rFonts w:hint="eastAsia" w:ascii="宋体" w:hAnsi="宋体" w:eastAsia="宋体" w:cs="宋体"/>
        </w:rPr>
        <w:fldChar w:fldCharType="separate"/>
      </w:r>
      <w:r>
        <w:rPr>
          <w:rFonts w:hint="eastAsia" w:ascii="宋体" w:hAnsi="宋体" w:eastAsia="宋体" w:cs="宋体"/>
        </w:rPr>
        <w:t>212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_Toc21203 </w:instrText>
      </w:r>
      <w:r>
        <w:rPr>
          <w:rFonts w:hint="eastAsia" w:ascii="宋体" w:hAnsi="宋体" w:eastAsia="宋体" w:cs="宋体"/>
          <w:highlight w:val="none"/>
        </w:rPr>
        <w:fldChar w:fldCharType="separate"/>
      </w:r>
      <w:r>
        <w:rPr>
          <w:rFonts w:hint="eastAsia" w:ascii="宋体" w:hAnsi="宋体" w:eastAsia="宋体" w:cs="宋体"/>
          <w:szCs w:val="28"/>
          <w:highlight w:val="none"/>
        </w:rPr>
        <w:t>四、投标保证金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_Toc21203 \h </w:instrText>
      </w:r>
      <w:r>
        <w:rPr>
          <w:rFonts w:hint="eastAsia" w:ascii="宋体" w:hAnsi="宋体" w:eastAsia="宋体" w:cs="宋体"/>
        </w:rPr>
        <w:fldChar w:fldCharType="separate"/>
      </w:r>
      <w:r>
        <w:rPr>
          <w:rFonts w:hint="eastAsia" w:ascii="宋体" w:hAnsi="宋体" w:eastAsia="宋体" w:cs="宋体"/>
        </w:rPr>
        <w:t>213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_Toc418 </w:instrText>
      </w:r>
      <w:r>
        <w:rPr>
          <w:rFonts w:hint="eastAsia" w:ascii="宋体" w:hAnsi="宋体" w:eastAsia="宋体" w:cs="宋体"/>
          <w:highlight w:val="none"/>
        </w:rPr>
        <w:fldChar w:fldCharType="separate"/>
      </w:r>
      <w:r>
        <w:rPr>
          <w:rFonts w:hint="eastAsia" w:ascii="宋体" w:hAnsi="宋体" w:eastAsia="宋体" w:cs="宋体"/>
          <w:highlight w:val="none"/>
          <w:lang w:val="en-US"/>
        </w:rPr>
        <w:t>五</w:t>
      </w:r>
      <w:r>
        <w:rPr>
          <w:rFonts w:hint="eastAsia" w:ascii="宋体" w:hAnsi="宋体" w:eastAsia="宋体" w:cs="宋体"/>
          <w:highlight w:val="none"/>
        </w:rPr>
        <w:t>、施工组织设计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_Toc418 \h </w:instrText>
      </w:r>
      <w:r>
        <w:rPr>
          <w:rFonts w:hint="eastAsia" w:ascii="宋体" w:hAnsi="宋体" w:eastAsia="宋体" w:cs="宋体"/>
        </w:rPr>
        <w:fldChar w:fldCharType="separate"/>
      </w:r>
      <w:r>
        <w:rPr>
          <w:rFonts w:hint="eastAsia" w:ascii="宋体" w:hAnsi="宋体" w:eastAsia="宋体" w:cs="宋体"/>
        </w:rPr>
        <w:t>214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_Toc7679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附表一施工总体计划表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_Toc7679 \h </w:instrText>
      </w:r>
      <w:r>
        <w:rPr>
          <w:rFonts w:hint="eastAsia" w:ascii="宋体" w:hAnsi="宋体" w:eastAsia="宋体" w:cs="宋体"/>
        </w:rPr>
        <w:fldChar w:fldCharType="separate"/>
      </w:r>
      <w:r>
        <w:rPr>
          <w:rFonts w:hint="eastAsia" w:ascii="宋体" w:hAnsi="宋体" w:eastAsia="宋体" w:cs="宋体"/>
        </w:rPr>
        <w:t>215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_Toc12284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附表二分项工程进度率计划（斜率图）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_Toc12284 \h </w:instrText>
      </w:r>
      <w:r>
        <w:rPr>
          <w:rFonts w:hint="eastAsia" w:ascii="宋体" w:hAnsi="宋体" w:eastAsia="宋体" w:cs="宋体"/>
        </w:rPr>
        <w:fldChar w:fldCharType="separate"/>
      </w:r>
      <w:r>
        <w:rPr>
          <w:rFonts w:hint="eastAsia" w:ascii="宋体" w:hAnsi="宋体" w:eastAsia="宋体" w:cs="宋体"/>
        </w:rPr>
        <w:t>216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_Toc24697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附表三工程管理曲线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_Toc24697 \h </w:instrText>
      </w:r>
      <w:r>
        <w:rPr>
          <w:rFonts w:hint="eastAsia" w:ascii="宋体" w:hAnsi="宋体" w:eastAsia="宋体" w:cs="宋体"/>
        </w:rPr>
        <w:fldChar w:fldCharType="separate"/>
      </w:r>
      <w:r>
        <w:rPr>
          <w:rFonts w:hint="eastAsia" w:ascii="宋体" w:hAnsi="宋体" w:eastAsia="宋体" w:cs="宋体"/>
        </w:rPr>
        <w:t>217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_Toc20172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附表四分项工程生产率和施工周期表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_Toc20172 \h </w:instrText>
      </w:r>
      <w:r>
        <w:rPr>
          <w:rFonts w:hint="eastAsia" w:ascii="宋体" w:hAnsi="宋体" w:eastAsia="宋体" w:cs="宋体"/>
        </w:rPr>
        <w:fldChar w:fldCharType="separate"/>
      </w:r>
      <w:r>
        <w:rPr>
          <w:rFonts w:hint="eastAsia" w:ascii="宋体" w:hAnsi="宋体" w:eastAsia="宋体" w:cs="宋体"/>
        </w:rPr>
        <w:t>218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_Toc28463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附表五施工总平面图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_Toc28463 \h </w:instrText>
      </w:r>
      <w:r>
        <w:rPr>
          <w:rFonts w:hint="eastAsia" w:ascii="宋体" w:hAnsi="宋体" w:eastAsia="宋体" w:cs="宋体"/>
        </w:rPr>
        <w:fldChar w:fldCharType="separate"/>
      </w:r>
      <w:r>
        <w:rPr>
          <w:rFonts w:hint="eastAsia" w:ascii="宋体" w:hAnsi="宋体" w:eastAsia="宋体" w:cs="宋体"/>
        </w:rPr>
        <w:t>219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_Toc8084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附表六劳动力计划表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_Toc8084 \h </w:instrText>
      </w:r>
      <w:r>
        <w:rPr>
          <w:rFonts w:hint="eastAsia" w:ascii="宋体" w:hAnsi="宋体" w:eastAsia="宋体" w:cs="宋体"/>
        </w:rPr>
        <w:fldChar w:fldCharType="separate"/>
      </w:r>
      <w:r>
        <w:rPr>
          <w:rFonts w:hint="eastAsia" w:ascii="宋体" w:hAnsi="宋体" w:eastAsia="宋体" w:cs="宋体"/>
        </w:rPr>
        <w:t>220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_Toc6257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附表七临时占地计划表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_Toc6257 \h </w:instrText>
      </w:r>
      <w:r>
        <w:rPr>
          <w:rFonts w:hint="eastAsia" w:ascii="宋体" w:hAnsi="宋体" w:eastAsia="宋体" w:cs="宋体"/>
        </w:rPr>
        <w:fldChar w:fldCharType="separate"/>
      </w:r>
      <w:r>
        <w:rPr>
          <w:rFonts w:hint="eastAsia" w:ascii="宋体" w:hAnsi="宋体" w:eastAsia="宋体" w:cs="宋体"/>
        </w:rPr>
        <w:t>221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_Toc32250 </w:instrText>
      </w:r>
      <w:r>
        <w:rPr>
          <w:rFonts w:hint="eastAsia" w:ascii="宋体" w:hAnsi="宋体" w:eastAsia="宋体" w:cs="宋体"/>
          <w:highlight w:val="none"/>
        </w:rPr>
        <w:fldChar w:fldCharType="separate"/>
      </w:r>
      <w:r>
        <w:rPr>
          <w:rFonts w:hint="eastAsia" w:ascii="宋体" w:hAnsi="宋体" w:eastAsia="宋体" w:cs="宋体"/>
          <w:szCs w:val="28"/>
          <w:highlight w:val="none"/>
        </w:rPr>
        <w:t>附表八外供电力需求计划表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_Toc32250 \h </w:instrText>
      </w:r>
      <w:r>
        <w:rPr>
          <w:rFonts w:hint="eastAsia" w:ascii="宋体" w:hAnsi="宋体" w:eastAsia="宋体" w:cs="宋体"/>
        </w:rPr>
        <w:fldChar w:fldCharType="separate"/>
      </w:r>
      <w:r>
        <w:rPr>
          <w:rFonts w:hint="eastAsia" w:ascii="宋体" w:hAnsi="宋体" w:eastAsia="宋体" w:cs="宋体"/>
        </w:rPr>
        <w:t>222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_Toc20465 </w:instrText>
      </w:r>
      <w:r>
        <w:rPr>
          <w:rFonts w:hint="eastAsia" w:ascii="宋体" w:hAnsi="宋体" w:eastAsia="宋体" w:cs="宋体"/>
          <w:highlight w:val="none"/>
        </w:rPr>
        <w:fldChar w:fldCharType="separate"/>
      </w:r>
      <w:r>
        <w:rPr>
          <w:rFonts w:hint="eastAsia" w:ascii="宋体" w:hAnsi="宋体" w:eastAsia="宋体" w:cs="宋体"/>
          <w:highlight w:val="none"/>
          <w:lang w:val="en-US"/>
        </w:rPr>
        <w:t>六</w:t>
      </w:r>
      <w:r>
        <w:rPr>
          <w:rFonts w:hint="eastAsia" w:ascii="宋体" w:hAnsi="宋体" w:eastAsia="宋体" w:cs="宋体"/>
          <w:highlight w:val="none"/>
        </w:rPr>
        <w:t>、项目管理机构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_Toc20465 \h </w:instrText>
      </w:r>
      <w:r>
        <w:rPr>
          <w:rFonts w:hint="eastAsia" w:ascii="宋体" w:hAnsi="宋体" w:eastAsia="宋体" w:cs="宋体"/>
        </w:rPr>
        <w:fldChar w:fldCharType="separate"/>
      </w:r>
      <w:r>
        <w:rPr>
          <w:rFonts w:hint="eastAsia" w:ascii="宋体" w:hAnsi="宋体" w:eastAsia="宋体" w:cs="宋体"/>
        </w:rPr>
        <w:t>223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_Toc14732 </w:instrText>
      </w:r>
      <w:r>
        <w:rPr>
          <w:rFonts w:hint="eastAsia" w:ascii="宋体" w:hAnsi="宋体" w:eastAsia="宋体" w:cs="宋体"/>
          <w:highlight w:val="none"/>
        </w:rPr>
        <w:fldChar w:fldCharType="separate"/>
      </w:r>
      <w:r>
        <w:rPr>
          <w:rFonts w:hint="eastAsia" w:ascii="宋体" w:hAnsi="宋体" w:eastAsia="宋体" w:cs="宋体"/>
          <w:highlight w:val="none"/>
          <w:lang w:val="en-US"/>
        </w:rPr>
        <w:t>七</w:t>
      </w:r>
      <w:r>
        <w:rPr>
          <w:rFonts w:hint="eastAsia" w:ascii="宋体" w:hAnsi="宋体" w:eastAsia="宋体" w:cs="宋体"/>
          <w:highlight w:val="none"/>
        </w:rPr>
        <w:t>、拟分包项目情况表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_Toc14732 \h </w:instrText>
      </w:r>
      <w:r>
        <w:rPr>
          <w:rFonts w:hint="eastAsia" w:ascii="宋体" w:hAnsi="宋体" w:eastAsia="宋体" w:cs="宋体"/>
        </w:rPr>
        <w:fldChar w:fldCharType="separate"/>
      </w:r>
      <w:r>
        <w:rPr>
          <w:rFonts w:hint="eastAsia" w:ascii="宋体" w:hAnsi="宋体" w:eastAsia="宋体" w:cs="宋体"/>
        </w:rPr>
        <w:t>224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_Toc26794 </w:instrText>
      </w:r>
      <w:r>
        <w:rPr>
          <w:rFonts w:hint="eastAsia" w:ascii="宋体" w:hAnsi="宋体" w:eastAsia="宋体" w:cs="宋体"/>
          <w:highlight w:val="none"/>
        </w:rPr>
        <w:fldChar w:fldCharType="separate"/>
      </w:r>
      <w:r>
        <w:rPr>
          <w:rFonts w:hint="eastAsia" w:ascii="宋体" w:hAnsi="宋体" w:eastAsia="宋体" w:cs="宋体"/>
          <w:highlight w:val="none"/>
          <w:lang w:val="en-US"/>
        </w:rPr>
        <w:t>八</w:t>
      </w:r>
      <w:r>
        <w:rPr>
          <w:rFonts w:hint="eastAsia" w:ascii="宋体" w:hAnsi="宋体" w:eastAsia="宋体" w:cs="宋体"/>
          <w:highlight w:val="none"/>
        </w:rPr>
        <w:t>、资格审查资料（适用于未进行资格预审的）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_Toc26794 \h </w:instrText>
      </w:r>
      <w:r>
        <w:rPr>
          <w:rFonts w:hint="eastAsia" w:ascii="宋体" w:hAnsi="宋体" w:eastAsia="宋体" w:cs="宋体"/>
        </w:rPr>
        <w:fldChar w:fldCharType="separate"/>
      </w:r>
      <w:r>
        <w:rPr>
          <w:rFonts w:hint="eastAsia" w:ascii="宋体" w:hAnsi="宋体" w:eastAsia="宋体" w:cs="宋体"/>
        </w:rPr>
        <w:t>225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_Toc14383 </w:instrText>
      </w:r>
      <w:r>
        <w:rPr>
          <w:rFonts w:hint="eastAsia" w:ascii="宋体" w:hAnsi="宋体" w:eastAsia="宋体" w:cs="宋体"/>
          <w:highlight w:val="none"/>
        </w:rPr>
        <w:fldChar w:fldCharType="separate"/>
      </w:r>
      <w:r>
        <w:rPr>
          <w:rFonts w:hint="eastAsia" w:ascii="宋体" w:hAnsi="宋体" w:eastAsia="宋体" w:cs="宋体"/>
          <w:highlight w:val="none"/>
        </w:rPr>
        <w:t>（一）投标人基本情况表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_Toc14383 \h </w:instrText>
      </w:r>
      <w:r>
        <w:rPr>
          <w:rFonts w:hint="eastAsia" w:ascii="宋体" w:hAnsi="宋体" w:eastAsia="宋体" w:cs="宋体"/>
        </w:rPr>
        <w:fldChar w:fldCharType="separate"/>
      </w:r>
      <w:r>
        <w:rPr>
          <w:rFonts w:hint="eastAsia" w:ascii="宋体" w:hAnsi="宋体" w:eastAsia="宋体" w:cs="宋体"/>
        </w:rPr>
        <w:t>225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_Toc4339 </w:instrText>
      </w:r>
      <w:r>
        <w:rPr>
          <w:rFonts w:hint="eastAsia" w:ascii="宋体" w:hAnsi="宋体" w:eastAsia="宋体" w:cs="宋体"/>
          <w:highlight w:val="none"/>
        </w:rPr>
        <w:fldChar w:fldCharType="separate"/>
      </w:r>
      <w:r>
        <w:rPr>
          <w:rFonts w:hint="eastAsia" w:ascii="宋体" w:hAnsi="宋体" w:eastAsia="宋体" w:cs="宋体"/>
          <w:highlight w:val="none"/>
        </w:rPr>
        <w:t>（二）投标人企业组织机构框图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_Toc4339 \h </w:instrText>
      </w:r>
      <w:r>
        <w:rPr>
          <w:rFonts w:hint="eastAsia" w:ascii="宋体" w:hAnsi="宋体" w:eastAsia="宋体" w:cs="宋体"/>
        </w:rPr>
        <w:fldChar w:fldCharType="separate"/>
      </w:r>
      <w:r>
        <w:rPr>
          <w:rFonts w:hint="eastAsia" w:ascii="宋体" w:hAnsi="宋体" w:eastAsia="宋体" w:cs="宋体"/>
        </w:rPr>
        <w:t>226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_Toc22236 </w:instrText>
      </w:r>
      <w:r>
        <w:rPr>
          <w:rFonts w:hint="eastAsia" w:ascii="宋体" w:hAnsi="宋体" w:eastAsia="宋体" w:cs="宋体"/>
          <w:highlight w:val="none"/>
        </w:rPr>
        <w:fldChar w:fldCharType="separate"/>
      </w:r>
      <w:r>
        <w:rPr>
          <w:rFonts w:hint="eastAsia" w:ascii="宋体" w:hAnsi="宋体" w:eastAsia="宋体" w:cs="宋体"/>
          <w:highlight w:val="none"/>
        </w:rPr>
        <w:t>（三）近年财务状况财务状况表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_Toc22236 \h </w:instrText>
      </w:r>
      <w:r>
        <w:rPr>
          <w:rFonts w:hint="eastAsia" w:ascii="宋体" w:hAnsi="宋体" w:eastAsia="宋体" w:cs="宋体"/>
        </w:rPr>
        <w:fldChar w:fldCharType="separate"/>
      </w:r>
      <w:r>
        <w:rPr>
          <w:rFonts w:hint="eastAsia" w:ascii="宋体" w:hAnsi="宋体" w:eastAsia="宋体" w:cs="宋体"/>
        </w:rPr>
        <w:t>227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_Toc25076 </w:instrText>
      </w:r>
      <w:r>
        <w:rPr>
          <w:rFonts w:hint="eastAsia" w:ascii="宋体" w:hAnsi="宋体" w:eastAsia="宋体" w:cs="宋体"/>
          <w:highlight w:val="none"/>
        </w:rPr>
        <w:fldChar w:fldCharType="separate"/>
      </w:r>
      <w:r>
        <w:rPr>
          <w:rFonts w:hint="eastAsia" w:ascii="宋体" w:hAnsi="宋体" w:eastAsia="宋体" w:cs="宋体"/>
          <w:highlight w:val="none"/>
        </w:rPr>
        <w:t>（四）近年完成的类似项目情况表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_Toc25076 \h </w:instrText>
      </w:r>
      <w:r>
        <w:rPr>
          <w:rFonts w:hint="eastAsia" w:ascii="宋体" w:hAnsi="宋体" w:eastAsia="宋体" w:cs="宋体"/>
        </w:rPr>
        <w:fldChar w:fldCharType="separate"/>
      </w:r>
      <w:r>
        <w:rPr>
          <w:rFonts w:hint="eastAsia" w:ascii="宋体" w:hAnsi="宋体" w:eastAsia="宋体" w:cs="宋体"/>
        </w:rPr>
        <w:t>229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_Toc486 </w:instrText>
      </w:r>
      <w:r>
        <w:rPr>
          <w:rFonts w:hint="eastAsia" w:ascii="宋体" w:hAnsi="宋体" w:eastAsia="宋体" w:cs="宋体"/>
          <w:highlight w:val="none"/>
        </w:rPr>
        <w:fldChar w:fldCharType="separate"/>
      </w:r>
      <w:r>
        <w:rPr>
          <w:rFonts w:hint="eastAsia" w:ascii="宋体" w:hAnsi="宋体" w:eastAsia="宋体" w:cs="宋体"/>
          <w:highlight w:val="none"/>
        </w:rPr>
        <w:t>（五）投标人的信誉情况表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_Toc486 \h </w:instrText>
      </w:r>
      <w:r>
        <w:rPr>
          <w:rFonts w:hint="eastAsia" w:ascii="宋体" w:hAnsi="宋体" w:eastAsia="宋体" w:cs="宋体"/>
        </w:rPr>
        <w:fldChar w:fldCharType="separate"/>
      </w:r>
      <w:r>
        <w:rPr>
          <w:rFonts w:hint="eastAsia" w:ascii="宋体" w:hAnsi="宋体" w:eastAsia="宋体" w:cs="宋体"/>
        </w:rPr>
        <w:t>230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_Toc5970 </w:instrText>
      </w:r>
      <w:r>
        <w:rPr>
          <w:rFonts w:hint="eastAsia" w:ascii="宋体" w:hAnsi="宋体" w:eastAsia="宋体" w:cs="宋体"/>
          <w:highlight w:val="none"/>
        </w:rPr>
        <w:fldChar w:fldCharType="separate"/>
      </w:r>
      <w:r>
        <w:rPr>
          <w:rFonts w:hint="eastAsia" w:ascii="宋体" w:hAnsi="宋体" w:eastAsia="宋体" w:cs="宋体"/>
          <w:highlight w:val="none"/>
        </w:rPr>
        <w:t>（六）拟委任的项目经理和项目总工资历表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_Toc5970 \h </w:instrText>
      </w:r>
      <w:r>
        <w:rPr>
          <w:rFonts w:hint="eastAsia" w:ascii="宋体" w:hAnsi="宋体" w:eastAsia="宋体" w:cs="宋体"/>
        </w:rPr>
        <w:fldChar w:fldCharType="separate"/>
      </w:r>
      <w:r>
        <w:rPr>
          <w:rFonts w:hint="eastAsia" w:ascii="宋体" w:hAnsi="宋体" w:eastAsia="宋体" w:cs="宋体"/>
        </w:rPr>
        <w:t>231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_Toc3187 </w:instrText>
      </w:r>
      <w:r>
        <w:rPr>
          <w:rFonts w:hint="eastAsia" w:ascii="宋体" w:hAnsi="宋体" w:eastAsia="宋体" w:cs="宋体"/>
          <w:highlight w:val="none"/>
        </w:rPr>
        <w:fldChar w:fldCharType="separate"/>
      </w:r>
      <w:r>
        <w:rPr>
          <w:rFonts w:hint="eastAsia" w:ascii="宋体" w:hAnsi="宋体" w:eastAsia="宋体" w:cs="宋体"/>
          <w:szCs w:val="22"/>
          <w:highlight w:val="none"/>
        </w:rPr>
        <w:t>九、中标人不转包不违规分包承诺书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_Toc3187 \h </w:instrText>
      </w:r>
      <w:r>
        <w:rPr>
          <w:rFonts w:hint="eastAsia" w:ascii="宋体" w:hAnsi="宋体" w:eastAsia="宋体" w:cs="宋体"/>
        </w:rPr>
        <w:fldChar w:fldCharType="separate"/>
      </w:r>
      <w:r>
        <w:rPr>
          <w:rFonts w:hint="eastAsia" w:ascii="宋体" w:hAnsi="宋体" w:eastAsia="宋体" w:cs="宋体"/>
        </w:rPr>
        <w:t>232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_Toc3407 </w:instrText>
      </w:r>
      <w:r>
        <w:rPr>
          <w:rFonts w:hint="eastAsia" w:ascii="宋体" w:hAnsi="宋体" w:eastAsia="宋体" w:cs="宋体"/>
          <w:highlight w:val="none"/>
        </w:rPr>
        <w:fldChar w:fldCharType="separate"/>
      </w:r>
      <w:r>
        <w:rPr>
          <w:rFonts w:hint="eastAsia" w:ascii="宋体" w:hAnsi="宋体" w:eastAsia="宋体" w:cs="宋体"/>
          <w:szCs w:val="30"/>
          <w:highlight w:val="none"/>
          <w:lang w:val="en-US"/>
        </w:rPr>
        <w:t>十、关于保证</w:t>
      </w:r>
      <w:r>
        <w:rPr>
          <w:rFonts w:hint="eastAsia" w:ascii="宋体" w:hAnsi="宋体" w:eastAsia="宋体" w:cs="宋体"/>
          <w:szCs w:val="30"/>
          <w:highlight w:val="none"/>
        </w:rPr>
        <w:t>注册建造师及技术负责人等主要施工人员</w:t>
      </w:r>
      <w:r>
        <w:rPr>
          <w:rFonts w:hint="eastAsia" w:ascii="宋体" w:hAnsi="宋体" w:eastAsia="宋体" w:cs="宋体"/>
          <w:szCs w:val="30"/>
          <w:highlight w:val="none"/>
          <w:lang w:val="en-US"/>
        </w:rPr>
        <w:t>投入的承诺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_Toc3407 \h </w:instrText>
      </w:r>
      <w:r>
        <w:rPr>
          <w:rFonts w:hint="eastAsia" w:ascii="宋体" w:hAnsi="宋体" w:eastAsia="宋体" w:cs="宋体"/>
        </w:rPr>
        <w:fldChar w:fldCharType="separate"/>
      </w:r>
      <w:r>
        <w:rPr>
          <w:rFonts w:hint="eastAsia" w:ascii="宋体" w:hAnsi="宋体" w:eastAsia="宋体" w:cs="宋体"/>
        </w:rPr>
        <w:t>233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_Toc10412 </w:instrText>
      </w:r>
      <w:r>
        <w:rPr>
          <w:rFonts w:hint="eastAsia" w:ascii="宋体" w:hAnsi="宋体" w:eastAsia="宋体" w:cs="宋体"/>
          <w:highlight w:val="none"/>
        </w:rPr>
        <w:fldChar w:fldCharType="separate"/>
      </w:r>
      <w:r>
        <w:rPr>
          <w:rFonts w:hint="eastAsia" w:ascii="宋体" w:hAnsi="宋体" w:eastAsia="宋体" w:cs="宋体"/>
          <w:szCs w:val="30"/>
          <w:highlight w:val="none"/>
        </w:rPr>
        <w:t>十</w:t>
      </w:r>
      <w:r>
        <w:rPr>
          <w:rFonts w:hint="eastAsia" w:ascii="宋体" w:hAnsi="宋体" w:eastAsia="宋体" w:cs="宋体"/>
          <w:szCs w:val="30"/>
          <w:highlight w:val="none"/>
          <w:lang w:val="en-US"/>
        </w:rPr>
        <w:t>一</w:t>
      </w:r>
      <w:r>
        <w:rPr>
          <w:rFonts w:hint="eastAsia" w:ascii="宋体" w:hAnsi="宋体" w:eastAsia="宋体" w:cs="宋体"/>
          <w:szCs w:val="30"/>
          <w:highlight w:val="none"/>
        </w:rPr>
        <w:t>、中标公示汇总表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_Toc10412 \h </w:instrText>
      </w:r>
      <w:r>
        <w:rPr>
          <w:rFonts w:hint="eastAsia" w:ascii="宋体" w:hAnsi="宋体" w:eastAsia="宋体" w:cs="宋体"/>
        </w:rPr>
        <w:fldChar w:fldCharType="separate"/>
      </w:r>
      <w:r>
        <w:rPr>
          <w:rFonts w:hint="eastAsia" w:ascii="宋体" w:hAnsi="宋体" w:eastAsia="宋体" w:cs="宋体"/>
        </w:rPr>
        <w:t>234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_Toc182 </w:instrText>
      </w:r>
      <w:r>
        <w:rPr>
          <w:rFonts w:hint="eastAsia" w:ascii="宋体" w:hAnsi="宋体" w:eastAsia="宋体" w:cs="宋体"/>
          <w:highlight w:val="none"/>
        </w:rPr>
        <w:fldChar w:fldCharType="separate"/>
      </w:r>
      <w:r>
        <w:rPr>
          <w:rFonts w:hint="eastAsia" w:ascii="宋体" w:hAnsi="宋体" w:eastAsia="宋体" w:cs="宋体"/>
          <w:highlight w:val="none"/>
          <w:lang w:val="en-US"/>
        </w:rPr>
        <w:t>十二</w:t>
      </w:r>
      <w:r>
        <w:rPr>
          <w:rFonts w:hint="eastAsia" w:ascii="宋体" w:hAnsi="宋体" w:eastAsia="宋体" w:cs="宋体"/>
          <w:highlight w:val="none"/>
        </w:rPr>
        <w:t>、其他资料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 \h </w:instrText>
      </w:r>
      <w:r>
        <w:rPr>
          <w:rFonts w:hint="eastAsia" w:ascii="宋体" w:hAnsi="宋体" w:eastAsia="宋体" w:cs="宋体"/>
        </w:rPr>
        <w:fldChar w:fldCharType="separate"/>
      </w:r>
      <w:r>
        <w:rPr>
          <w:rFonts w:hint="eastAsia" w:ascii="宋体" w:hAnsi="宋体" w:eastAsia="宋体" w:cs="宋体"/>
        </w:rPr>
        <w:t>235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pos="2800"/>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_Toc11883 </w:instrText>
      </w:r>
      <w:r>
        <w:rPr>
          <w:rFonts w:hint="eastAsia" w:ascii="宋体" w:hAnsi="宋体" w:eastAsia="宋体" w:cs="宋体"/>
          <w:highlight w:val="none"/>
        </w:rPr>
        <w:fldChar w:fldCharType="separate"/>
      </w:r>
      <w:r>
        <w:rPr>
          <w:rFonts w:hint="eastAsia" w:ascii="宋体" w:hAnsi="宋体" w:eastAsia="宋体" w:cs="宋体"/>
          <w:highlight w:val="none"/>
        </w:rPr>
        <w:t>投</w:t>
      </w:r>
      <w:r>
        <w:rPr>
          <w:rFonts w:hint="eastAsia" w:ascii="宋体" w:hAnsi="宋体" w:eastAsia="宋体" w:cs="宋体"/>
          <w:highlight w:val="none"/>
        </w:rPr>
        <w:tab/>
      </w:r>
      <w:r>
        <w:rPr>
          <w:rFonts w:hint="eastAsia" w:ascii="宋体" w:hAnsi="宋体" w:eastAsia="宋体" w:cs="宋体"/>
          <w:highlight w:val="none"/>
        </w:rPr>
        <w:t xml:space="preserve">标 文 件  </w:t>
      </w:r>
      <w:r>
        <w:rPr>
          <w:rFonts w:hint="eastAsia" w:ascii="宋体" w:hAnsi="宋体" w:eastAsia="宋体" w:cs="宋体"/>
          <w:szCs w:val="36"/>
          <w:highlight w:val="none"/>
        </w:rPr>
        <w:t>（报价文件）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_Toc11883 \h </w:instrText>
      </w:r>
      <w:r>
        <w:rPr>
          <w:rFonts w:hint="eastAsia" w:ascii="宋体" w:hAnsi="宋体" w:eastAsia="宋体" w:cs="宋体"/>
        </w:rPr>
        <w:fldChar w:fldCharType="separate"/>
      </w:r>
      <w:r>
        <w:rPr>
          <w:rFonts w:hint="eastAsia" w:ascii="宋体" w:hAnsi="宋体" w:eastAsia="宋体" w:cs="宋体"/>
        </w:rPr>
        <w:t>236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_Toc10053 </w:instrText>
      </w:r>
      <w:r>
        <w:rPr>
          <w:rFonts w:hint="eastAsia" w:ascii="宋体" w:hAnsi="宋体" w:eastAsia="宋体" w:cs="宋体"/>
          <w:highlight w:val="none"/>
        </w:rPr>
        <w:fldChar w:fldCharType="separate"/>
      </w:r>
      <w:r>
        <w:rPr>
          <w:rFonts w:hint="eastAsia" w:ascii="宋体" w:hAnsi="宋体" w:eastAsia="宋体" w:cs="宋体"/>
          <w:szCs w:val="36"/>
          <w:highlight w:val="none"/>
        </w:rPr>
        <w:t>目</w:t>
      </w:r>
      <w:r>
        <w:rPr>
          <w:rFonts w:hint="eastAsia" w:ascii="宋体" w:hAnsi="宋体" w:eastAsia="宋体" w:cs="宋体"/>
          <w:szCs w:val="36"/>
          <w:highlight w:val="none"/>
          <w:lang w:val="en-US"/>
        </w:rPr>
        <w:t xml:space="preserve">  </w:t>
      </w:r>
      <w:r>
        <w:rPr>
          <w:rFonts w:hint="eastAsia" w:ascii="宋体" w:hAnsi="宋体" w:eastAsia="宋体" w:cs="宋体"/>
          <w:szCs w:val="36"/>
          <w:highlight w:val="none"/>
        </w:rPr>
        <w:t>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_Toc10053 \h </w:instrText>
      </w:r>
      <w:r>
        <w:rPr>
          <w:rFonts w:hint="eastAsia" w:ascii="宋体" w:hAnsi="宋体" w:eastAsia="宋体" w:cs="宋体"/>
        </w:rPr>
        <w:fldChar w:fldCharType="separate"/>
      </w:r>
      <w:r>
        <w:rPr>
          <w:rFonts w:hint="eastAsia" w:ascii="宋体" w:hAnsi="宋体" w:eastAsia="宋体" w:cs="宋体"/>
        </w:rPr>
        <w:t>237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_Toc11399 </w:instrText>
      </w:r>
      <w:r>
        <w:rPr>
          <w:rFonts w:hint="eastAsia" w:ascii="宋体" w:hAnsi="宋体" w:eastAsia="宋体" w:cs="宋体"/>
          <w:highlight w:val="none"/>
        </w:rPr>
        <w:fldChar w:fldCharType="separate"/>
      </w:r>
      <w:r>
        <w:rPr>
          <w:rFonts w:hint="eastAsia" w:ascii="宋体" w:hAnsi="宋体" w:eastAsia="宋体" w:cs="宋体"/>
          <w:szCs w:val="22"/>
          <w:highlight w:val="none"/>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_Toc11399 \h </w:instrText>
      </w:r>
      <w:r>
        <w:rPr>
          <w:rFonts w:hint="eastAsia" w:ascii="宋体" w:hAnsi="宋体" w:eastAsia="宋体" w:cs="宋体"/>
        </w:rPr>
        <w:fldChar w:fldCharType="separate"/>
      </w:r>
      <w:r>
        <w:rPr>
          <w:rFonts w:hint="eastAsia" w:ascii="宋体" w:hAnsi="宋体" w:eastAsia="宋体" w:cs="宋体"/>
        </w:rPr>
        <w:t>238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_Toc24726 </w:instrText>
      </w:r>
      <w:r>
        <w:rPr>
          <w:rFonts w:hint="eastAsia" w:ascii="宋体" w:hAnsi="宋体" w:eastAsia="宋体" w:cs="宋体"/>
          <w:highlight w:val="none"/>
        </w:rPr>
        <w:fldChar w:fldCharType="separate"/>
      </w:r>
      <w:r>
        <w:rPr>
          <w:rFonts w:hint="eastAsia" w:ascii="宋体" w:hAnsi="宋体" w:eastAsia="宋体" w:cs="宋体"/>
          <w:highlight w:val="none"/>
        </w:rPr>
        <w:t>二、已标价工程量清单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_Toc24726 \h </w:instrText>
      </w:r>
      <w:r>
        <w:rPr>
          <w:rFonts w:hint="eastAsia" w:ascii="宋体" w:hAnsi="宋体" w:eastAsia="宋体" w:cs="宋体"/>
        </w:rPr>
        <w:fldChar w:fldCharType="separate"/>
      </w:r>
      <w:r>
        <w:rPr>
          <w:rFonts w:hint="eastAsia" w:ascii="宋体" w:hAnsi="宋体" w:eastAsia="宋体" w:cs="宋体"/>
        </w:rPr>
        <w:t>239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4"/>
        <w:tabs>
          <w:tab w:val="right" w:leader="dot" w:pos="9525"/>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_Toc15913 </w:instrText>
      </w:r>
      <w:r>
        <w:rPr>
          <w:rFonts w:hint="eastAsia" w:ascii="宋体" w:hAnsi="宋体" w:eastAsia="宋体" w:cs="宋体"/>
          <w:highlight w:val="none"/>
        </w:rPr>
        <w:fldChar w:fldCharType="separate"/>
      </w:r>
      <w:r>
        <w:rPr>
          <w:rFonts w:hint="eastAsia" w:ascii="宋体" w:hAnsi="宋体" w:eastAsia="宋体" w:cs="宋体"/>
          <w:highlight w:val="none"/>
        </w:rPr>
        <w:t>三、合同用款估算表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_Toc15913 \h </w:instrText>
      </w:r>
      <w:r>
        <w:rPr>
          <w:rFonts w:hint="eastAsia" w:ascii="宋体" w:hAnsi="宋体" w:eastAsia="宋体" w:cs="宋体"/>
        </w:rPr>
        <w:fldChar w:fldCharType="separate"/>
      </w:r>
      <w:r>
        <w:rPr>
          <w:rFonts w:hint="eastAsia" w:ascii="宋体" w:hAnsi="宋体" w:eastAsia="宋体" w:cs="宋体"/>
        </w:rPr>
        <w:t>240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20"/>
        <w:rPr>
          <w:color w:val="auto"/>
          <w:sz w:val="20"/>
          <w:highlight w:val="none"/>
        </w:rPr>
      </w:pPr>
      <w:r>
        <w:rPr>
          <w:color w:val="auto"/>
          <w:highlight w:val="none"/>
        </w:rPr>
        <w:fldChar w:fldCharType="end"/>
      </w:r>
    </w:p>
    <w:p>
      <w:pPr>
        <w:pStyle w:val="20"/>
        <w:rPr>
          <w:color w:val="auto"/>
          <w:sz w:val="20"/>
          <w:highlight w:val="none"/>
        </w:rPr>
        <w:sectPr>
          <w:headerReference r:id="rId11" w:type="default"/>
          <w:footerReference r:id="rId12" w:type="default"/>
          <w:pgSz w:w="11907" w:h="16840"/>
          <w:pgMar w:top="1418" w:right="1191" w:bottom="1418" w:left="1191" w:header="1134" w:footer="1134" w:gutter="0"/>
          <w:cols w:space="720" w:num="1"/>
        </w:sect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
        <w:jc w:val="center"/>
        <w:rPr>
          <w:color w:val="auto"/>
          <w:highlight w:val="none"/>
        </w:rPr>
      </w:pPr>
      <w:bookmarkStart w:id="0" w:name="_Toc21641"/>
      <w:bookmarkStart w:id="1" w:name="_Toc32274"/>
      <w:bookmarkStart w:id="2" w:name="_Toc17184"/>
      <w:bookmarkStart w:id="3" w:name="_Toc15842"/>
      <w:bookmarkStart w:id="4" w:name="_Toc12394"/>
      <w:bookmarkStart w:id="5" w:name="_Toc17724"/>
      <w:bookmarkStart w:id="6" w:name="_Toc22888"/>
      <w:bookmarkStart w:id="7" w:name="_Toc32647"/>
      <w:bookmarkStart w:id="8" w:name="_Toc8893"/>
      <w:r>
        <w:rPr>
          <w:rFonts w:hint="eastAsia"/>
          <w:color w:val="auto"/>
          <w:highlight w:val="none"/>
        </w:rPr>
        <w:t>第一卷</w:t>
      </w:r>
      <w:bookmarkEnd w:id="0"/>
      <w:bookmarkEnd w:id="1"/>
      <w:bookmarkEnd w:id="2"/>
      <w:bookmarkEnd w:id="3"/>
      <w:bookmarkEnd w:id="4"/>
      <w:bookmarkEnd w:id="5"/>
      <w:bookmarkEnd w:id="6"/>
      <w:bookmarkEnd w:id="7"/>
      <w:bookmarkEnd w:id="8"/>
    </w:p>
    <w:p>
      <w:pPr>
        <w:pStyle w:val="20"/>
        <w:spacing w:before="12"/>
        <w:rPr>
          <w:color w:val="auto"/>
          <w:sz w:val="18"/>
          <w:highlight w:val="none"/>
        </w:rPr>
      </w:pPr>
    </w:p>
    <w:p>
      <w:pPr>
        <w:spacing w:line="968" w:lineRule="exact"/>
        <w:outlineLvl w:val="0"/>
        <w:rPr>
          <w:rFonts w:ascii="黑体" w:eastAsia="黑体"/>
          <w:color w:val="auto"/>
          <w:sz w:val="76"/>
          <w:highlight w:val="none"/>
        </w:rPr>
        <w:sectPr>
          <w:pgSz w:w="11907" w:h="16840"/>
          <w:pgMar w:top="1418" w:right="1191" w:bottom="1418" w:left="1191" w:header="1134" w:footer="1134"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tabs>
          <w:tab w:val="left" w:pos="2420"/>
        </w:tabs>
        <w:spacing w:before="216"/>
        <w:jc w:val="center"/>
        <w:outlineLvl w:val="1"/>
        <w:rPr>
          <w:rFonts w:ascii="黑体" w:eastAsia="黑体"/>
          <w:color w:val="auto"/>
          <w:sz w:val="56"/>
          <w:highlight w:val="none"/>
        </w:rPr>
      </w:pPr>
      <w:bookmarkStart w:id="9" w:name="_Toc8472"/>
      <w:bookmarkStart w:id="10" w:name="_Toc32048"/>
      <w:bookmarkStart w:id="11" w:name="_Toc18486"/>
      <w:bookmarkStart w:id="12" w:name="_Toc894"/>
      <w:bookmarkStart w:id="13" w:name="_Toc3622"/>
      <w:bookmarkStart w:id="14" w:name="_Toc29799"/>
      <w:bookmarkStart w:id="15" w:name="_Toc11763"/>
      <w:bookmarkStart w:id="16" w:name="_Toc12926"/>
      <w:bookmarkStart w:id="17" w:name="_Toc19448"/>
      <w:bookmarkStart w:id="18" w:name="_Toc29408"/>
      <w:bookmarkStart w:id="19" w:name="_Toc6907"/>
      <w:bookmarkStart w:id="20" w:name="_Toc5377"/>
      <w:bookmarkStart w:id="21" w:name="_Toc25442"/>
      <w:bookmarkStart w:id="22" w:name="_Toc2112"/>
      <w:bookmarkStart w:id="23" w:name="_Toc23379"/>
      <w:bookmarkStart w:id="24" w:name="_Toc27945"/>
      <w:bookmarkStart w:id="25" w:name="_Toc19184"/>
      <w:bookmarkStart w:id="26" w:name="_Toc30341"/>
      <w:bookmarkStart w:id="27" w:name="_Toc28654"/>
      <w:bookmarkStart w:id="28" w:name="_Toc27775"/>
      <w:bookmarkStart w:id="29" w:name="_Toc11611"/>
      <w:bookmarkStart w:id="30" w:name="_Toc6738"/>
      <w:bookmarkStart w:id="31" w:name="_Toc14113"/>
      <w:bookmarkStart w:id="32" w:name="_Toc29000"/>
      <w:bookmarkStart w:id="33" w:name="_Toc4074"/>
      <w:bookmarkStart w:id="34" w:name="_Toc19960"/>
      <w:bookmarkStart w:id="35" w:name="_Toc12764"/>
      <w:bookmarkStart w:id="36" w:name="_Toc3174"/>
      <w:r>
        <w:rPr>
          <w:rFonts w:hint="eastAsia" w:ascii="黑体" w:eastAsia="黑体"/>
          <w:color w:val="auto"/>
          <w:sz w:val="56"/>
          <w:highlight w:val="none"/>
        </w:rPr>
        <w:t>第一章</w:t>
      </w:r>
      <w:r>
        <w:rPr>
          <w:rFonts w:hint="eastAsia" w:ascii="黑体" w:eastAsia="黑体"/>
          <w:color w:val="auto"/>
          <w:sz w:val="56"/>
          <w:highlight w:val="none"/>
        </w:rPr>
        <w:tab/>
      </w:r>
      <w:r>
        <w:rPr>
          <w:rFonts w:hint="eastAsia" w:ascii="黑体" w:eastAsia="黑体"/>
          <w:color w:val="auto"/>
          <w:sz w:val="56"/>
          <w:highlight w:val="none"/>
        </w:rPr>
        <w:t>招标公告</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rPr>
          <w:rFonts w:ascii="黑体" w:eastAsia="黑体"/>
          <w:color w:val="auto"/>
          <w:sz w:val="56"/>
          <w:highlight w:val="none"/>
        </w:rPr>
        <w:sectPr>
          <w:headerReference r:id="rId13" w:type="even"/>
          <w:footerReference r:id="rId14" w:type="even"/>
          <w:pgSz w:w="11907" w:h="16840"/>
          <w:pgMar w:top="1418" w:right="1191" w:bottom="1418" w:left="1191" w:header="1134" w:footer="1134" w:gutter="0"/>
          <w:cols w:space="720" w:num="1"/>
        </w:sectPr>
      </w:pPr>
    </w:p>
    <w:p>
      <w:pPr>
        <w:tabs>
          <w:tab w:val="left" w:pos="1919"/>
        </w:tabs>
        <w:adjustRightInd w:val="0"/>
        <w:snapToGrid w:val="0"/>
        <w:spacing w:line="360" w:lineRule="auto"/>
        <w:jc w:val="center"/>
        <w:rPr>
          <w:rFonts w:ascii="黑体" w:hAnsi="黑体" w:eastAsia="黑体"/>
          <w:color w:val="auto"/>
          <w:sz w:val="21"/>
          <w:highlight w:val="none"/>
        </w:rPr>
      </w:pPr>
      <w:bookmarkStart w:id="37" w:name="_bookmark0"/>
      <w:bookmarkEnd w:id="37"/>
      <w:r>
        <w:rPr>
          <w:rFonts w:hint="eastAsia" w:ascii="黑体" w:hAnsi="黑体" w:eastAsia="黑体"/>
          <w:b/>
          <w:color w:val="auto"/>
          <w:sz w:val="42"/>
          <w:highlight w:val="none"/>
        </w:rPr>
        <w:t>第一章</w:t>
      </w:r>
      <w:r>
        <w:rPr>
          <w:rFonts w:hint="eastAsia" w:ascii="黑体" w:hAnsi="黑体" w:eastAsia="黑体"/>
          <w:b/>
          <w:color w:val="auto"/>
          <w:sz w:val="42"/>
          <w:highlight w:val="none"/>
        </w:rPr>
        <w:tab/>
      </w:r>
      <w:r>
        <w:rPr>
          <w:rFonts w:hint="eastAsia" w:ascii="黑体" w:hAnsi="黑体" w:eastAsia="黑体"/>
          <w:b/>
          <w:color w:val="auto"/>
          <w:sz w:val="42"/>
          <w:highlight w:val="none"/>
        </w:rPr>
        <w:t>招标公告</w:t>
      </w:r>
    </w:p>
    <w:p>
      <w:pPr>
        <w:adjustRightInd w:val="0"/>
        <w:snapToGrid w:val="0"/>
        <w:spacing w:line="360" w:lineRule="auto"/>
        <w:rPr>
          <w:rFonts w:cs="Arial"/>
          <w:color w:val="auto"/>
          <w:sz w:val="24"/>
          <w:highlight w:val="none"/>
        </w:rPr>
      </w:pPr>
      <w:bookmarkStart w:id="38" w:name="OLE_LINK1"/>
    </w:p>
    <w:bookmarkEnd w:id="38"/>
    <w:p>
      <w:pPr>
        <w:tabs>
          <w:tab w:val="left" w:pos="3220"/>
          <w:tab w:val="left" w:pos="5602"/>
        </w:tabs>
        <w:adjustRightInd w:val="0"/>
        <w:snapToGrid w:val="0"/>
        <w:spacing w:line="360" w:lineRule="auto"/>
        <w:jc w:val="center"/>
        <w:rPr>
          <w:rFonts w:ascii="黑体" w:hAnsi="黑体" w:eastAsia="黑体"/>
          <w:color w:val="auto"/>
          <w:sz w:val="28"/>
          <w:highlight w:val="none"/>
        </w:rPr>
      </w:pPr>
      <w:r>
        <w:rPr>
          <w:rFonts w:hint="eastAsia" w:ascii="黑体" w:hAnsi="黑体" w:eastAsia="黑体"/>
          <w:color w:val="auto"/>
          <w:sz w:val="28"/>
          <w:highlight w:val="none"/>
          <w:lang w:eastAsia="zh-CN"/>
        </w:rPr>
        <w:t>鞍山市库盘线张荒地辽河大桥维修加固工程</w:t>
      </w:r>
      <w:r>
        <w:rPr>
          <w:rFonts w:hint="eastAsia" w:ascii="黑体" w:hAnsi="黑体" w:eastAsia="黑体"/>
          <w:color w:val="auto"/>
          <w:sz w:val="28"/>
          <w:highlight w:val="none"/>
        </w:rPr>
        <w:t>招标公告</w:t>
      </w:r>
    </w:p>
    <w:p>
      <w:pPr>
        <w:pStyle w:val="20"/>
        <w:adjustRightInd w:val="0"/>
        <w:snapToGrid w:val="0"/>
        <w:spacing w:line="360" w:lineRule="auto"/>
        <w:rPr>
          <w:rFonts w:ascii="黑体"/>
          <w:color w:val="auto"/>
          <w:sz w:val="23"/>
          <w:highlight w:val="none"/>
        </w:rPr>
      </w:pPr>
    </w:p>
    <w:p>
      <w:pPr>
        <w:numPr>
          <w:ilvl w:val="0"/>
          <w:numId w:val="1"/>
        </w:numPr>
        <w:tabs>
          <w:tab w:val="left" w:pos="718"/>
        </w:tabs>
        <w:adjustRightInd w:val="0"/>
        <w:snapToGrid w:val="0"/>
        <w:spacing w:line="360" w:lineRule="auto"/>
        <w:outlineLvl w:val="2"/>
        <w:rPr>
          <w:rFonts w:ascii="黑体" w:eastAsia="黑体"/>
          <w:b/>
          <w:color w:val="auto"/>
          <w:sz w:val="28"/>
          <w:highlight w:val="none"/>
        </w:rPr>
      </w:pPr>
      <w:bookmarkStart w:id="39" w:name="_bookmark1"/>
      <w:bookmarkEnd w:id="39"/>
      <w:bookmarkStart w:id="40" w:name="_Toc11919"/>
      <w:bookmarkStart w:id="41" w:name="_Toc11416"/>
      <w:bookmarkStart w:id="42" w:name="_Toc21649"/>
      <w:bookmarkStart w:id="43" w:name="_Toc16562"/>
      <w:bookmarkStart w:id="44" w:name="_Toc14705"/>
      <w:bookmarkStart w:id="45" w:name="_Toc22706"/>
      <w:bookmarkStart w:id="46" w:name="_Toc8204"/>
      <w:bookmarkStart w:id="47" w:name="_Toc11636"/>
      <w:bookmarkStart w:id="48" w:name="_Toc8360"/>
      <w:bookmarkStart w:id="49" w:name="_Toc23940"/>
      <w:bookmarkStart w:id="50" w:name="_Toc26780"/>
      <w:bookmarkStart w:id="51" w:name="_Toc1319"/>
      <w:bookmarkStart w:id="52" w:name="_Toc23963"/>
      <w:bookmarkStart w:id="53" w:name="_Toc16567"/>
      <w:bookmarkStart w:id="54" w:name="_Toc32482"/>
      <w:r>
        <w:rPr>
          <w:rFonts w:hint="eastAsia" w:ascii="黑体" w:eastAsia="黑体"/>
          <w:b/>
          <w:color w:val="auto"/>
          <w:sz w:val="28"/>
          <w:highlight w:val="none"/>
        </w:rPr>
        <w:t>招标条件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20"/>
        <w:tabs>
          <w:tab w:val="left" w:pos="1929"/>
          <w:tab w:val="left" w:pos="2289"/>
          <w:tab w:val="left" w:pos="3129"/>
          <w:tab w:val="left" w:pos="3705"/>
          <w:tab w:val="left" w:pos="4401"/>
          <w:tab w:val="left" w:pos="4898"/>
          <w:tab w:val="left" w:pos="6370"/>
          <w:tab w:val="left" w:pos="6667"/>
          <w:tab w:val="left" w:pos="7260"/>
        </w:tabs>
        <w:adjustRightInd w:val="0"/>
        <w:snapToGrid w:val="0"/>
        <w:spacing w:line="360" w:lineRule="auto"/>
        <w:ind w:left="369" w:right="233" w:firstLine="479"/>
        <w:rPr>
          <w:color w:val="auto"/>
          <w:sz w:val="21"/>
          <w:szCs w:val="21"/>
          <w:highlight w:val="none"/>
          <w:lang w:val="en-US"/>
        </w:rPr>
      </w:pPr>
      <w:r>
        <w:rPr>
          <w:rFonts w:hint="eastAsia"/>
          <w:color w:val="auto"/>
          <w:sz w:val="21"/>
          <w:szCs w:val="21"/>
          <w:highlight w:val="none"/>
        </w:rPr>
        <w:t>本招标项目鞍山市库盘线张荒地辽河大桥维修加固工程施工已由辽宁省交通运输事业发展中心以“关于鞍山市库盘线张荒地辽河大桥维修加固工程施工图设计的审查意见”（辽交</w:t>
      </w:r>
      <w:r>
        <w:rPr>
          <w:rFonts w:hint="eastAsia"/>
          <w:color w:val="auto"/>
          <w:sz w:val="21"/>
          <w:szCs w:val="21"/>
          <w:highlight w:val="none"/>
          <w:lang w:val="en-US"/>
        </w:rPr>
        <w:t>发展建养</w:t>
      </w:r>
      <w:r>
        <w:rPr>
          <w:rFonts w:hint="eastAsia"/>
          <w:color w:val="auto"/>
          <w:sz w:val="21"/>
          <w:szCs w:val="21"/>
          <w:highlight w:val="none"/>
        </w:rPr>
        <w:t>【20</w:t>
      </w:r>
      <w:r>
        <w:rPr>
          <w:rFonts w:hint="eastAsia"/>
          <w:color w:val="auto"/>
          <w:sz w:val="21"/>
          <w:szCs w:val="21"/>
          <w:highlight w:val="none"/>
          <w:lang w:val="en-US"/>
        </w:rPr>
        <w:t>20</w:t>
      </w:r>
      <w:r>
        <w:rPr>
          <w:rFonts w:hint="eastAsia"/>
          <w:color w:val="auto"/>
          <w:sz w:val="21"/>
          <w:szCs w:val="21"/>
          <w:highlight w:val="none"/>
        </w:rPr>
        <w:t>】4</w:t>
      </w:r>
      <w:r>
        <w:rPr>
          <w:rFonts w:hint="eastAsia"/>
          <w:color w:val="auto"/>
          <w:sz w:val="21"/>
          <w:szCs w:val="21"/>
          <w:highlight w:val="none"/>
          <w:lang w:val="en-US"/>
        </w:rPr>
        <w:t>35</w:t>
      </w:r>
      <w:r>
        <w:rPr>
          <w:rFonts w:hint="eastAsia"/>
          <w:color w:val="auto"/>
          <w:sz w:val="21"/>
          <w:szCs w:val="21"/>
          <w:highlight w:val="none"/>
        </w:rPr>
        <w:t>号文件）批准建设，招标人鞍山市交通运输事务服务中心，工程建设资金来自省级财政补贴，项目出资比例为100%，资金落实比例为100%。本项目已具备招标条件，现对该项目的施工进行公开招标。</w:t>
      </w:r>
    </w:p>
    <w:p>
      <w:pPr>
        <w:numPr>
          <w:ilvl w:val="0"/>
          <w:numId w:val="1"/>
        </w:numPr>
        <w:tabs>
          <w:tab w:val="left" w:pos="718"/>
        </w:tabs>
        <w:adjustRightInd w:val="0"/>
        <w:snapToGrid w:val="0"/>
        <w:spacing w:line="360" w:lineRule="auto"/>
        <w:outlineLvl w:val="2"/>
        <w:rPr>
          <w:rFonts w:ascii="黑体" w:eastAsia="黑体"/>
          <w:b/>
          <w:color w:val="auto"/>
          <w:sz w:val="28"/>
          <w:highlight w:val="none"/>
        </w:rPr>
      </w:pPr>
      <w:bookmarkStart w:id="55" w:name="_bookmark2"/>
      <w:bookmarkEnd w:id="55"/>
      <w:bookmarkStart w:id="56" w:name="_Toc8480"/>
      <w:bookmarkStart w:id="57" w:name="_Toc5201"/>
      <w:bookmarkStart w:id="58" w:name="_Toc5673"/>
      <w:bookmarkStart w:id="59" w:name="_Toc29004"/>
      <w:bookmarkStart w:id="60" w:name="_Toc11770"/>
      <w:bookmarkStart w:id="61" w:name="_Toc4208"/>
      <w:bookmarkStart w:id="62" w:name="_Toc30565"/>
      <w:bookmarkStart w:id="63" w:name="_Toc8305"/>
      <w:bookmarkStart w:id="64" w:name="_Toc2077"/>
      <w:bookmarkStart w:id="65" w:name="_Toc3216"/>
      <w:bookmarkStart w:id="66" w:name="_Toc13669"/>
      <w:bookmarkStart w:id="67" w:name="_Toc5570"/>
      <w:bookmarkStart w:id="68" w:name="_Toc7122"/>
      <w:bookmarkStart w:id="69" w:name="_Toc30663"/>
      <w:bookmarkStart w:id="70" w:name="_Toc2065"/>
      <w:r>
        <w:rPr>
          <w:rFonts w:hint="eastAsia" w:ascii="黑体" w:eastAsia="黑体"/>
          <w:b/>
          <w:color w:val="auto"/>
          <w:sz w:val="28"/>
          <w:highlight w:val="none"/>
        </w:rPr>
        <w:t>项目概况与招标范围</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widowControl/>
        <w:adjustRightInd w:val="0"/>
        <w:snapToGrid w:val="0"/>
        <w:spacing w:line="360" w:lineRule="auto"/>
        <w:ind w:firstLine="480"/>
        <w:rPr>
          <w:color w:val="auto"/>
          <w:sz w:val="21"/>
          <w:szCs w:val="21"/>
          <w:highlight w:val="none"/>
        </w:rPr>
      </w:pPr>
      <w:r>
        <w:rPr>
          <w:rFonts w:hint="eastAsia"/>
          <w:color w:val="auto"/>
          <w:sz w:val="21"/>
          <w:szCs w:val="21"/>
          <w:highlight w:val="none"/>
        </w:rPr>
        <w:t>2.1本次招标项目的建设地点：鞍山台安县境内。</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2.2工程规模：桥梁一座</w:t>
      </w:r>
      <w:r>
        <w:rPr>
          <w:color w:val="auto"/>
          <w:sz w:val="21"/>
          <w:szCs w:val="21"/>
          <w:highlight w:val="none"/>
        </w:rPr>
        <w:t>1505.6</w:t>
      </w:r>
      <w:r>
        <w:rPr>
          <w:rFonts w:hint="eastAsia"/>
          <w:color w:val="auto"/>
          <w:sz w:val="21"/>
          <w:szCs w:val="21"/>
          <w:highlight w:val="none"/>
        </w:rPr>
        <w:t>米。</w:t>
      </w:r>
    </w:p>
    <w:p>
      <w:pPr>
        <w:widowControl/>
        <w:adjustRightInd w:val="0"/>
        <w:snapToGrid w:val="0"/>
        <w:spacing w:line="360" w:lineRule="auto"/>
        <w:ind w:firstLine="480"/>
        <w:rPr>
          <w:rFonts w:hint="eastAsia"/>
          <w:color w:val="auto"/>
          <w:sz w:val="21"/>
          <w:szCs w:val="21"/>
          <w:highlight w:val="none"/>
        </w:rPr>
      </w:pPr>
      <w:r>
        <w:rPr>
          <w:rFonts w:hint="eastAsia"/>
          <w:color w:val="auto"/>
          <w:sz w:val="21"/>
          <w:szCs w:val="21"/>
          <w:highlight w:val="none"/>
        </w:rPr>
        <w:t>2.3</w:t>
      </w:r>
      <w:bookmarkStart w:id="71" w:name="EBdf7c57b904f040a4aa847cf00ff10daa"/>
      <w:r>
        <w:rPr>
          <w:rFonts w:hint="eastAsia"/>
          <w:color w:val="auto"/>
          <w:sz w:val="21"/>
          <w:szCs w:val="21"/>
          <w:highlight w:val="none"/>
        </w:rPr>
        <w:t>投资额：</w:t>
      </w:r>
      <w:bookmarkEnd w:id="71"/>
      <w:r>
        <w:rPr>
          <w:color w:val="auto"/>
          <w:sz w:val="21"/>
          <w:szCs w:val="21"/>
          <w:highlight w:val="none"/>
        </w:rPr>
        <w:t>46635370.00</w:t>
      </w:r>
      <w:r>
        <w:rPr>
          <w:rFonts w:hint="eastAsia"/>
          <w:color w:val="auto"/>
          <w:sz w:val="21"/>
          <w:szCs w:val="21"/>
          <w:highlight w:val="none"/>
        </w:rPr>
        <w:t>元。</w:t>
      </w:r>
    </w:p>
    <w:p>
      <w:pPr>
        <w:widowControl/>
        <w:adjustRightInd w:val="0"/>
        <w:snapToGrid w:val="0"/>
        <w:spacing w:line="360" w:lineRule="auto"/>
        <w:ind w:firstLine="480"/>
        <w:rPr>
          <w:color w:val="auto"/>
          <w:sz w:val="21"/>
          <w:szCs w:val="21"/>
          <w:highlight w:val="none"/>
        </w:rPr>
      </w:pPr>
      <w:r>
        <w:rPr>
          <w:rFonts w:hint="eastAsia"/>
          <w:color w:val="auto"/>
          <w:sz w:val="21"/>
          <w:szCs w:val="21"/>
          <w:highlight w:val="none"/>
        </w:rPr>
        <w:t>2.4本项目不划分标段。</w:t>
      </w:r>
    </w:p>
    <w:p>
      <w:pPr>
        <w:widowControl/>
        <w:adjustRightInd w:val="0"/>
        <w:snapToGrid w:val="0"/>
        <w:spacing w:line="360" w:lineRule="auto"/>
        <w:ind w:firstLine="480"/>
        <w:rPr>
          <w:color w:val="auto"/>
          <w:sz w:val="21"/>
          <w:szCs w:val="21"/>
          <w:highlight w:val="none"/>
        </w:rPr>
      </w:pPr>
      <w:r>
        <w:rPr>
          <w:rFonts w:hint="eastAsia"/>
          <w:color w:val="auto"/>
          <w:sz w:val="21"/>
          <w:szCs w:val="21"/>
          <w:highlight w:val="none"/>
        </w:rPr>
        <w:t>2.5招标范围：鞍山市库盘线张荒地辽河大桥维修加固工程施工图纸范围内的全部工程内容的施工、质量保修等。</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2.6工期要求：202</w:t>
      </w:r>
      <w:r>
        <w:rPr>
          <w:color w:val="auto"/>
          <w:sz w:val="21"/>
          <w:szCs w:val="21"/>
          <w:highlight w:val="none"/>
        </w:rPr>
        <w:t>1</w:t>
      </w:r>
      <w:r>
        <w:rPr>
          <w:rFonts w:hint="eastAsia"/>
          <w:color w:val="auto"/>
          <w:sz w:val="21"/>
          <w:szCs w:val="21"/>
          <w:highlight w:val="none"/>
        </w:rPr>
        <w:t>年</w:t>
      </w:r>
      <w:r>
        <w:rPr>
          <w:rFonts w:hint="eastAsia"/>
          <w:color w:val="auto"/>
          <w:sz w:val="21"/>
          <w:szCs w:val="21"/>
          <w:highlight w:val="none"/>
          <w:lang w:val="en-US" w:eastAsia="zh-CN"/>
        </w:rPr>
        <w:t>6</w:t>
      </w:r>
      <w:r>
        <w:rPr>
          <w:rFonts w:hint="eastAsia"/>
          <w:color w:val="auto"/>
          <w:sz w:val="21"/>
          <w:szCs w:val="21"/>
          <w:highlight w:val="none"/>
        </w:rPr>
        <w:t>月</w:t>
      </w:r>
      <w:r>
        <w:rPr>
          <w:color w:val="auto"/>
          <w:sz w:val="21"/>
          <w:szCs w:val="21"/>
          <w:highlight w:val="none"/>
        </w:rPr>
        <w:t>1</w:t>
      </w:r>
      <w:r>
        <w:rPr>
          <w:rFonts w:hint="eastAsia"/>
          <w:color w:val="auto"/>
          <w:sz w:val="21"/>
          <w:szCs w:val="21"/>
          <w:highlight w:val="none"/>
          <w:lang w:val="en-US" w:eastAsia="zh-CN"/>
        </w:rPr>
        <w:t>0</w:t>
      </w:r>
      <w:r>
        <w:rPr>
          <w:rFonts w:hint="eastAsia"/>
          <w:color w:val="auto"/>
          <w:sz w:val="21"/>
          <w:szCs w:val="21"/>
          <w:highlight w:val="none"/>
        </w:rPr>
        <w:t>日开工至202</w:t>
      </w:r>
      <w:r>
        <w:rPr>
          <w:color w:val="auto"/>
          <w:sz w:val="21"/>
          <w:szCs w:val="21"/>
          <w:highlight w:val="none"/>
        </w:rPr>
        <w:t>2</w:t>
      </w:r>
      <w:r>
        <w:rPr>
          <w:rFonts w:hint="eastAsia"/>
          <w:color w:val="auto"/>
          <w:sz w:val="21"/>
          <w:szCs w:val="21"/>
          <w:highlight w:val="none"/>
        </w:rPr>
        <w:t>年</w:t>
      </w:r>
      <w:r>
        <w:rPr>
          <w:color w:val="auto"/>
          <w:sz w:val="21"/>
          <w:szCs w:val="21"/>
          <w:highlight w:val="none"/>
        </w:rPr>
        <w:t>9</w:t>
      </w:r>
      <w:r>
        <w:rPr>
          <w:rFonts w:hint="eastAsia"/>
          <w:color w:val="auto"/>
          <w:sz w:val="21"/>
          <w:szCs w:val="21"/>
          <w:highlight w:val="none"/>
        </w:rPr>
        <w:t>月</w:t>
      </w:r>
      <w:r>
        <w:rPr>
          <w:color w:val="auto"/>
          <w:sz w:val="21"/>
          <w:szCs w:val="21"/>
          <w:highlight w:val="none"/>
        </w:rPr>
        <w:t>30</w:t>
      </w:r>
      <w:r>
        <w:rPr>
          <w:rFonts w:hint="eastAsia"/>
          <w:color w:val="auto"/>
          <w:sz w:val="21"/>
          <w:szCs w:val="21"/>
          <w:highlight w:val="none"/>
        </w:rPr>
        <w:t>日竣工，计划工期</w:t>
      </w:r>
      <w:r>
        <w:rPr>
          <w:rFonts w:hint="eastAsia"/>
          <w:color w:val="auto"/>
          <w:sz w:val="21"/>
          <w:szCs w:val="21"/>
          <w:highlight w:val="none"/>
          <w:lang w:val="en-US" w:eastAsia="zh-CN"/>
        </w:rPr>
        <w:t>478</w:t>
      </w:r>
      <w:r>
        <w:rPr>
          <w:rFonts w:hint="eastAsia"/>
          <w:color w:val="auto"/>
          <w:sz w:val="21"/>
          <w:szCs w:val="21"/>
          <w:highlight w:val="none"/>
        </w:rPr>
        <w:t>天。</w:t>
      </w:r>
    </w:p>
    <w:p>
      <w:pPr>
        <w:pStyle w:val="20"/>
        <w:tabs>
          <w:tab w:val="left" w:pos="1929"/>
        </w:tabs>
        <w:adjustRightInd w:val="0"/>
        <w:snapToGrid w:val="0"/>
        <w:spacing w:line="360" w:lineRule="auto"/>
        <w:ind w:right="328" w:firstLine="420" w:firstLineChars="200"/>
        <w:rPr>
          <w:color w:val="auto"/>
          <w:sz w:val="21"/>
          <w:szCs w:val="21"/>
          <w:highlight w:val="none"/>
        </w:rPr>
      </w:pPr>
      <w:r>
        <w:rPr>
          <w:rFonts w:hint="eastAsia"/>
          <w:color w:val="auto"/>
          <w:sz w:val="21"/>
          <w:szCs w:val="21"/>
          <w:highlight w:val="none"/>
        </w:rPr>
        <w:t>2.7质量要求：合格。</w:t>
      </w:r>
    </w:p>
    <w:p>
      <w:pPr>
        <w:numPr>
          <w:ilvl w:val="0"/>
          <w:numId w:val="1"/>
        </w:numPr>
        <w:tabs>
          <w:tab w:val="left" w:pos="718"/>
        </w:tabs>
        <w:adjustRightInd w:val="0"/>
        <w:snapToGrid w:val="0"/>
        <w:spacing w:line="360" w:lineRule="auto"/>
        <w:outlineLvl w:val="2"/>
        <w:rPr>
          <w:rFonts w:ascii="黑体" w:eastAsia="黑体"/>
          <w:b/>
          <w:color w:val="auto"/>
          <w:sz w:val="28"/>
          <w:highlight w:val="none"/>
        </w:rPr>
      </w:pPr>
      <w:bookmarkStart w:id="72" w:name="_bookmark3"/>
      <w:bookmarkEnd w:id="72"/>
      <w:bookmarkStart w:id="73" w:name="_Toc722"/>
      <w:bookmarkStart w:id="74" w:name="_Toc9829"/>
      <w:bookmarkStart w:id="75" w:name="_Toc22626"/>
      <w:bookmarkStart w:id="76" w:name="_Toc25028"/>
      <w:bookmarkStart w:id="77" w:name="_Toc11041"/>
      <w:bookmarkStart w:id="78" w:name="_Toc14880"/>
      <w:bookmarkStart w:id="79" w:name="_Toc26843"/>
      <w:bookmarkStart w:id="80" w:name="_Toc30737"/>
      <w:bookmarkStart w:id="81" w:name="_Toc22639"/>
      <w:bookmarkStart w:id="82" w:name="_Toc19999"/>
      <w:bookmarkStart w:id="83" w:name="_Toc26363"/>
      <w:bookmarkStart w:id="84" w:name="_Toc6647"/>
      <w:bookmarkStart w:id="85" w:name="_Toc30279"/>
      <w:bookmarkStart w:id="86" w:name="_Toc19705"/>
      <w:bookmarkStart w:id="87" w:name="_Toc6357"/>
      <w:r>
        <w:rPr>
          <w:rFonts w:hint="eastAsia" w:ascii="黑体" w:eastAsia="黑体"/>
          <w:b/>
          <w:color w:val="auto"/>
          <w:sz w:val="28"/>
          <w:highlight w:val="none"/>
        </w:rPr>
        <w:t>投标人资格要求</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widowControl/>
        <w:adjustRightInd w:val="0"/>
        <w:snapToGrid w:val="0"/>
        <w:spacing w:line="360" w:lineRule="auto"/>
        <w:ind w:firstLine="480"/>
        <w:rPr>
          <w:rFonts w:hint="eastAsia" w:eastAsia="宋体"/>
          <w:color w:val="auto"/>
          <w:sz w:val="21"/>
          <w:szCs w:val="21"/>
          <w:highlight w:val="none"/>
          <w:lang w:eastAsia="zh-CN"/>
        </w:rPr>
      </w:pPr>
      <w:r>
        <w:rPr>
          <w:rFonts w:hint="eastAsia"/>
          <w:color w:val="auto"/>
          <w:sz w:val="21"/>
          <w:szCs w:val="21"/>
          <w:highlight w:val="none"/>
        </w:rPr>
        <w:t>3.1</w:t>
      </w:r>
      <w:r>
        <w:rPr>
          <w:rFonts w:hint="eastAsia"/>
          <w:color w:val="auto"/>
          <w:sz w:val="21"/>
          <w:szCs w:val="21"/>
          <w:highlight w:val="none"/>
          <w:lang w:val="en-US"/>
        </w:rPr>
        <w:t xml:space="preserve"> </w:t>
      </w:r>
      <w:r>
        <w:rPr>
          <w:rFonts w:hint="eastAsia"/>
          <w:color w:val="auto"/>
          <w:sz w:val="21"/>
          <w:szCs w:val="21"/>
          <w:highlight w:val="none"/>
        </w:rPr>
        <w:t>投标人必须为</w:t>
      </w:r>
      <w:r>
        <w:rPr>
          <w:color w:val="auto"/>
          <w:sz w:val="21"/>
          <w:szCs w:val="21"/>
          <w:highlight w:val="none"/>
        </w:rPr>
        <w:t>独立的企业或事业法人，持有效营业执照</w:t>
      </w:r>
      <w:r>
        <w:rPr>
          <w:rFonts w:hint="eastAsia"/>
          <w:color w:val="auto"/>
          <w:sz w:val="21"/>
          <w:szCs w:val="21"/>
          <w:highlight w:val="none"/>
          <w:lang w:val="en-US" w:eastAsia="zh-CN"/>
        </w:rPr>
        <w:t>。</w:t>
      </w:r>
    </w:p>
    <w:p>
      <w:pPr>
        <w:widowControl/>
        <w:adjustRightInd w:val="0"/>
        <w:snapToGrid w:val="0"/>
        <w:spacing w:line="360" w:lineRule="auto"/>
        <w:ind w:firstLine="480"/>
        <w:rPr>
          <w:rFonts w:hint="default" w:eastAsia="宋体"/>
          <w:color w:val="auto"/>
          <w:sz w:val="21"/>
          <w:szCs w:val="21"/>
          <w:highlight w:val="none"/>
          <w:lang w:val="en-US" w:eastAsia="zh-CN"/>
        </w:rPr>
      </w:pPr>
      <w:r>
        <w:rPr>
          <w:rFonts w:hint="eastAsia"/>
          <w:color w:val="auto"/>
          <w:sz w:val="21"/>
          <w:szCs w:val="21"/>
          <w:highlight w:val="none"/>
        </w:rPr>
        <w:t>3.</w:t>
      </w:r>
      <w:r>
        <w:rPr>
          <w:rFonts w:hint="eastAsia"/>
          <w:color w:val="auto"/>
          <w:sz w:val="21"/>
          <w:szCs w:val="21"/>
          <w:highlight w:val="none"/>
          <w:lang w:val="en-US"/>
        </w:rPr>
        <w:t>2</w:t>
      </w:r>
      <w:r>
        <w:rPr>
          <w:rFonts w:hint="eastAsia"/>
          <w:color w:val="auto"/>
          <w:sz w:val="21"/>
          <w:szCs w:val="21"/>
          <w:highlight w:val="none"/>
          <w:lang w:val="en-US" w:eastAsia="zh-CN"/>
        </w:rPr>
        <w:t>资质要求：</w:t>
      </w:r>
    </w:p>
    <w:p>
      <w:pPr>
        <w:widowControl/>
        <w:adjustRightInd w:val="0"/>
        <w:snapToGrid w:val="0"/>
        <w:spacing w:line="360" w:lineRule="auto"/>
        <w:ind w:firstLine="480"/>
        <w:rPr>
          <w:color w:val="auto"/>
          <w:sz w:val="21"/>
          <w:szCs w:val="21"/>
          <w:highlight w:val="none"/>
        </w:rPr>
      </w:pPr>
      <w:r>
        <w:rPr>
          <w:rFonts w:hint="eastAsia"/>
          <w:color w:val="auto"/>
          <w:sz w:val="21"/>
          <w:szCs w:val="21"/>
          <w:highlight w:val="none"/>
        </w:rPr>
        <w:t>（1）投标人须具备公路工程施工总承包</w:t>
      </w:r>
      <w:r>
        <w:rPr>
          <w:rFonts w:hint="eastAsia"/>
          <w:color w:val="auto"/>
          <w:sz w:val="21"/>
          <w:szCs w:val="21"/>
          <w:highlight w:val="none"/>
          <w:lang w:val="en-US"/>
        </w:rPr>
        <w:t>一</w:t>
      </w:r>
      <w:r>
        <w:rPr>
          <w:rFonts w:hint="eastAsia"/>
          <w:color w:val="auto"/>
          <w:sz w:val="21"/>
          <w:szCs w:val="21"/>
          <w:highlight w:val="none"/>
        </w:rPr>
        <w:t>级</w:t>
      </w:r>
      <w:r>
        <w:rPr>
          <w:rFonts w:hint="eastAsia"/>
          <w:color w:val="auto"/>
          <w:sz w:val="21"/>
          <w:szCs w:val="21"/>
          <w:highlight w:val="none"/>
          <w:lang w:val="en-US"/>
        </w:rPr>
        <w:t>以上</w:t>
      </w:r>
      <w:r>
        <w:rPr>
          <w:rFonts w:hint="eastAsia"/>
          <w:color w:val="auto"/>
          <w:sz w:val="21"/>
          <w:szCs w:val="21"/>
          <w:highlight w:val="none"/>
        </w:rPr>
        <w:t>（含</w:t>
      </w:r>
      <w:r>
        <w:rPr>
          <w:rFonts w:hint="eastAsia"/>
          <w:color w:val="auto"/>
          <w:sz w:val="21"/>
          <w:szCs w:val="21"/>
          <w:highlight w:val="none"/>
          <w:lang w:val="en-US"/>
        </w:rPr>
        <w:t>一</w:t>
      </w:r>
      <w:r>
        <w:rPr>
          <w:rFonts w:hint="eastAsia"/>
          <w:color w:val="auto"/>
          <w:sz w:val="21"/>
          <w:szCs w:val="21"/>
          <w:highlight w:val="none"/>
        </w:rPr>
        <w:t>级）</w:t>
      </w:r>
      <w:r>
        <w:rPr>
          <w:rFonts w:hint="eastAsia"/>
          <w:color w:val="auto"/>
          <w:sz w:val="21"/>
          <w:szCs w:val="21"/>
          <w:highlight w:val="none"/>
          <w:lang w:val="en-US"/>
        </w:rPr>
        <w:t>资质</w:t>
      </w:r>
      <w:r>
        <w:rPr>
          <w:rFonts w:hint="eastAsia"/>
          <w:color w:val="auto"/>
          <w:sz w:val="21"/>
          <w:szCs w:val="21"/>
          <w:highlight w:val="none"/>
        </w:rPr>
        <w:t>或桥梁专业承包</w:t>
      </w:r>
      <w:r>
        <w:rPr>
          <w:rFonts w:hint="eastAsia"/>
          <w:color w:val="auto"/>
          <w:sz w:val="21"/>
          <w:szCs w:val="21"/>
          <w:highlight w:val="none"/>
          <w:lang w:val="en-US"/>
        </w:rPr>
        <w:t>一</w:t>
      </w:r>
      <w:r>
        <w:rPr>
          <w:rFonts w:hint="eastAsia"/>
          <w:color w:val="auto"/>
          <w:sz w:val="21"/>
          <w:szCs w:val="21"/>
          <w:highlight w:val="none"/>
        </w:rPr>
        <w:t>级</w:t>
      </w:r>
      <w:r>
        <w:rPr>
          <w:rFonts w:hint="eastAsia"/>
          <w:color w:val="auto"/>
          <w:sz w:val="21"/>
          <w:szCs w:val="21"/>
          <w:highlight w:val="none"/>
          <w:lang w:val="en-US"/>
        </w:rPr>
        <w:t>资质</w:t>
      </w:r>
      <w:r>
        <w:rPr>
          <w:rFonts w:hint="eastAsia"/>
          <w:color w:val="auto"/>
          <w:sz w:val="21"/>
          <w:szCs w:val="21"/>
          <w:highlight w:val="none"/>
        </w:rPr>
        <w:t>；</w:t>
      </w:r>
    </w:p>
    <w:p>
      <w:pPr>
        <w:widowControl/>
        <w:adjustRightInd w:val="0"/>
        <w:snapToGrid w:val="0"/>
        <w:spacing w:line="360" w:lineRule="auto"/>
        <w:ind w:firstLine="480"/>
        <w:rPr>
          <w:rFonts w:hint="eastAsia" w:eastAsia="宋体"/>
          <w:color w:val="auto"/>
          <w:sz w:val="21"/>
          <w:szCs w:val="21"/>
          <w:highlight w:val="none"/>
          <w:lang w:eastAsia="zh-CN"/>
        </w:rPr>
      </w:pPr>
      <w:r>
        <w:rPr>
          <w:rFonts w:hint="eastAsia"/>
          <w:color w:val="auto"/>
          <w:sz w:val="21"/>
          <w:szCs w:val="21"/>
          <w:highlight w:val="none"/>
        </w:rPr>
        <w:t>（2）投标人必须具有相关行政主管部门颁发的有效安全生产许可证</w:t>
      </w:r>
      <w:r>
        <w:rPr>
          <w:rFonts w:hint="eastAsia"/>
          <w:color w:val="auto"/>
          <w:sz w:val="21"/>
          <w:szCs w:val="21"/>
          <w:highlight w:val="none"/>
          <w:lang w:eastAsia="zh-CN"/>
        </w:rPr>
        <w:t>。</w:t>
      </w:r>
    </w:p>
    <w:p>
      <w:pPr>
        <w:widowControl/>
        <w:adjustRightInd w:val="0"/>
        <w:snapToGrid w:val="0"/>
        <w:spacing w:line="360" w:lineRule="auto"/>
        <w:ind w:firstLine="480"/>
        <w:rPr>
          <w:rFonts w:hint="default" w:eastAsia="宋体"/>
          <w:color w:val="auto"/>
          <w:sz w:val="21"/>
          <w:szCs w:val="21"/>
          <w:highlight w:val="none"/>
          <w:lang w:val="en-US" w:eastAsia="zh-CN"/>
        </w:rPr>
      </w:pPr>
      <w:r>
        <w:rPr>
          <w:rFonts w:hint="eastAsia"/>
          <w:color w:val="auto"/>
          <w:sz w:val="21"/>
          <w:szCs w:val="21"/>
          <w:highlight w:val="none"/>
          <w:lang w:val="en-US"/>
        </w:rPr>
        <w:t>3.</w:t>
      </w:r>
      <w:r>
        <w:rPr>
          <w:rFonts w:hint="eastAsia"/>
          <w:color w:val="auto"/>
          <w:sz w:val="21"/>
          <w:szCs w:val="21"/>
          <w:highlight w:val="none"/>
          <w:lang w:val="en-US" w:eastAsia="zh-CN"/>
        </w:rPr>
        <w:t>3主要人员：</w:t>
      </w:r>
    </w:p>
    <w:p>
      <w:pPr>
        <w:widowControl/>
        <w:adjustRightInd w:val="0"/>
        <w:snapToGrid w:val="0"/>
        <w:spacing w:line="360" w:lineRule="auto"/>
        <w:ind w:firstLine="480"/>
        <w:rPr>
          <w:color w:val="auto"/>
          <w:sz w:val="21"/>
          <w:szCs w:val="21"/>
          <w:highlight w:val="none"/>
        </w:rPr>
      </w:pPr>
      <w:r>
        <w:rPr>
          <w:rFonts w:hint="eastAsia"/>
          <w:color w:val="auto"/>
          <w:sz w:val="21"/>
          <w:szCs w:val="21"/>
          <w:highlight w:val="none"/>
        </w:rPr>
        <w:t>（1）项目经理1名，公路工程相关专业中级及以上技术职称，具有一级注册建造师（公路工程专业）证书，且证书目前必须注册在投标人单位，具有交通部或省级交通主管部颁发的安全生产考核“B类”合格证书并在有效期内；</w:t>
      </w:r>
    </w:p>
    <w:p>
      <w:pPr>
        <w:widowControl/>
        <w:adjustRightInd w:val="0"/>
        <w:snapToGrid w:val="0"/>
        <w:spacing w:line="360" w:lineRule="auto"/>
        <w:ind w:firstLine="480"/>
        <w:rPr>
          <w:rFonts w:hint="eastAsia"/>
          <w:color w:val="auto"/>
          <w:sz w:val="21"/>
          <w:szCs w:val="21"/>
          <w:highlight w:val="none"/>
        </w:rPr>
      </w:pPr>
      <w:r>
        <w:rPr>
          <w:rFonts w:hint="eastAsia"/>
          <w:color w:val="auto"/>
          <w:sz w:val="21"/>
          <w:szCs w:val="21"/>
          <w:highlight w:val="none"/>
        </w:rPr>
        <w:t>（2）项目总工1名，公路工程相关专业中级及以上技术职称，具有交通部或省级交通主管部颁发的安全生产考核“B类”合格证书并在有效期内；</w:t>
      </w:r>
    </w:p>
    <w:p>
      <w:pPr>
        <w:widowControl/>
        <w:adjustRightInd w:val="0"/>
        <w:snapToGrid w:val="0"/>
        <w:spacing w:line="360" w:lineRule="auto"/>
        <w:ind w:firstLine="480"/>
        <w:rPr>
          <w:rFonts w:hint="eastAsia"/>
          <w:color w:val="auto"/>
          <w:sz w:val="21"/>
          <w:szCs w:val="21"/>
          <w:highlight w:val="none"/>
        </w:rPr>
      </w:pPr>
    </w:p>
    <w:p>
      <w:pPr>
        <w:adjustRightInd w:val="0"/>
        <w:snapToGrid w:val="0"/>
        <w:spacing w:line="360" w:lineRule="auto"/>
        <w:ind w:firstLine="660" w:firstLineChars="300"/>
        <w:rPr>
          <w:rFonts w:hint="eastAsia"/>
          <w:color w:val="auto"/>
          <w:sz w:val="21"/>
          <w:szCs w:val="21"/>
          <w:highlight w:val="none"/>
        </w:rPr>
      </w:pPr>
      <w:r>
        <w:rPr>
          <w:rFonts w:hint="eastAsia" w:ascii="宋体" w:hAnsi="宋体"/>
          <w:color w:val="auto"/>
          <w:szCs w:val="21"/>
          <w:highlight w:val="none"/>
        </w:rPr>
        <w:t>投标人应进入交通运输部“全国公路建设市场信用信息管理系统（</w:t>
      </w:r>
      <w:r>
        <w:rPr>
          <w:rFonts w:ascii="宋体" w:hAnsi="宋体"/>
          <w:color w:val="auto"/>
          <w:szCs w:val="21"/>
          <w:highlight w:val="none"/>
        </w:rPr>
        <w:drawing>
          <wp:inline distT="0" distB="0" distL="114300" distR="114300">
            <wp:extent cx="191135" cy="142875"/>
            <wp:effectExtent l="0" t="0" r="1841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6"/>
                    <a:stretch>
                      <a:fillRect/>
                    </a:stretch>
                  </pic:blipFill>
                  <pic:spPr>
                    <a:xfrm>
                      <a:off x="0" y="0"/>
                      <a:ext cx="191135" cy="142875"/>
                    </a:xfrm>
                    <a:prstGeom prst="rect">
                      <a:avLst/>
                    </a:prstGeom>
                    <a:noFill/>
                    <a:ln>
                      <a:noFill/>
                    </a:ln>
                  </pic:spPr>
                </pic:pic>
              </a:graphicData>
            </a:graphic>
          </wp:inline>
        </w:drawing>
      </w:r>
      <w:r>
        <w:rPr>
          <w:rFonts w:hint="eastAsia" w:ascii="宋体" w:hAnsi="宋体"/>
          <w:color w:val="auto"/>
          <w:szCs w:val="21"/>
          <w:highlight w:val="none"/>
        </w:rPr>
        <w:t>http://glxy.mot.gov.cn ）”中的公路工程施工资质企业名录，且投标人名称和资质与该名录中相应企业名称和资质完全一致</w:t>
      </w:r>
      <w:r>
        <w:rPr>
          <w:rFonts w:hint="eastAsia"/>
          <w:color w:val="auto"/>
          <w:szCs w:val="21"/>
          <w:highlight w:val="none"/>
          <w:lang w:eastAsia="zh-CN"/>
        </w:rPr>
        <w:t>。</w:t>
      </w:r>
      <w:r>
        <w:rPr>
          <w:rFonts w:hint="eastAsia" w:ascii="宋体" w:hAnsi="宋体"/>
          <w:color w:val="auto"/>
          <w:szCs w:val="21"/>
          <w:highlight w:val="none"/>
        </w:rPr>
        <w:t>（本规定仅适用于根据《关于发布公路工程从业企业资质名录的通知》（厅公路字〔2011〕114号）要求，招标人应通过名录对投标人资质条件进行审核的公路施工企业。）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4</w:t>
      </w:r>
      <w:r>
        <w:rPr>
          <w:rFonts w:hint="eastAsia"/>
          <w:color w:val="auto"/>
          <w:sz w:val="21"/>
          <w:szCs w:val="21"/>
          <w:highlight w:val="none"/>
        </w:rPr>
        <w:t>投标人</w:t>
      </w:r>
      <w:r>
        <w:rPr>
          <w:rFonts w:hint="eastAsia"/>
          <w:color w:val="auto"/>
          <w:sz w:val="21"/>
          <w:szCs w:val="21"/>
          <w:highlight w:val="none"/>
          <w:lang w:val="en-US"/>
        </w:rPr>
        <w:t>信誉要求</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（1）未被省级及以上交通运输主管部门取消招标项目所在地的投标资格且处于有效期内的；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（2）未被责令停业的，暂扣或吊销执照，或吊销资质证书；</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（3）未在国家企业信用信息公示系统（http:/www.gsxt.gov.cn/）中被列入严重违法失信企业名单；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（4）未在“信用中国”网站（www.creditchina.gov.cn）中被列入失信被执行人名单的；</w:t>
      </w:r>
    </w:p>
    <w:p>
      <w:pPr>
        <w:spacing w:line="360" w:lineRule="auto"/>
        <w:ind w:firstLine="472" w:firstLineChars="225"/>
        <w:rPr>
          <w:color w:val="auto"/>
          <w:sz w:val="21"/>
          <w:szCs w:val="21"/>
          <w:highlight w:val="none"/>
        </w:rPr>
      </w:pPr>
      <w:r>
        <w:rPr>
          <w:rFonts w:hint="eastAsia"/>
          <w:color w:val="auto"/>
          <w:sz w:val="21"/>
          <w:szCs w:val="21"/>
          <w:highlight w:val="none"/>
        </w:rPr>
        <w:t>（5）投标单位须提供辽宁省社会信用体系建设领导小组办公室认定的备案信用中介机构核发的BBB级（含）以上的企业信用报告或“信用中国（辽宁）” （www.xyln.net/）</w:t>
      </w:r>
      <w:r>
        <w:rPr>
          <w:rFonts w:hint="eastAsia"/>
          <w:color w:val="auto"/>
          <w:sz w:val="21"/>
          <w:szCs w:val="21"/>
          <w:highlight w:val="none"/>
          <w:lang w:val="en-US" w:eastAsia="zh-CN"/>
        </w:rPr>
        <w:t>及</w:t>
      </w:r>
      <w:r>
        <w:rPr>
          <w:rFonts w:hint="eastAsia"/>
          <w:color w:val="auto"/>
          <w:sz w:val="21"/>
          <w:szCs w:val="21"/>
          <w:highlight w:val="none"/>
        </w:rPr>
        <w:t>相关网站公示的BBB级（含）以上信用等级（有效期内）。</w:t>
      </w:r>
    </w:p>
    <w:p>
      <w:pPr>
        <w:widowControl/>
        <w:adjustRightInd w:val="0"/>
        <w:snapToGrid w:val="0"/>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val="en-US" w:eastAsia="zh-CN"/>
        </w:rPr>
        <w:t>5</w:t>
      </w:r>
      <w:r>
        <w:rPr>
          <w:rFonts w:hint="eastAsia"/>
          <w:color w:val="auto"/>
          <w:sz w:val="21"/>
          <w:szCs w:val="21"/>
          <w:highlight w:val="none"/>
        </w:rPr>
        <w:t xml:space="preserve"> 本次招标不接收联合体投标</w:t>
      </w:r>
      <w:r>
        <w:rPr>
          <w:rFonts w:hint="eastAsia"/>
          <w:color w:val="auto"/>
          <w:sz w:val="21"/>
          <w:szCs w:val="21"/>
          <w:highlight w:val="none"/>
          <w:lang w:eastAsia="zh-CN"/>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与招标人存在利害关系可能影响招标公正性的单位，不得参加投标。单位负责人为同一人或存在控股、管理关系的不同单位，不得参加同一标段投标，否则，相关投标均无效。</w:t>
      </w:r>
    </w:p>
    <w:p>
      <w:pPr>
        <w:numPr>
          <w:ilvl w:val="0"/>
          <w:numId w:val="1"/>
        </w:numPr>
        <w:tabs>
          <w:tab w:val="left" w:pos="718"/>
        </w:tabs>
        <w:adjustRightInd w:val="0"/>
        <w:snapToGrid w:val="0"/>
        <w:spacing w:line="360" w:lineRule="auto"/>
        <w:outlineLvl w:val="2"/>
        <w:rPr>
          <w:rFonts w:ascii="黑体" w:eastAsia="黑体"/>
          <w:b/>
          <w:color w:val="auto"/>
          <w:sz w:val="28"/>
          <w:highlight w:val="none"/>
        </w:rPr>
      </w:pPr>
      <w:bookmarkStart w:id="88" w:name="_bookmark4"/>
      <w:bookmarkEnd w:id="88"/>
      <w:bookmarkStart w:id="89" w:name="_Toc15767"/>
      <w:bookmarkStart w:id="90" w:name="_Toc32663"/>
      <w:bookmarkStart w:id="91" w:name="_Toc5955"/>
      <w:bookmarkStart w:id="92" w:name="_Toc11062"/>
      <w:bookmarkStart w:id="93" w:name="_Toc12917"/>
      <w:bookmarkStart w:id="94" w:name="_Toc6789"/>
      <w:bookmarkStart w:id="95" w:name="_Toc9760"/>
      <w:bookmarkStart w:id="96" w:name="_Toc8124"/>
      <w:bookmarkStart w:id="97" w:name="_Toc23142"/>
      <w:bookmarkStart w:id="98" w:name="_Toc996"/>
      <w:bookmarkStart w:id="99" w:name="_Toc20065"/>
      <w:bookmarkStart w:id="100" w:name="_Toc31308"/>
      <w:bookmarkStart w:id="101" w:name="_Toc17331"/>
      <w:bookmarkStart w:id="102" w:name="_Toc27074"/>
      <w:bookmarkStart w:id="103" w:name="_Toc15898"/>
      <w:r>
        <w:rPr>
          <w:rFonts w:hint="eastAsia" w:ascii="黑体" w:eastAsia="黑体"/>
          <w:b/>
          <w:color w:val="auto"/>
          <w:sz w:val="28"/>
          <w:highlight w:val="none"/>
        </w:rPr>
        <w:t>领取招标文件的时间及方</w:t>
      </w:r>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黑体" w:eastAsia="黑体"/>
          <w:b/>
          <w:color w:val="auto"/>
          <w:sz w:val="28"/>
          <w:highlight w:val="none"/>
        </w:rPr>
        <w:t>式</w:t>
      </w:r>
      <w:bookmarkEnd w:id="103"/>
    </w:p>
    <w:p>
      <w:pPr>
        <w:widowControl/>
        <w:spacing w:line="360" w:lineRule="auto"/>
        <w:ind w:firstLine="525" w:firstLineChars="250"/>
        <w:rPr>
          <w:color w:val="auto"/>
          <w:sz w:val="21"/>
          <w:szCs w:val="21"/>
          <w:highlight w:val="none"/>
        </w:rPr>
      </w:pPr>
      <w:r>
        <w:rPr>
          <w:color w:val="auto"/>
          <w:sz w:val="21"/>
          <w:szCs w:val="21"/>
          <w:highlight w:val="none"/>
        </w:rPr>
        <w:t>即日</w:t>
      </w:r>
      <w:r>
        <w:rPr>
          <w:color w:val="auto"/>
          <w:spacing w:val="-20"/>
          <w:sz w:val="21"/>
          <w:szCs w:val="21"/>
          <w:highlight w:val="none"/>
        </w:rPr>
        <w:t>起至开标前</w:t>
      </w:r>
      <w:r>
        <w:rPr>
          <w:color w:val="auto"/>
          <w:sz w:val="21"/>
          <w:szCs w:val="21"/>
          <w:highlight w:val="none"/>
        </w:rPr>
        <w:t>在鞍山市公共资源服务平台(本公告附件)免费下载,网址</w:t>
      </w:r>
      <w:r>
        <w:rPr>
          <w:color w:val="auto"/>
          <w:sz w:val="21"/>
          <w:szCs w:val="21"/>
          <w:highlight w:val="none"/>
        </w:rPr>
        <w:fldChar w:fldCharType="begin"/>
      </w:r>
      <w:r>
        <w:rPr>
          <w:color w:val="auto"/>
          <w:sz w:val="21"/>
          <w:szCs w:val="21"/>
          <w:highlight w:val="none"/>
        </w:rPr>
        <w:instrText xml:space="preserve"> INCLUDEPICTURE  "C:\\Users\\Application Data\\Tencent\\QQTempSys\\%W@GJ$ACOF(TYDYECOKVDYB.png" \* MERGEFORMATINET </w:instrText>
      </w:r>
      <w:r>
        <w:rPr>
          <w:color w:val="auto"/>
          <w:sz w:val="21"/>
          <w:szCs w:val="21"/>
          <w:highlight w:val="none"/>
        </w:rPr>
        <w:fldChar w:fldCharType="separate"/>
      </w:r>
      <w:r>
        <w:rPr>
          <w:color w:val="auto"/>
          <w:sz w:val="21"/>
          <w:szCs w:val="21"/>
          <w:highlight w:val="none"/>
        </w:rPr>
        <w:fldChar w:fldCharType="begin"/>
      </w:r>
      <w:r>
        <w:rPr>
          <w:color w:val="auto"/>
          <w:sz w:val="21"/>
          <w:szCs w:val="21"/>
          <w:highlight w:val="none"/>
        </w:rPr>
        <w:instrText xml:space="preserve"> INCLUDEPICTURE  "C:\\Users\\Application Data\\Tencent\\QQTempSys\\%W@GJ$ACOF(TYDYECOKVDYB.png" \* MERGEFORMATINET </w:instrText>
      </w:r>
      <w:r>
        <w:rPr>
          <w:color w:val="auto"/>
          <w:sz w:val="21"/>
          <w:szCs w:val="21"/>
          <w:highlight w:val="none"/>
        </w:rPr>
        <w:fldChar w:fldCharType="separate"/>
      </w:r>
      <w:r>
        <w:rPr>
          <w:color w:val="auto"/>
          <w:sz w:val="21"/>
          <w:szCs w:val="21"/>
          <w:highlight w:val="none"/>
        </w:rPr>
        <w:fldChar w:fldCharType="begin"/>
      </w:r>
      <w:r>
        <w:rPr>
          <w:color w:val="auto"/>
          <w:sz w:val="21"/>
          <w:szCs w:val="21"/>
          <w:highlight w:val="none"/>
        </w:rPr>
        <w:instrText xml:space="preserve"> INCLUDEPICTURE  "C:\\Users\\Dell\\Application Data\\Tencent\\QQTempSys\\%W@GJ$ACOF(TYDYECOKVDYB.png" \* MERGEFORMATINET </w:instrText>
      </w:r>
      <w:r>
        <w:rPr>
          <w:color w:val="auto"/>
          <w:sz w:val="21"/>
          <w:szCs w:val="21"/>
          <w:highlight w:val="none"/>
        </w:rPr>
        <w:fldChar w:fldCharType="separate"/>
      </w:r>
      <w:r>
        <w:rPr>
          <w:color w:val="auto"/>
          <w:sz w:val="21"/>
          <w:szCs w:val="21"/>
          <w:highlight w:val="none"/>
        </w:rPr>
        <w:fldChar w:fldCharType="begin"/>
      </w:r>
      <w:r>
        <w:rPr>
          <w:color w:val="auto"/>
          <w:sz w:val="21"/>
          <w:szCs w:val="21"/>
          <w:highlight w:val="none"/>
        </w:rPr>
        <w:instrText xml:space="preserve"> </w:instrText>
      </w:r>
      <w:r>
        <w:rPr>
          <w:rFonts w:hint="eastAsia"/>
          <w:color w:val="auto"/>
          <w:sz w:val="21"/>
          <w:szCs w:val="21"/>
          <w:highlight w:val="none"/>
        </w:rPr>
        <w:instrText xml:space="preserve">INCLUDEPICTURE  "E:\\工作\\2021\\招标\\Application Data\\Tencent\\QQTempSys\\%W@GJ$ACOF(TYDYECOKVDYB.png" \* MERGEFORMATINET</w:instrText>
      </w:r>
      <w:r>
        <w:rPr>
          <w:color w:val="auto"/>
          <w:sz w:val="21"/>
          <w:szCs w:val="21"/>
          <w:highlight w:val="none"/>
        </w:rPr>
        <w:instrText xml:space="preserve"> </w:instrText>
      </w:r>
      <w:r>
        <w:rPr>
          <w:color w:val="auto"/>
          <w:sz w:val="21"/>
          <w:szCs w:val="21"/>
          <w:highlight w:val="none"/>
        </w:rPr>
        <w:fldChar w:fldCharType="separate"/>
      </w:r>
      <w:r>
        <w:rPr>
          <w:color w:val="auto"/>
          <w:sz w:val="21"/>
          <w:szCs w:val="21"/>
          <w:highlight w:val="none"/>
          <w:lang w:val="en-US" w:bidi="ar-SA"/>
        </w:rPr>
        <w:drawing>
          <wp:inline distT="0" distB="0" distL="114300" distR="114300">
            <wp:extent cx="190500" cy="144780"/>
            <wp:effectExtent l="0" t="0" r="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6" r:link="rId67" cstate="print"/>
                    <a:stretch>
                      <a:fillRect/>
                    </a:stretch>
                  </pic:blipFill>
                  <pic:spPr>
                    <a:xfrm>
                      <a:off x="0" y="0"/>
                      <a:ext cx="190500" cy="144780"/>
                    </a:xfrm>
                    <a:prstGeom prst="rect">
                      <a:avLst/>
                    </a:prstGeom>
                    <a:noFill/>
                    <a:ln>
                      <a:noFill/>
                    </a:ln>
                  </pic:spPr>
                </pic:pic>
              </a:graphicData>
            </a:graphic>
          </wp:inline>
        </w:drawing>
      </w:r>
      <w:r>
        <w:rPr>
          <w:color w:val="auto"/>
          <w:sz w:val="21"/>
          <w:szCs w:val="21"/>
          <w:highlight w:val="none"/>
        </w:rPr>
        <w:fldChar w:fldCharType="end"/>
      </w:r>
      <w:r>
        <w:rPr>
          <w:color w:val="auto"/>
          <w:sz w:val="21"/>
          <w:szCs w:val="21"/>
          <w:highlight w:val="none"/>
        </w:rPr>
        <w:fldChar w:fldCharType="end"/>
      </w:r>
      <w:r>
        <w:rPr>
          <w:color w:val="auto"/>
          <w:sz w:val="21"/>
          <w:szCs w:val="21"/>
          <w:highlight w:val="none"/>
        </w:rPr>
        <w:fldChar w:fldCharType="end"/>
      </w:r>
      <w:r>
        <w:rPr>
          <w:color w:val="auto"/>
          <w:sz w:val="21"/>
          <w:szCs w:val="21"/>
          <w:highlight w:val="none"/>
        </w:rPr>
        <w:fldChar w:fldCharType="end"/>
      </w:r>
      <w:r>
        <w:rPr>
          <w:color w:val="auto"/>
          <w:highlight w:val="none"/>
        </w:rPr>
        <w:fldChar w:fldCharType="begin"/>
      </w:r>
      <w:r>
        <w:rPr>
          <w:color w:val="auto"/>
          <w:highlight w:val="none"/>
        </w:rPr>
        <w:instrText xml:space="preserve"> HYPERLINK "http://www.asggzyjy.cn" </w:instrText>
      </w:r>
      <w:r>
        <w:rPr>
          <w:color w:val="auto"/>
          <w:highlight w:val="none"/>
        </w:rPr>
        <w:fldChar w:fldCharType="separate"/>
      </w:r>
      <w:r>
        <w:rPr>
          <w:rStyle w:val="53"/>
          <w:color w:val="auto"/>
          <w:sz w:val="21"/>
          <w:szCs w:val="21"/>
          <w:highlight w:val="none"/>
          <w:u w:val="none"/>
        </w:rPr>
        <w:t>http://www.asggzyjy.cn</w:t>
      </w:r>
      <w:r>
        <w:rPr>
          <w:rStyle w:val="53"/>
          <w:color w:val="auto"/>
          <w:sz w:val="21"/>
          <w:szCs w:val="21"/>
          <w:highlight w:val="none"/>
          <w:u w:val="none"/>
        </w:rPr>
        <w:fldChar w:fldCharType="end"/>
      </w:r>
    </w:p>
    <w:p>
      <w:pPr>
        <w:numPr>
          <w:ilvl w:val="0"/>
          <w:numId w:val="1"/>
        </w:numPr>
        <w:tabs>
          <w:tab w:val="left" w:pos="718"/>
        </w:tabs>
        <w:adjustRightInd w:val="0"/>
        <w:snapToGrid w:val="0"/>
        <w:spacing w:line="360" w:lineRule="auto"/>
        <w:outlineLvl w:val="2"/>
        <w:rPr>
          <w:rFonts w:ascii="黑体" w:eastAsia="黑体"/>
          <w:b/>
          <w:color w:val="auto"/>
          <w:sz w:val="28"/>
          <w:highlight w:val="none"/>
          <w:lang w:val="en-US"/>
        </w:rPr>
      </w:pPr>
      <w:bookmarkStart w:id="104" w:name="_Toc9154"/>
      <w:r>
        <w:rPr>
          <w:rFonts w:hint="eastAsia" w:ascii="黑体" w:eastAsia="黑体"/>
          <w:b/>
          <w:color w:val="auto"/>
          <w:sz w:val="28"/>
          <w:highlight w:val="none"/>
        </w:rPr>
        <w:t>投标报名</w:t>
      </w:r>
      <w:bookmarkEnd w:id="104"/>
    </w:p>
    <w:p>
      <w:pPr>
        <w:tabs>
          <w:tab w:val="left" w:pos="718"/>
        </w:tabs>
        <w:adjustRightInd w:val="0"/>
        <w:snapToGrid w:val="0"/>
        <w:spacing w:line="360" w:lineRule="auto"/>
        <w:ind w:left="369" w:firstLine="210" w:firstLineChars="100"/>
        <w:rPr>
          <w:color w:val="auto"/>
          <w:sz w:val="21"/>
          <w:szCs w:val="21"/>
          <w:highlight w:val="none"/>
        </w:rPr>
      </w:pPr>
      <w:r>
        <w:rPr>
          <w:rFonts w:hint="eastAsia"/>
          <w:color w:val="auto"/>
          <w:sz w:val="21"/>
          <w:szCs w:val="21"/>
          <w:highlight w:val="none"/>
        </w:rPr>
        <w:t>取消报名环节。</w:t>
      </w:r>
    </w:p>
    <w:p>
      <w:pPr>
        <w:numPr>
          <w:ilvl w:val="0"/>
          <w:numId w:val="1"/>
        </w:numPr>
        <w:tabs>
          <w:tab w:val="left" w:pos="718"/>
        </w:tabs>
        <w:adjustRightInd w:val="0"/>
        <w:snapToGrid w:val="0"/>
        <w:spacing w:line="360" w:lineRule="auto"/>
        <w:outlineLvl w:val="2"/>
        <w:rPr>
          <w:rFonts w:ascii="黑体" w:eastAsia="黑体"/>
          <w:b/>
          <w:color w:val="auto"/>
          <w:sz w:val="28"/>
          <w:highlight w:val="none"/>
        </w:rPr>
      </w:pPr>
      <w:bookmarkStart w:id="105" w:name="_Toc6771"/>
      <w:r>
        <w:rPr>
          <w:rFonts w:hint="eastAsia" w:ascii="黑体" w:eastAsia="黑体"/>
          <w:b/>
          <w:color w:val="auto"/>
          <w:sz w:val="28"/>
          <w:highlight w:val="none"/>
        </w:rPr>
        <w:t>投标保证金</w:t>
      </w:r>
      <w:bookmarkEnd w:id="105"/>
      <w:r>
        <w:rPr>
          <w:rFonts w:hint="eastAsia" w:ascii="黑体" w:eastAsia="黑体"/>
          <w:b/>
          <w:color w:val="auto"/>
          <w:sz w:val="28"/>
          <w:highlight w:val="none"/>
        </w:rPr>
        <w:t xml:space="preserve"> </w:t>
      </w:r>
    </w:p>
    <w:p>
      <w:pPr>
        <w:widowControl/>
        <w:spacing w:line="360" w:lineRule="auto"/>
        <w:ind w:firstLine="480"/>
        <w:rPr>
          <w:color w:val="auto"/>
          <w:sz w:val="21"/>
          <w:szCs w:val="21"/>
          <w:highlight w:val="none"/>
        </w:rPr>
      </w:pPr>
      <w:r>
        <w:rPr>
          <w:rFonts w:hint="eastAsia"/>
          <w:color w:val="auto"/>
          <w:sz w:val="21"/>
          <w:szCs w:val="21"/>
          <w:highlight w:val="none"/>
        </w:rPr>
        <w:t>6.1投标保证金或投标担保金额与缴纳</w:t>
      </w:r>
    </w:p>
    <w:p>
      <w:pPr>
        <w:widowControl/>
        <w:spacing w:line="360" w:lineRule="auto"/>
        <w:ind w:firstLine="480"/>
        <w:rPr>
          <w:color w:val="auto"/>
          <w:sz w:val="21"/>
          <w:szCs w:val="21"/>
          <w:highlight w:val="none"/>
        </w:rPr>
      </w:pPr>
      <w:r>
        <w:rPr>
          <w:rFonts w:hint="eastAsia"/>
          <w:color w:val="auto"/>
          <w:sz w:val="21"/>
          <w:szCs w:val="21"/>
          <w:highlight w:val="none"/>
        </w:rPr>
        <w:t>需提交投标保证金金额</w:t>
      </w:r>
      <w:r>
        <w:rPr>
          <w:rFonts w:hint="eastAsia"/>
          <w:color w:val="auto"/>
          <w:sz w:val="21"/>
          <w:szCs w:val="21"/>
          <w:highlight w:val="none"/>
          <w:lang w:eastAsia="zh-CN"/>
        </w:rPr>
        <w:t>40万元</w:t>
      </w:r>
      <w:r>
        <w:rPr>
          <w:rFonts w:hint="eastAsia"/>
          <w:color w:val="auto"/>
          <w:sz w:val="21"/>
          <w:szCs w:val="21"/>
          <w:highlight w:val="none"/>
        </w:rPr>
        <w:t>（不得超过招标项目估算价的2%）；按照招标文件要求的缴纳方式进行缴纳。</w:t>
      </w:r>
    </w:p>
    <w:p>
      <w:pPr>
        <w:widowControl/>
        <w:spacing w:line="360" w:lineRule="auto"/>
        <w:ind w:firstLine="480"/>
        <w:rPr>
          <w:color w:val="auto"/>
          <w:sz w:val="21"/>
          <w:szCs w:val="21"/>
          <w:highlight w:val="none"/>
        </w:rPr>
      </w:pPr>
      <w:r>
        <w:rPr>
          <w:rFonts w:hint="eastAsia"/>
          <w:color w:val="auto"/>
          <w:sz w:val="21"/>
          <w:szCs w:val="21"/>
          <w:highlight w:val="none"/>
        </w:rPr>
        <w:t>采用保函和担保函</w:t>
      </w:r>
      <w:r>
        <w:rPr>
          <w:rFonts w:hint="eastAsia"/>
          <w:color w:val="auto"/>
          <w:sz w:val="21"/>
          <w:szCs w:val="21"/>
          <w:highlight w:val="none"/>
          <w:lang w:val="en-US"/>
        </w:rPr>
        <w:t>等其他</w:t>
      </w:r>
      <w:r>
        <w:rPr>
          <w:rFonts w:hint="eastAsia"/>
          <w:color w:val="auto"/>
          <w:sz w:val="21"/>
          <w:szCs w:val="21"/>
          <w:highlight w:val="none"/>
        </w:rPr>
        <w:t>形式的，将保函与担保函</w:t>
      </w:r>
      <w:r>
        <w:rPr>
          <w:rFonts w:hint="eastAsia"/>
          <w:color w:val="auto"/>
          <w:sz w:val="21"/>
          <w:szCs w:val="21"/>
          <w:highlight w:val="none"/>
          <w:lang w:val="en-US"/>
        </w:rPr>
        <w:t>等缴纳</w:t>
      </w:r>
      <w:r>
        <w:rPr>
          <w:rFonts w:hint="eastAsia"/>
          <w:color w:val="auto"/>
          <w:sz w:val="21"/>
          <w:szCs w:val="21"/>
          <w:highlight w:val="none"/>
        </w:rPr>
        <w:t>原件与投标文件一起邮寄到指定地点。</w:t>
      </w:r>
    </w:p>
    <w:p>
      <w:pPr>
        <w:widowControl/>
        <w:spacing w:line="360" w:lineRule="auto"/>
        <w:ind w:firstLine="480"/>
        <w:rPr>
          <w:color w:val="auto"/>
          <w:sz w:val="21"/>
          <w:szCs w:val="21"/>
          <w:highlight w:val="none"/>
        </w:rPr>
      </w:pPr>
      <w:r>
        <w:rPr>
          <w:rFonts w:hint="eastAsia"/>
          <w:color w:val="auto"/>
          <w:sz w:val="21"/>
          <w:szCs w:val="21"/>
          <w:highlight w:val="none"/>
          <w:lang w:val="en-US"/>
        </w:rPr>
        <w:t>递交</w:t>
      </w:r>
      <w:r>
        <w:rPr>
          <w:rFonts w:hint="eastAsia"/>
          <w:color w:val="auto"/>
          <w:sz w:val="21"/>
          <w:szCs w:val="21"/>
          <w:highlight w:val="none"/>
        </w:rPr>
        <w:t>投标保证金或投标担保</w:t>
      </w:r>
      <w:r>
        <w:rPr>
          <w:rFonts w:hint="eastAsia"/>
          <w:color w:val="auto"/>
          <w:sz w:val="21"/>
          <w:szCs w:val="21"/>
          <w:highlight w:val="none"/>
          <w:lang w:val="en-US"/>
        </w:rPr>
        <w:t>等</w:t>
      </w:r>
      <w:r>
        <w:rPr>
          <w:rFonts w:hint="eastAsia"/>
          <w:color w:val="auto"/>
          <w:sz w:val="21"/>
          <w:szCs w:val="21"/>
          <w:highlight w:val="none"/>
        </w:rPr>
        <w:t>均须在</w:t>
      </w:r>
      <w:r>
        <w:rPr>
          <w:rFonts w:hint="eastAsia"/>
          <w:color w:val="auto"/>
          <w:sz w:val="21"/>
          <w:szCs w:val="21"/>
          <w:highlight w:val="none"/>
          <w:lang w:val="en-US"/>
        </w:rPr>
        <w:t>递交投标文件截止时间前</w:t>
      </w:r>
      <w:r>
        <w:rPr>
          <w:rFonts w:hint="eastAsia"/>
          <w:color w:val="auto"/>
          <w:sz w:val="21"/>
          <w:szCs w:val="21"/>
          <w:highlight w:val="none"/>
        </w:rPr>
        <w:t>完成，有关缴纳凭证</w:t>
      </w:r>
      <w:r>
        <w:rPr>
          <w:rFonts w:hint="eastAsia"/>
          <w:color w:val="auto"/>
          <w:sz w:val="21"/>
          <w:szCs w:val="21"/>
          <w:highlight w:val="none"/>
          <w:lang w:val="en-US"/>
        </w:rPr>
        <w:t>复印件附在投标文件中</w:t>
      </w:r>
      <w:r>
        <w:rPr>
          <w:rFonts w:hint="eastAsia"/>
          <w:color w:val="auto"/>
          <w:sz w:val="21"/>
          <w:szCs w:val="21"/>
          <w:highlight w:val="none"/>
        </w:rPr>
        <w:t>。投标文件中未附有缴纳投标保证金或投标担保</w:t>
      </w:r>
      <w:r>
        <w:rPr>
          <w:rFonts w:hint="eastAsia"/>
          <w:color w:val="auto"/>
          <w:sz w:val="21"/>
          <w:szCs w:val="21"/>
          <w:highlight w:val="none"/>
          <w:lang w:val="en-US"/>
        </w:rPr>
        <w:t>等</w:t>
      </w:r>
      <w:r>
        <w:rPr>
          <w:rFonts w:hint="eastAsia"/>
          <w:color w:val="auto"/>
          <w:sz w:val="21"/>
          <w:szCs w:val="21"/>
          <w:highlight w:val="none"/>
        </w:rPr>
        <w:t>有关凭证的，其投标文件</w:t>
      </w:r>
      <w:r>
        <w:rPr>
          <w:rFonts w:hint="eastAsia"/>
          <w:color w:val="auto"/>
          <w:sz w:val="21"/>
          <w:szCs w:val="21"/>
          <w:highlight w:val="none"/>
          <w:lang w:val="en-US"/>
        </w:rPr>
        <w:t>将按无效投标处理。</w:t>
      </w:r>
    </w:p>
    <w:p>
      <w:pPr>
        <w:tabs>
          <w:tab w:val="left" w:pos="718"/>
        </w:tabs>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6.2投标保证金必须从投标人的基本账户汇出。</w:t>
      </w:r>
    </w:p>
    <w:p>
      <w:pPr>
        <w:numPr>
          <w:ilvl w:val="0"/>
          <w:numId w:val="1"/>
        </w:numPr>
        <w:tabs>
          <w:tab w:val="left" w:pos="718"/>
        </w:tabs>
        <w:adjustRightInd w:val="0"/>
        <w:snapToGrid w:val="0"/>
        <w:spacing w:line="360" w:lineRule="auto"/>
        <w:outlineLvl w:val="2"/>
        <w:rPr>
          <w:rFonts w:ascii="黑体" w:eastAsia="黑体"/>
          <w:b/>
          <w:color w:val="auto"/>
          <w:sz w:val="28"/>
          <w:highlight w:val="none"/>
        </w:rPr>
      </w:pPr>
      <w:bookmarkStart w:id="106" w:name="_Toc9745"/>
      <w:r>
        <w:rPr>
          <w:rFonts w:hint="eastAsia" w:ascii="黑体" w:eastAsia="黑体"/>
          <w:b/>
          <w:color w:val="auto"/>
          <w:sz w:val="28"/>
          <w:highlight w:val="none"/>
        </w:rPr>
        <w:t>投标文件的递交及相关事宜</w:t>
      </w:r>
      <w:bookmarkEnd w:id="106"/>
    </w:p>
    <w:p>
      <w:pPr>
        <w:widowControl/>
        <w:adjustRightInd w:val="0"/>
        <w:snapToGrid w:val="0"/>
        <w:spacing w:line="360" w:lineRule="auto"/>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7.1 投标文件递交的截止时间为 2021年</w:t>
      </w:r>
      <w:r>
        <w:rPr>
          <w:rFonts w:hint="eastAsia" w:ascii="宋体" w:hAnsi="宋体" w:cs="宋体"/>
          <w:color w:val="auto"/>
          <w:kern w:val="0"/>
          <w:szCs w:val="21"/>
          <w:highlight w:val="none"/>
          <w:lang w:val="en-US"/>
        </w:rPr>
        <w:t>5</w:t>
      </w:r>
      <w:r>
        <w:rPr>
          <w:rFonts w:hint="eastAsia" w:ascii="宋体" w:hAnsi="宋体" w:cs="宋体"/>
          <w:color w:val="auto"/>
          <w:kern w:val="0"/>
          <w:szCs w:val="21"/>
          <w:highlight w:val="none"/>
        </w:rPr>
        <w:t>月</w:t>
      </w:r>
      <w:r>
        <w:rPr>
          <w:rFonts w:hint="eastAsia" w:cs="宋体"/>
          <w:color w:val="auto"/>
          <w:kern w:val="0"/>
          <w:szCs w:val="21"/>
          <w:highlight w:val="none"/>
          <w:lang w:val="en-US" w:eastAsia="zh-CN"/>
        </w:rPr>
        <w:t>31</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rPr>
        <w:t>9</w:t>
      </w:r>
      <w:r>
        <w:rPr>
          <w:rFonts w:hint="eastAsia" w:ascii="宋体" w:hAnsi="宋体" w:cs="宋体"/>
          <w:color w:val="auto"/>
          <w:kern w:val="0"/>
          <w:szCs w:val="21"/>
          <w:highlight w:val="none"/>
        </w:rPr>
        <w:t xml:space="preserve"> 时</w:t>
      </w:r>
      <w:r>
        <w:rPr>
          <w:rFonts w:hint="eastAsia" w:ascii="宋体" w:hAnsi="宋体" w:cs="宋体"/>
          <w:color w:val="auto"/>
          <w:kern w:val="0"/>
          <w:szCs w:val="21"/>
          <w:highlight w:val="none"/>
          <w:lang w:val="en-US"/>
        </w:rPr>
        <w:t>30</w:t>
      </w:r>
      <w:r>
        <w:rPr>
          <w:rFonts w:hint="eastAsia" w:ascii="宋体" w:hAnsi="宋体" w:cs="宋体"/>
          <w:color w:val="auto"/>
          <w:kern w:val="0"/>
          <w:szCs w:val="21"/>
          <w:highlight w:val="none"/>
        </w:rPr>
        <w:t>分，将投标文件邮寄到辽宁省鞍山市铁西区人民路269-271号 鞍山市公共资源交易中心，接收人：孟小龙，联系电话： 13604227393。 （投标人在邮寄投标文件时应在邮寄文件最外层包裹上写明本项目名称“</w:t>
      </w:r>
      <w:r>
        <w:rPr>
          <w:rFonts w:hint="eastAsia" w:cs="宋体"/>
          <w:color w:val="auto"/>
          <w:kern w:val="0"/>
          <w:szCs w:val="21"/>
          <w:highlight w:val="none"/>
          <w:lang w:eastAsia="zh-CN"/>
        </w:rPr>
        <w:t>鞍山市库盘线张荒地辽河大桥维修加固工程</w:t>
      </w:r>
      <w:r>
        <w:rPr>
          <w:rFonts w:hint="eastAsia" w:ascii="宋体" w:hAnsi="宋体" w:cs="宋体"/>
          <w:color w:val="auto"/>
          <w:kern w:val="0"/>
          <w:szCs w:val="21"/>
          <w:highlight w:val="none"/>
        </w:rPr>
        <w:t>”及投标人联系电话，投标文件递交时间以交易中心工作人员收到投标文件时间为准）。投标文件由任意快递公司送至指定的投标文件存放地点，并由中介代理机构人员和公共资源交易中心工作人员，存放投标文件房间24小时监控。</w:t>
      </w:r>
    </w:p>
    <w:p>
      <w:pPr>
        <w:widowControl/>
        <w:adjustRightInd w:val="0"/>
        <w:snapToGrid w:val="0"/>
        <w:spacing w:line="360" w:lineRule="auto"/>
        <w:ind w:firstLine="482"/>
        <w:rPr>
          <w:color w:val="auto"/>
          <w:sz w:val="21"/>
          <w:szCs w:val="21"/>
          <w:highlight w:val="none"/>
        </w:rPr>
      </w:pPr>
      <w:r>
        <w:rPr>
          <w:rFonts w:hint="eastAsia"/>
          <w:color w:val="auto"/>
          <w:sz w:val="21"/>
          <w:szCs w:val="21"/>
          <w:highlight w:val="none"/>
        </w:rPr>
        <w:t>7.</w:t>
      </w:r>
      <w:r>
        <w:rPr>
          <w:rFonts w:hint="eastAsia"/>
          <w:color w:val="auto"/>
          <w:sz w:val="21"/>
          <w:szCs w:val="21"/>
          <w:highlight w:val="none"/>
          <w:lang w:val="en-US" w:eastAsia="zh-CN"/>
        </w:rPr>
        <w:t>2</w:t>
      </w:r>
      <w:r>
        <w:rPr>
          <w:rFonts w:hint="eastAsia"/>
          <w:color w:val="auto"/>
          <w:sz w:val="21"/>
          <w:szCs w:val="21"/>
          <w:highlight w:val="none"/>
        </w:rPr>
        <w:t>逾期送达的者或未送达到指定地点，招标人不予受理。</w:t>
      </w:r>
    </w:p>
    <w:p>
      <w:pPr>
        <w:spacing w:line="360" w:lineRule="auto"/>
        <w:ind w:firstLine="472" w:firstLineChars="225"/>
        <w:rPr>
          <w:color w:val="auto"/>
          <w:sz w:val="21"/>
          <w:szCs w:val="21"/>
          <w:highlight w:val="none"/>
        </w:rPr>
      </w:pPr>
      <w:r>
        <w:rPr>
          <w:rFonts w:hint="eastAsia"/>
          <w:color w:val="auto"/>
          <w:sz w:val="21"/>
          <w:szCs w:val="21"/>
          <w:highlight w:val="none"/>
        </w:rPr>
        <w:t>7.</w:t>
      </w:r>
      <w:r>
        <w:rPr>
          <w:rFonts w:hint="eastAsia"/>
          <w:color w:val="auto"/>
          <w:sz w:val="21"/>
          <w:szCs w:val="21"/>
          <w:highlight w:val="none"/>
          <w:lang w:val="en-US" w:eastAsia="zh-CN"/>
        </w:rPr>
        <w:t>3</w:t>
      </w:r>
      <w:r>
        <w:rPr>
          <w:rFonts w:hint="eastAsia"/>
          <w:color w:val="auto"/>
          <w:sz w:val="21"/>
          <w:szCs w:val="21"/>
          <w:highlight w:val="none"/>
        </w:rPr>
        <w:t>投标截止时间与开标时间、地点为拟定，请关注本次招标文件及答疑中的相关信息。</w:t>
      </w:r>
    </w:p>
    <w:p>
      <w:pPr>
        <w:widowControl/>
        <w:spacing w:line="360" w:lineRule="auto"/>
        <w:ind w:firstLine="562" w:firstLineChars="200"/>
        <w:outlineLvl w:val="2"/>
        <w:rPr>
          <w:rFonts w:ascii="黑体" w:eastAsia="黑体"/>
          <w:b/>
          <w:color w:val="auto"/>
          <w:sz w:val="28"/>
          <w:highlight w:val="none"/>
        </w:rPr>
      </w:pPr>
      <w:bookmarkStart w:id="107" w:name="_Toc286305084"/>
      <w:bookmarkStart w:id="108" w:name="_Toc16401"/>
      <w:r>
        <w:rPr>
          <w:rFonts w:hint="eastAsia" w:ascii="黑体" w:eastAsia="黑体"/>
          <w:b/>
          <w:color w:val="auto"/>
          <w:sz w:val="28"/>
          <w:highlight w:val="none"/>
        </w:rPr>
        <w:t xml:space="preserve">8. </w:t>
      </w:r>
      <w:bookmarkEnd w:id="107"/>
      <w:r>
        <w:rPr>
          <w:rFonts w:hint="eastAsia" w:ascii="黑体" w:eastAsia="黑体"/>
          <w:b/>
          <w:color w:val="auto"/>
          <w:sz w:val="28"/>
          <w:highlight w:val="none"/>
        </w:rPr>
        <w:t>发布招标公告的媒介</w:t>
      </w:r>
      <w:bookmarkEnd w:id="108"/>
    </w:p>
    <w:p>
      <w:pPr>
        <w:widowControl/>
        <w:adjustRightInd w:val="0"/>
        <w:snapToGrid w:val="0"/>
        <w:spacing w:line="360" w:lineRule="auto"/>
        <w:ind w:firstLine="482"/>
        <w:rPr>
          <w:rFonts w:hint="eastAsia"/>
          <w:color w:val="auto"/>
          <w:sz w:val="21"/>
          <w:szCs w:val="21"/>
          <w:highlight w:val="none"/>
        </w:rPr>
      </w:pPr>
      <w:r>
        <w:rPr>
          <w:rFonts w:hint="eastAsia"/>
          <w:color w:val="auto"/>
          <w:sz w:val="21"/>
          <w:szCs w:val="21"/>
          <w:highlight w:val="none"/>
        </w:rPr>
        <w:t>本招标公告同时在中国招标投标公共服务平台</w:t>
      </w:r>
      <w:r>
        <w:rPr>
          <w:rFonts w:hint="eastAsia"/>
          <w:color w:val="auto"/>
          <w:sz w:val="21"/>
          <w:szCs w:val="21"/>
          <w:highlight w:val="none"/>
          <w:lang w:eastAsia="zh-CN"/>
        </w:rPr>
        <w:t>（</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"http://www.cebpubservice.com/" </w:instrText>
      </w:r>
      <w:r>
        <w:rPr>
          <w:rFonts w:ascii="宋体" w:hAnsi="宋体" w:eastAsia="宋体" w:cs="宋体"/>
          <w:color w:val="auto"/>
          <w:sz w:val="24"/>
          <w:szCs w:val="24"/>
          <w:highlight w:val="none"/>
        </w:rPr>
        <w:fldChar w:fldCharType="separate"/>
      </w:r>
      <w:r>
        <w:rPr>
          <w:rStyle w:val="53"/>
          <w:rFonts w:ascii="宋体" w:hAnsi="宋体" w:eastAsia="宋体" w:cs="宋体"/>
          <w:color w:val="auto"/>
          <w:sz w:val="24"/>
          <w:szCs w:val="24"/>
          <w:highlight w:val="none"/>
        </w:rPr>
        <w:t>http://www.cebpubservice.com/</w:t>
      </w:r>
      <w:r>
        <w:rPr>
          <w:rFonts w:ascii="宋体" w:hAnsi="宋体" w:eastAsia="宋体" w:cs="宋体"/>
          <w:color w:val="auto"/>
          <w:sz w:val="24"/>
          <w:szCs w:val="24"/>
          <w:highlight w:val="none"/>
        </w:rPr>
        <w:fldChar w:fldCharType="end"/>
      </w:r>
      <w:r>
        <w:rPr>
          <w:rFonts w:hint="eastAsia"/>
          <w:color w:val="auto"/>
          <w:sz w:val="21"/>
          <w:szCs w:val="21"/>
          <w:highlight w:val="none"/>
          <w:lang w:eastAsia="zh-CN"/>
        </w:rPr>
        <w:t>）</w:t>
      </w:r>
      <w:r>
        <w:rPr>
          <w:rFonts w:hint="eastAsia"/>
          <w:color w:val="auto"/>
          <w:sz w:val="21"/>
          <w:szCs w:val="21"/>
          <w:highlight w:val="none"/>
        </w:rPr>
        <w:t>、辽宁省招标投标监管网</w:t>
      </w:r>
      <w:r>
        <w:rPr>
          <w:rFonts w:hint="eastAsia"/>
          <w:color w:val="auto"/>
          <w:sz w:val="21"/>
          <w:szCs w:val="21"/>
          <w:highlight w:val="none"/>
          <w:lang w:eastAsia="zh-CN"/>
        </w:rPr>
        <w:t>（</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"http://www.lntb.gov.cn/" \l "/home" </w:instrText>
      </w:r>
      <w:r>
        <w:rPr>
          <w:rFonts w:ascii="宋体" w:hAnsi="宋体" w:eastAsia="宋体" w:cs="宋体"/>
          <w:color w:val="auto"/>
          <w:sz w:val="24"/>
          <w:szCs w:val="24"/>
          <w:highlight w:val="none"/>
        </w:rPr>
        <w:fldChar w:fldCharType="separate"/>
      </w:r>
      <w:r>
        <w:rPr>
          <w:rStyle w:val="53"/>
          <w:rFonts w:ascii="宋体" w:hAnsi="宋体" w:eastAsia="宋体" w:cs="宋体"/>
          <w:color w:val="auto"/>
          <w:sz w:val="24"/>
          <w:szCs w:val="24"/>
          <w:highlight w:val="none"/>
        </w:rPr>
        <w:t>http://www.lntb.gov.cn/</w:t>
      </w:r>
      <w:r>
        <w:rPr>
          <w:rFonts w:ascii="宋体" w:hAnsi="宋体" w:eastAsia="宋体" w:cs="宋体"/>
          <w:color w:val="auto"/>
          <w:sz w:val="24"/>
          <w:szCs w:val="24"/>
          <w:highlight w:val="none"/>
        </w:rPr>
        <w:fldChar w:fldCharType="end"/>
      </w:r>
      <w:r>
        <w:rPr>
          <w:rFonts w:hint="eastAsia" w:cs="宋体"/>
          <w:color w:val="auto"/>
          <w:sz w:val="24"/>
          <w:szCs w:val="24"/>
          <w:highlight w:val="none"/>
          <w:lang w:eastAsia="zh-CN"/>
        </w:rPr>
        <w:t>）</w:t>
      </w:r>
      <w:r>
        <w:rPr>
          <w:rFonts w:hint="eastAsia"/>
          <w:color w:val="auto"/>
          <w:sz w:val="21"/>
          <w:szCs w:val="21"/>
          <w:highlight w:val="none"/>
        </w:rPr>
        <w:t>、鞍山市公共资源服务平台</w:t>
      </w:r>
      <w:r>
        <w:rPr>
          <w:rFonts w:hint="eastAsia" w:ascii="宋体" w:hAnsi="宋体" w:cs="宋体"/>
          <w:color w:val="auto"/>
          <w:szCs w:val="21"/>
          <w:highlight w:val="none"/>
        </w:rPr>
        <w:t>（</w:t>
      </w:r>
      <w:r>
        <w:rPr>
          <w:rFonts w:ascii="宋体" w:hAnsi="宋体" w:cs="宋体"/>
          <w:color w:val="auto"/>
          <w:szCs w:val="21"/>
          <w:highlight w:val="none"/>
        </w:rPr>
        <w:t>http://www.asggzyjy.cn/</w:t>
      </w:r>
      <w:r>
        <w:rPr>
          <w:rFonts w:hint="eastAsia" w:ascii="宋体" w:hAnsi="宋体" w:cs="宋体"/>
          <w:color w:val="auto"/>
          <w:szCs w:val="21"/>
          <w:highlight w:val="none"/>
        </w:rPr>
        <w:t>）</w:t>
      </w:r>
      <w:r>
        <w:rPr>
          <w:rFonts w:hint="eastAsia" w:cs="宋体"/>
          <w:color w:val="auto"/>
          <w:szCs w:val="21"/>
          <w:highlight w:val="none"/>
          <w:lang w:val="en-US" w:eastAsia="zh-CN"/>
        </w:rPr>
        <w:t>及</w:t>
      </w:r>
      <w:r>
        <w:rPr>
          <w:rFonts w:hint="eastAsia"/>
          <w:color w:val="auto"/>
          <w:sz w:val="21"/>
          <w:szCs w:val="21"/>
          <w:highlight w:val="none"/>
        </w:rPr>
        <w:t>鞍山市政府网上发布。</w:t>
      </w:r>
    </w:p>
    <w:p>
      <w:pPr>
        <w:widowControl/>
        <w:adjustRightInd w:val="0"/>
        <w:snapToGrid w:val="0"/>
        <w:spacing w:line="360" w:lineRule="auto"/>
        <w:ind w:firstLine="482"/>
        <w:rPr>
          <w:rFonts w:hint="eastAsia"/>
          <w:color w:val="auto"/>
          <w:sz w:val="21"/>
          <w:szCs w:val="21"/>
          <w:highlight w:val="none"/>
        </w:rPr>
      </w:pPr>
      <w:r>
        <w:rPr>
          <w:rFonts w:hint="eastAsia" w:ascii="宋体" w:hAnsi="宋体" w:cs="宋体"/>
          <w:color w:val="auto"/>
          <w:szCs w:val="21"/>
          <w:highlight w:val="none"/>
        </w:rPr>
        <w:t>本次招标采用双信封形式的技术评分最低标价法，评标办法详见本招标公告附件。本招标公告附件在</w:t>
      </w:r>
      <w:r>
        <w:rPr>
          <w:rFonts w:hint="eastAsia"/>
          <w:color w:val="auto"/>
          <w:sz w:val="21"/>
          <w:szCs w:val="21"/>
          <w:highlight w:val="none"/>
        </w:rPr>
        <w:t>中国招标投标公共服务平台</w:t>
      </w:r>
      <w:r>
        <w:rPr>
          <w:rFonts w:hint="eastAsia"/>
          <w:color w:val="auto"/>
          <w:sz w:val="21"/>
          <w:szCs w:val="21"/>
          <w:highlight w:val="none"/>
          <w:lang w:eastAsia="zh-CN"/>
        </w:rPr>
        <w:t>（</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"http://www.cebpubservice.com/" </w:instrText>
      </w:r>
      <w:r>
        <w:rPr>
          <w:rFonts w:ascii="宋体" w:hAnsi="宋体" w:eastAsia="宋体" w:cs="宋体"/>
          <w:color w:val="auto"/>
          <w:sz w:val="24"/>
          <w:szCs w:val="24"/>
          <w:highlight w:val="none"/>
        </w:rPr>
        <w:fldChar w:fldCharType="separate"/>
      </w:r>
      <w:r>
        <w:rPr>
          <w:rStyle w:val="53"/>
          <w:rFonts w:ascii="宋体" w:hAnsi="宋体" w:eastAsia="宋体" w:cs="宋体"/>
          <w:color w:val="auto"/>
          <w:sz w:val="24"/>
          <w:szCs w:val="24"/>
          <w:highlight w:val="none"/>
        </w:rPr>
        <w:t>http://www.cebpubservice.com/</w:t>
      </w:r>
      <w:r>
        <w:rPr>
          <w:rFonts w:ascii="宋体" w:hAnsi="宋体" w:eastAsia="宋体" w:cs="宋体"/>
          <w:color w:val="auto"/>
          <w:sz w:val="24"/>
          <w:szCs w:val="24"/>
          <w:highlight w:val="none"/>
        </w:rPr>
        <w:fldChar w:fldCharType="end"/>
      </w:r>
      <w:r>
        <w:rPr>
          <w:rFonts w:hint="eastAsia"/>
          <w:color w:val="auto"/>
          <w:sz w:val="21"/>
          <w:szCs w:val="21"/>
          <w:highlight w:val="none"/>
          <w:lang w:eastAsia="zh-CN"/>
        </w:rPr>
        <w:t>）</w:t>
      </w:r>
      <w:r>
        <w:rPr>
          <w:rFonts w:hint="eastAsia" w:ascii="宋体" w:hAnsi="宋体" w:cs="宋体"/>
          <w:color w:val="auto"/>
          <w:szCs w:val="21"/>
          <w:highlight w:val="none"/>
        </w:rPr>
        <w:t>上发布。</w:t>
      </w:r>
    </w:p>
    <w:p>
      <w:pPr>
        <w:widowControl/>
        <w:adjustRightInd w:val="0"/>
        <w:snapToGrid w:val="0"/>
        <w:spacing w:line="360" w:lineRule="auto"/>
        <w:ind w:firstLine="482"/>
        <w:rPr>
          <w:color w:val="auto"/>
          <w:sz w:val="21"/>
          <w:szCs w:val="21"/>
          <w:highlight w:val="none"/>
        </w:rPr>
      </w:pPr>
      <w:r>
        <w:rPr>
          <w:rFonts w:hint="eastAsia"/>
          <w:color w:val="auto"/>
          <w:sz w:val="21"/>
          <w:szCs w:val="21"/>
          <w:highlight w:val="none"/>
        </w:rPr>
        <w:t>注：招标公告发布时间不得少于5日。</w:t>
      </w:r>
      <w:bookmarkStart w:id="109" w:name="_Toc317756611"/>
      <w:bookmarkStart w:id="110" w:name="_Toc283048854"/>
    </w:p>
    <w:p>
      <w:pPr>
        <w:widowControl/>
        <w:spacing w:line="360" w:lineRule="auto"/>
        <w:ind w:firstLine="562" w:firstLineChars="200"/>
        <w:outlineLvl w:val="2"/>
        <w:rPr>
          <w:rFonts w:ascii="黑体" w:eastAsia="黑体"/>
          <w:b/>
          <w:color w:val="auto"/>
          <w:sz w:val="28"/>
          <w:highlight w:val="none"/>
        </w:rPr>
      </w:pPr>
      <w:bookmarkStart w:id="111" w:name="_Toc22454"/>
      <w:r>
        <w:rPr>
          <w:rFonts w:hint="eastAsia" w:ascii="黑体" w:eastAsia="黑体"/>
          <w:b/>
          <w:color w:val="auto"/>
          <w:sz w:val="28"/>
          <w:highlight w:val="none"/>
        </w:rPr>
        <w:t>9. 联系方式</w:t>
      </w:r>
      <w:bookmarkEnd w:id="109"/>
      <w:bookmarkEnd w:id="110"/>
      <w:bookmarkEnd w:id="111"/>
    </w:p>
    <w:p>
      <w:pPr>
        <w:topLinePunct/>
        <w:spacing w:line="360" w:lineRule="auto"/>
        <w:ind w:left="6215" w:leftChars="200" w:hanging="5775" w:hangingChars="2750"/>
        <w:rPr>
          <w:bCs/>
          <w:color w:val="auto"/>
          <w:sz w:val="21"/>
          <w:szCs w:val="21"/>
          <w:highlight w:val="none"/>
        </w:rPr>
      </w:pPr>
      <w:r>
        <w:rPr>
          <w:rFonts w:hint="eastAsia"/>
          <w:color w:val="auto"/>
          <w:sz w:val="21"/>
          <w:szCs w:val="21"/>
          <w:highlight w:val="none"/>
        </w:rPr>
        <w:t>招 标 人：</w:t>
      </w:r>
      <w:r>
        <w:rPr>
          <w:rFonts w:hint="eastAsia"/>
          <w:color w:val="auto"/>
          <w:sz w:val="21"/>
          <w:szCs w:val="21"/>
          <w:highlight w:val="none"/>
          <w:u w:val="single"/>
        </w:rPr>
        <w:t>鞍山市交通运输事务服务中心</w:t>
      </w:r>
      <w:r>
        <w:rPr>
          <w:rFonts w:hint="eastAsia"/>
          <w:color w:val="auto"/>
          <w:sz w:val="21"/>
          <w:szCs w:val="21"/>
          <w:highlight w:val="none"/>
        </w:rPr>
        <w:t xml:space="preserve">    </w:t>
      </w:r>
      <w:r>
        <w:rPr>
          <w:rFonts w:hint="eastAsia"/>
          <w:bCs/>
          <w:color w:val="auto"/>
          <w:sz w:val="21"/>
          <w:szCs w:val="21"/>
          <w:highlight w:val="none"/>
        </w:rPr>
        <w:t>招标代理机构：</w:t>
      </w:r>
      <w:r>
        <w:rPr>
          <w:rFonts w:hint="eastAsia"/>
          <w:color w:val="auto"/>
          <w:sz w:val="21"/>
          <w:szCs w:val="21"/>
          <w:highlight w:val="none"/>
          <w:u w:val="single"/>
        </w:rPr>
        <w:t xml:space="preserve"> </w:t>
      </w:r>
      <w:r>
        <w:rPr>
          <w:rFonts w:hint="eastAsia" w:cs="Arial"/>
          <w:color w:val="auto"/>
          <w:sz w:val="21"/>
          <w:szCs w:val="21"/>
          <w:highlight w:val="none"/>
          <w:u w:val="single"/>
        </w:rPr>
        <w:t>辽宁工程招标有限公司</w:t>
      </w:r>
      <w:r>
        <w:rPr>
          <w:color w:val="auto"/>
          <w:sz w:val="21"/>
          <w:szCs w:val="21"/>
          <w:highlight w:val="none"/>
          <w:u w:val="single"/>
        </w:rPr>
        <w:t xml:space="preserve"> </w:t>
      </w:r>
    </w:p>
    <w:p>
      <w:pPr>
        <w:topLinePunct/>
        <w:spacing w:line="360" w:lineRule="auto"/>
        <w:ind w:firstLine="420" w:firstLineChars="200"/>
        <w:rPr>
          <w:bCs/>
          <w:color w:val="auto"/>
          <w:sz w:val="21"/>
          <w:szCs w:val="21"/>
          <w:highlight w:val="none"/>
        </w:rPr>
      </w:pPr>
      <w:r>
        <w:rPr>
          <w:rFonts w:hint="eastAsia"/>
          <w:color w:val="auto"/>
          <w:sz w:val="21"/>
          <w:szCs w:val="21"/>
          <w:highlight w:val="none"/>
        </w:rPr>
        <w:t>地    址</w:t>
      </w:r>
      <w:r>
        <w:rPr>
          <w:rFonts w:hint="eastAsia"/>
          <w:bCs/>
          <w:color w:val="auto"/>
          <w:sz w:val="21"/>
          <w:szCs w:val="21"/>
          <w:highlight w:val="none"/>
        </w:rPr>
        <w:t>：</w:t>
      </w:r>
      <w:r>
        <w:rPr>
          <w:rFonts w:hint="eastAsia"/>
          <w:color w:val="auto"/>
          <w:sz w:val="21"/>
          <w:szCs w:val="21"/>
          <w:highlight w:val="none"/>
          <w:u w:val="single"/>
        </w:rPr>
        <w:t>辽宁省鞍山市铁东区山南街52号</w:t>
      </w:r>
      <w:r>
        <w:rPr>
          <w:color w:val="auto"/>
          <w:sz w:val="21"/>
          <w:szCs w:val="21"/>
          <w:highlight w:val="none"/>
        </w:rPr>
        <w:t xml:space="preserve">  </w:t>
      </w:r>
      <w:r>
        <w:rPr>
          <w:rFonts w:hint="eastAsia"/>
          <w:bCs/>
          <w:color w:val="auto"/>
          <w:sz w:val="21"/>
          <w:szCs w:val="21"/>
          <w:highlight w:val="none"/>
        </w:rPr>
        <w:t>地    址：</w:t>
      </w:r>
      <w:r>
        <w:rPr>
          <w:color w:val="auto"/>
          <w:sz w:val="21"/>
          <w:szCs w:val="21"/>
          <w:highlight w:val="none"/>
          <w:u w:val="single"/>
        </w:rPr>
        <w:t xml:space="preserve"> </w:t>
      </w:r>
      <w:r>
        <w:rPr>
          <w:rFonts w:hint="eastAsia" w:cs="Arial"/>
          <w:color w:val="auto"/>
          <w:sz w:val="21"/>
          <w:szCs w:val="21"/>
          <w:highlight w:val="none"/>
          <w:u w:val="single"/>
        </w:rPr>
        <w:t>沈阳市和平区南九马路47号</w:t>
      </w:r>
      <w:r>
        <w:rPr>
          <w:color w:val="auto"/>
          <w:sz w:val="21"/>
          <w:szCs w:val="21"/>
          <w:highlight w:val="none"/>
          <w:u w:val="single"/>
        </w:rPr>
        <w:t xml:space="preserve">     </w:t>
      </w:r>
    </w:p>
    <w:p>
      <w:pPr>
        <w:topLinePunct/>
        <w:spacing w:line="360" w:lineRule="auto"/>
        <w:ind w:firstLine="420" w:firstLineChars="200"/>
        <w:rPr>
          <w:bCs/>
          <w:color w:val="auto"/>
          <w:sz w:val="21"/>
          <w:szCs w:val="21"/>
          <w:highlight w:val="none"/>
          <w:lang w:val="en-US"/>
        </w:rPr>
      </w:pPr>
      <w:r>
        <w:rPr>
          <w:rFonts w:hint="eastAsia"/>
          <w:bCs/>
          <w:color w:val="auto"/>
          <w:sz w:val="21"/>
          <w:szCs w:val="21"/>
          <w:highlight w:val="none"/>
        </w:rPr>
        <w:t>邮    编：</w:t>
      </w:r>
      <w:r>
        <w:rPr>
          <w:rFonts w:hint="eastAsia"/>
          <w:color w:val="auto"/>
          <w:sz w:val="21"/>
          <w:szCs w:val="21"/>
          <w:highlight w:val="none"/>
          <w:u w:val="single"/>
        </w:rPr>
        <w:t>114001</w:t>
      </w:r>
      <w:r>
        <w:rPr>
          <w:rFonts w:hint="eastAsia"/>
          <w:color w:val="auto"/>
          <w:sz w:val="21"/>
          <w:szCs w:val="21"/>
          <w:highlight w:val="none"/>
        </w:rPr>
        <w:t xml:space="preserve">                        </w:t>
      </w:r>
      <w:r>
        <w:rPr>
          <w:rFonts w:hint="eastAsia"/>
          <w:bCs/>
          <w:color w:val="auto"/>
          <w:sz w:val="21"/>
          <w:szCs w:val="21"/>
          <w:highlight w:val="none"/>
        </w:rPr>
        <w:t>邮    编：</w:t>
      </w:r>
      <w:r>
        <w:rPr>
          <w:rFonts w:hint="eastAsia"/>
          <w:color w:val="auto"/>
          <w:sz w:val="21"/>
          <w:szCs w:val="21"/>
          <w:highlight w:val="none"/>
          <w:u w:val="single"/>
        </w:rPr>
        <w:t xml:space="preserve"> 11</w:t>
      </w:r>
      <w:r>
        <w:rPr>
          <w:rFonts w:hint="eastAsia"/>
          <w:color w:val="auto"/>
          <w:sz w:val="21"/>
          <w:szCs w:val="21"/>
          <w:highlight w:val="none"/>
          <w:u w:val="single"/>
          <w:lang w:val="en-US"/>
        </w:rPr>
        <w:t>0</w:t>
      </w:r>
      <w:r>
        <w:rPr>
          <w:rFonts w:hint="eastAsia"/>
          <w:color w:val="auto"/>
          <w:sz w:val="21"/>
          <w:szCs w:val="21"/>
          <w:highlight w:val="none"/>
          <w:u w:val="single"/>
        </w:rPr>
        <w:t>00</w:t>
      </w:r>
      <w:r>
        <w:rPr>
          <w:rFonts w:hint="eastAsia"/>
          <w:color w:val="auto"/>
          <w:sz w:val="21"/>
          <w:szCs w:val="21"/>
          <w:highlight w:val="none"/>
          <w:u w:val="single"/>
          <w:lang w:val="en-US"/>
        </w:rPr>
        <w:t>5</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pPr>
        <w:topLinePunct/>
        <w:spacing w:line="360" w:lineRule="auto"/>
        <w:ind w:firstLine="420" w:firstLineChars="200"/>
        <w:rPr>
          <w:bCs/>
          <w:color w:val="auto"/>
          <w:sz w:val="21"/>
          <w:szCs w:val="21"/>
          <w:highlight w:val="none"/>
        </w:rPr>
      </w:pPr>
      <w:r>
        <w:rPr>
          <w:rFonts w:hint="eastAsia"/>
          <w:color w:val="auto"/>
          <w:sz w:val="21"/>
          <w:szCs w:val="21"/>
          <w:highlight w:val="none"/>
        </w:rPr>
        <w:t>联 系 人：</w:t>
      </w:r>
      <w:r>
        <w:rPr>
          <w:rFonts w:hint="eastAsia"/>
          <w:color w:val="auto"/>
          <w:sz w:val="21"/>
          <w:szCs w:val="21"/>
          <w:highlight w:val="none"/>
          <w:u w:val="single"/>
        </w:rPr>
        <w:t xml:space="preserve">常军     </w:t>
      </w:r>
      <w:r>
        <w:rPr>
          <w:rFonts w:hint="eastAsia"/>
          <w:color w:val="auto"/>
          <w:sz w:val="21"/>
          <w:szCs w:val="21"/>
          <w:highlight w:val="none"/>
        </w:rPr>
        <w:t xml:space="preserve">                     </w:t>
      </w:r>
      <w:r>
        <w:rPr>
          <w:rFonts w:hint="eastAsia"/>
          <w:bCs/>
          <w:color w:val="auto"/>
          <w:sz w:val="21"/>
          <w:szCs w:val="21"/>
          <w:highlight w:val="none"/>
        </w:rPr>
        <w:t>联 系 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lang w:val="en-US"/>
        </w:rPr>
        <w:t>王天甲、于阳</w:t>
      </w:r>
      <w:r>
        <w:rPr>
          <w:color w:val="auto"/>
          <w:sz w:val="21"/>
          <w:szCs w:val="21"/>
          <w:highlight w:val="none"/>
          <w:u w:val="single"/>
        </w:rPr>
        <w:t xml:space="preserve">     </w:t>
      </w:r>
    </w:p>
    <w:p>
      <w:pPr>
        <w:topLinePunct/>
        <w:spacing w:line="360" w:lineRule="auto"/>
        <w:ind w:firstLine="420" w:firstLineChars="200"/>
        <w:rPr>
          <w:bCs/>
          <w:color w:val="auto"/>
          <w:sz w:val="21"/>
          <w:szCs w:val="21"/>
          <w:highlight w:val="none"/>
          <w:lang w:val="en-US"/>
        </w:rPr>
      </w:pPr>
      <w:r>
        <w:rPr>
          <w:rFonts w:hint="eastAsia"/>
          <w:color w:val="auto"/>
          <w:sz w:val="21"/>
          <w:szCs w:val="21"/>
          <w:highlight w:val="none"/>
        </w:rPr>
        <w:t>电    话：</w:t>
      </w:r>
      <w:r>
        <w:rPr>
          <w:color w:val="auto"/>
          <w:sz w:val="21"/>
          <w:szCs w:val="21"/>
          <w:highlight w:val="none"/>
          <w:u w:val="single"/>
        </w:rPr>
        <w:t xml:space="preserve"> </w:t>
      </w:r>
      <w:r>
        <w:rPr>
          <w:rFonts w:hint="eastAsia"/>
          <w:color w:val="auto"/>
          <w:highlight w:val="none"/>
          <w:u w:val="single"/>
        </w:rPr>
        <w:t>0412-2955028</w:t>
      </w:r>
      <w:r>
        <w:rPr>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rPr>
        <w:t xml:space="preserve">       </w:t>
      </w:r>
      <w:r>
        <w:rPr>
          <w:rFonts w:hint="eastAsia"/>
          <w:bCs/>
          <w:color w:val="auto"/>
          <w:sz w:val="21"/>
          <w:szCs w:val="21"/>
          <w:highlight w:val="none"/>
        </w:rPr>
        <w:t>电    话：</w:t>
      </w:r>
      <w:r>
        <w:rPr>
          <w:color w:val="auto"/>
          <w:sz w:val="21"/>
          <w:szCs w:val="21"/>
          <w:highlight w:val="none"/>
          <w:u w:val="single"/>
        </w:rPr>
        <w:t xml:space="preserve">  </w:t>
      </w:r>
      <w:r>
        <w:rPr>
          <w:rFonts w:hint="eastAsia" w:cs="Arial"/>
          <w:color w:val="auto"/>
          <w:sz w:val="21"/>
          <w:szCs w:val="21"/>
          <w:highlight w:val="none"/>
          <w:u w:val="single"/>
        </w:rPr>
        <w:t>024-23389240</w:t>
      </w:r>
      <w:r>
        <w:rPr>
          <w:color w:val="auto"/>
          <w:sz w:val="21"/>
          <w:szCs w:val="21"/>
          <w:highlight w:val="none"/>
          <w:u w:val="single"/>
        </w:rPr>
        <w:t xml:space="preserve">  </w:t>
      </w:r>
      <w:r>
        <w:rPr>
          <w:rFonts w:hint="eastAsia"/>
          <w:color w:val="auto"/>
          <w:sz w:val="21"/>
          <w:szCs w:val="21"/>
          <w:highlight w:val="none"/>
          <w:u w:val="single"/>
          <w:lang w:val="en-US"/>
        </w:rPr>
        <w:t xml:space="preserve">   </w:t>
      </w:r>
    </w:p>
    <w:p>
      <w:pPr>
        <w:tabs>
          <w:tab w:val="left" w:pos="718"/>
        </w:tabs>
        <w:adjustRightInd w:val="0"/>
        <w:snapToGrid w:val="0"/>
        <w:spacing w:line="360" w:lineRule="auto"/>
        <w:ind w:firstLine="420" w:firstLineChars="200"/>
        <w:rPr>
          <w:color w:val="auto"/>
          <w:sz w:val="21"/>
          <w:szCs w:val="21"/>
          <w:highlight w:val="none"/>
          <w:lang w:val="en-US"/>
        </w:rPr>
      </w:pPr>
      <w:r>
        <w:rPr>
          <w:rFonts w:hint="eastAsia"/>
          <w:bCs/>
          <w:color w:val="auto"/>
          <w:sz w:val="21"/>
          <w:szCs w:val="21"/>
          <w:highlight w:val="none"/>
        </w:rPr>
        <w:t>传    真：</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bCs/>
          <w:color w:val="auto"/>
          <w:sz w:val="21"/>
          <w:szCs w:val="21"/>
          <w:highlight w:val="none"/>
        </w:rPr>
        <w:t>传    真：</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lang w:val="en-US"/>
        </w:rPr>
        <w:t>024-23398678</w:t>
      </w:r>
      <w:r>
        <w:rPr>
          <w:color w:val="auto"/>
          <w:sz w:val="21"/>
          <w:szCs w:val="21"/>
          <w:highlight w:val="none"/>
          <w:u w:val="single"/>
        </w:rPr>
        <w:t xml:space="preserve">   </w:t>
      </w:r>
      <w:r>
        <w:rPr>
          <w:rFonts w:hint="eastAsia"/>
          <w:color w:val="auto"/>
          <w:sz w:val="21"/>
          <w:szCs w:val="21"/>
          <w:highlight w:val="none"/>
          <w:u w:val="single"/>
          <w:lang w:val="en-US"/>
        </w:rPr>
        <w:t xml:space="preserve">  </w:t>
      </w:r>
    </w:p>
    <w:p>
      <w:pPr>
        <w:tabs>
          <w:tab w:val="left" w:pos="718"/>
        </w:tabs>
        <w:adjustRightInd w:val="0"/>
        <w:snapToGrid w:val="0"/>
        <w:spacing w:line="360" w:lineRule="auto"/>
        <w:ind w:firstLine="420" w:firstLineChars="200"/>
        <w:rPr>
          <w:color w:val="auto"/>
          <w:sz w:val="21"/>
          <w:szCs w:val="21"/>
          <w:highlight w:val="none"/>
          <w:u w:val="single"/>
          <w:lang w:val="en-US"/>
        </w:rPr>
      </w:pPr>
      <w:r>
        <w:rPr>
          <w:rFonts w:hint="eastAsia" w:cs="Arial"/>
          <w:color w:val="auto"/>
          <w:sz w:val="21"/>
          <w:szCs w:val="21"/>
          <w:highlight w:val="none"/>
        </w:rPr>
        <w:t>邮</w:t>
      </w:r>
      <w:r>
        <w:rPr>
          <w:rFonts w:hint="eastAsia" w:cs="Arial"/>
          <w:color w:val="auto"/>
          <w:sz w:val="21"/>
          <w:szCs w:val="21"/>
          <w:highlight w:val="none"/>
          <w:lang w:val="en-US"/>
        </w:rPr>
        <w:t xml:space="preserve">   </w:t>
      </w:r>
      <w:r>
        <w:rPr>
          <w:rFonts w:hint="eastAsia" w:cs="Arial"/>
          <w:color w:val="auto"/>
          <w:sz w:val="21"/>
          <w:szCs w:val="21"/>
          <w:highlight w:val="none"/>
        </w:rPr>
        <w:t>箱：</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color w:val="auto"/>
          <w:sz w:val="21"/>
          <w:szCs w:val="21"/>
          <w:highlight w:val="none"/>
          <w:lang w:val="en-US"/>
        </w:rPr>
        <w:t xml:space="preserve">                 </w:t>
      </w:r>
      <w:r>
        <w:rPr>
          <w:rFonts w:hint="eastAsia" w:cs="Arial"/>
          <w:color w:val="auto"/>
          <w:sz w:val="21"/>
          <w:szCs w:val="21"/>
          <w:highlight w:val="none"/>
        </w:rPr>
        <w:t>邮</w:t>
      </w:r>
      <w:r>
        <w:rPr>
          <w:rFonts w:hint="eastAsia" w:cs="Arial"/>
          <w:color w:val="auto"/>
          <w:sz w:val="21"/>
          <w:szCs w:val="21"/>
          <w:highlight w:val="none"/>
          <w:lang w:val="en-US"/>
        </w:rPr>
        <w:t xml:space="preserve">   </w:t>
      </w:r>
      <w:r>
        <w:rPr>
          <w:rFonts w:hint="eastAsia" w:cs="Arial"/>
          <w:color w:val="auto"/>
          <w:sz w:val="21"/>
          <w:szCs w:val="21"/>
          <w:highlight w:val="none"/>
        </w:rPr>
        <w:t>箱：</w:t>
      </w:r>
      <w:r>
        <w:rPr>
          <w:color w:val="auto"/>
          <w:highlight w:val="none"/>
        </w:rPr>
        <w:fldChar w:fldCharType="begin"/>
      </w:r>
      <w:r>
        <w:rPr>
          <w:color w:val="auto"/>
          <w:highlight w:val="none"/>
        </w:rPr>
        <w:instrText xml:space="preserve"> HYPERLINK "mailto:lngczbyxgs@163.com" </w:instrText>
      </w:r>
      <w:r>
        <w:rPr>
          <w:color w:val="auto"/>
          <w:highlight w:val="none"/>
        </w:rPr>
        <w:fldChar w:fldCharType="separate"/>
      </w:r>
      <w:r>
        <w:rPr>
          <w:rStyle w:val="53"/>
          <w:rFonts w:hint="eastAsia"/>
          <w:color w:val="auto"/>
          <w:sz w:val="21"/>
          <w:szCs w:val="21"/>
          <w:highlight w:val="none"/>
        </w:rPr>
        <w:t>lngczbyxgs@163.com</w:t>
      </w:r>
      <w:r>
        <w:rPr>
          <w:rStyle w:val="53"/>
          <w:rFonts w:hint="eastAsia"/>
          <w:color w:val="auto"/>
          <w:sz w:val="21"/>
          <w:szCs w:val="21"/>
          <w:highlight w:val="none"/>
        </w:rPr>
        <w:fldChar w:fldCharType="end"/>
      </w:r>
      <w:r>
        <w:rPr>
          <w:rFonts w:hint="eastAsia"/>
          <w:color w:val="auto"/>
          <w:sz w:val="21"/>
          <w:szCs w:val="21"/>
          <w:highlight w:val="none"/>
          <w:u w:val="single"/>
          <w:lang w:val="en-US"/>
        </w:rPr>
        <w:t xml:space="preserve">  </w:t>
      </w:r>
    </w:p>
    <w:p>
      <w:pPr>
        <w:tabs>
          <w:tab w:val="left" w:pos="718"/>
        </w:tabs>
        <w:adjustRightInd w:val="0"/>
        <w:snapToGrid w:val="0"/>
        <w:spacing w:line="360" w:lineRule="auto"/>
        <w:ind w:firstLine="480" w:firstLineChars="200"/>
        <w:rPr>
          <w:color w:val="auto"/>
          <w:sz w:val="24"/>
          <w:szCs w:val="24"/>
          <w:highlight w:val="none"/>
          <w:lang w:val="en-US"/>
        </w:rPr>
      </w:pPr>
    </w:p>
    <w:p>
      <w:pPr>
        <w:adjustRightInd w:val="0"/>
        <w:snapToGrid w:val="0"/>
        <w:spacing w:line="360" w:lineRule="auto"/>
        <w:rPr>
          <w:color w:val="auto"/>
          <w:highlight w:val="none"/>
        </w:rPr>
      </w:pPr>
    </w:p>
    <w:p>
      <w:pPr>
        <w:pStyle w:val="20"/>
        <w:tabs>
          <w:tab w:val="left" w:pos="4504"/>
          <w:tab w:val="left" w:pos="5170"/>
          <w:tab w:val="left" w:pos="8825"/>
        </w:tabs>
        <w:adjustRightInd w:val="0"/>
        <w:snapToGrid w:val="0"/>
        <w:spacing w:line="360" w:lineRule="auto"/>
        <w:ind w:left="849" w:right="658"/>
        <w:jc w:val="both"/>
        <w:rPr>
          <w:rFonts w:ascii="Times New Roman" w:eastAsia="Times New Roman"/>
          <w:color w:val="auto"/>
          <w:highlight w:val="none"/>
        </w:rPr>
      </w:pPr>
      <w:r>
        <w:rPr>
          <w:rFonts w:hint="eastAsia"/>
          <w:b/>
          <w:color w:val="auto"/>
          <w:highlight w:val="none"/>
        </w:rPr>
        <w:t>招标文件与招标公告不一致之处，以招标文件为准。</w:t>
      </w:r>
    </w:p>
    <w:p>
      <w:pPr>
        <w:pStyle w:val="20"/>
        <w:spacing w:before="6"/>
        <w:rPr>
          <w:rFonts w:ascii="Times New Roman"/>
          <w:color w:val="auto"/>
          <w:sz w:val="21"/>
          <w:highlight w:val="none"/>
        </w:rPr>
      </w:pPr>
    </w:p>
    <w:p>
      <w:pPr>
        <w:pStyle w:val="20"/>
        <w:spacing w:before="6"/>
        <w:rPr>
          <w:rFonts w:ascii="Times New Roman"/>
          <w:color w:val="auto"/>
          <w:sz w:val="21"/>
          <w:highlight w:val="none"/>
        </w:rPr>
      </w:pPr>
    </w:p>
    <w:p>
      <w:pPr>
        <w:pStyle w:val="20"/>
        <w:spacing w:before="6"/>
        <w:rPr>
          <w:rFonts w:ascii="Times New Roman"/>
          <w:color w:val="auto"/>
          <w:sz w:val="21"/>
          <w:highlight w:val="none"/>
        </w:rPr>
      </w:pPr>
    </w:p>
    <w:p>
      <w:pPr>
        <w:rPr>
          <w:color w:val="auto"/>
          <w:highlight w:val="none"/>
        </w:rPr>
        <w:sectPr>
          <w:headerReference r:id="rId15" w:type="even"/>
          <w:pgSz w:w="11907" w:h="16840"/>
          <w:pgMar w:top="1418" w:right="1191" w:bottom="1418" w:left="1191" w:header="1134" w:footer="1134" w:gutter="0"/>
          <w:cols w:space="720" w:num="1"/>
          <w:docGrid w:linePitch="299" w:charSpace="0"/>
        </w:sect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tabs>
          <w:tab w:val="left" w:pos="4468"/>
        </w:tabs>
        <w:spacing w:before="185"/>
        <w:ind w:left="2229"/>
        <w:outlineLvl w:val="1"/>
        <w:rPr>
          <w:rFonts w:ascii="黑体" w:eastAsia="黑体"/>
          <w:color w:val="auto"/>
          <w:sz w:val="56"/>
          <w:highlight w:val="none"/>
        </w:rPr>
      </w:pPr>
      <w:bookmarkStart w:id="112" w:name="_Toc18669"/>
      <w:bookmarkStart w:id="113" w:name="_Toc22352"/>
      <w:bookmarkStart w:id="114" w:name="_Toc28438"/>
      <w:bookmarkStart w:id="115" w:name="_Toc21548"/>
      <w:bookmarkStart w:id="116" w:name="_Toc448"/>
      <w:bookmarkStart w:id="117" w:name="_Toc15412"/>
      <w:bookmarkStart w:id="118" w:name="_Toc6496"/>
      <w:bookmarkStart w:id="119" w:name="_Toc18707"/>
      <w:bookmarkStart w:id="120" w:name="_Toc29916"/>
      <w:bookmarkStart w:id="121" w:name="_Toc14200"/>
      <w:bookmarkStart w:id="122" w:name="_Toc29348"/>
      <w:bookmarkStart w:id="123" w:name="_Toc25280"/>
      <w:bookmarkStart w:id="124" w:name="_Toc7191"/>
      <w:bookmarkStart w:id="125" w:name="_Toc29940"/>
      <w:bookmarkStart w:id="126" w:name="_Toc19273"/>
      <w:bookmarkStart w:id="127" w:name="_Toc29114"/>
      <w:bookmarkStart w:id="128" w:name="_Toc12541"/>
      <w:bookmarkStart w:id="129" w:name="_Toc22805"/>
      <w:bookmarkStart w:id="130" w:name="_Toc30630"/>
      <w:bookmarkStart w:id="131" w:name="_Toc2090"/>
      <w:bookmarkStart w:id="132" w:name="_Toc1394"/>
      <w:bookmarkStart w:id="133" w:name="_Toc14851"/>
      <w:bookmarkStart w:id="134" w:name="_Toc10078"/>
      <w:bookmarkStart w:id="135" w:name="_Toc28990"/>
      <w:bookmarkStart w:id="136" w:name="_Toc20568"/>
      <w:bookmarkStart w:id="137" w:name="_Toc27919"/>
      <w:bookmarkStart w:id="138" w:name="_Toc14952"/>
      <w:bookmarkStart w:id="139" w:name="_Toc23506"/>
      <w:r>
        <w:rPr>
          <w:rFonts w:hint="eastAsia" w:ascii="黑体" w:eastAsia="黑体"/>
          <w:color w:val="auto"/>
          <w:sz w:val="56"/>
          <w:highlight w:val="none"/>
        </w:rPr>
        <w:t>第二章</w:t>
      </w:r>
      <w:r>
        <w:rPr>
          <w:rFonts w:hint="eastAsia" w:ascii="黑体" w:eastAsia="黑体"/>
          <w:color w:val="auto"/>
          <w:sz w:val="56"/>
          <w:highlight w:val="none"/>
        </w:rPr>
        <w:tab/>
      </w:r>
      <w:r>
        <w:rPr>
          <w:rFonts w:hint="eastAsia" w:ascii="黑体" w:eastAsia="黑体"/>
          <w:color w:val="auto"/>
          <w:sz w:val="56"/>
          <w:highlight w:val="none"/>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jc w:val="right"/>
        <w:rPr>
          <w:rFonts w:ascii="黑体" w:eastAsia="黑体"/>
          <w:color w:val="auto"/>
          <w:sz w:val="56"/>
          <w:highlight w:val="none"/>
        </w:rPr>
      </w:pPr>
    </w:p>
    <w:p>
      <w:pPr>
        <w:rPr>
          <w:rFonts w:ascii="黑体" w:eastAsia="黑体"/>
          <w:color w:val="auto"/>
          <w:sz w:val="56"/>
          <w:highlight w:val="none"/>
        </w:rPr>
      </w:pPr>
    </w:p>
    <w:p>
      <w:pPr>
        <w:rPr>
          <w:rFonts w:ascii="黑体" w:eastAsia="黑体"/>
          <w:color w:val="auto"/>
          <w:sz w:val="56"/>
          <w:highlight w:val="none"/>
        </w:rPr>
        <w:sectPr>
          <w:footerReference r:id="rId16" w:type="default"/>
          <w:pgSz w:w="11907" w:h="16840"/>
          <w:pgMar w:top="1418" w:right="1191" w:bottom="1418" w:left="1191" w:header="1134" w:footer="1134" w:gutter="0"/>
          <w:cols w:space="720" w:num="1"/>
        </w:sectPr>
      </w:pPr>
    </w:p>
    <w:p>
      <w:pPr>
        <w:tabs>
          <w:tab w:val="left" w:pos="4552"/>
        </w:tabs>
        <w:spacing w:before="41"/>
        <w:ind w:left="2865"/>
        <w:rPr>
          <w:rFonts w:ascii="黑体" w:eastAsia="黑体"/>
          <w:b/>
          <w:color w:val="auto"/>
          <w:sz w:val="42"/>
          <w:highlight w:val="none"/>
        </w:rPr>
      </w:pPr>
      <w:bookmarkStart w:id="140" w:name="_bookmark19"/>
      <w:bookmarkEnd w:id="140"/>
      <w:r>
        <w:rPr>
          <w:rFonts w:hint="eastAsia" w:ascii="黑体" w:eastAsia="黑体"/>
          <w:b/>
          <w:color w:val="auto"/>
          <w:sz w:val="42"/>
          <w:highlight w:val="none"/>
        </w:rPr>
        <w:t>第二章</w:t>
      </w:r>
      <w:r>
        <w:rPr>
          <w:rFonts w:hint="eastAsia" w:ascii="黑体" w:eastAsia="黑体"/>
          <w:b/>
          <w:color w:val="auto"/>
          <w:sz w:val="42"/>
          <w:highlight w:val="none"/>
        </w:rPr>
        <w:tab/>
      </w:r>
      <w:r>
        <w:rPr>
          <w:rFonts w:hint="eastAsia" w:ascii="黑体" w:eastAsia="黑体"/>
          <w:b/>
          <w:color w:val="auto"/>
          <w:sz w:val="42"/>
          <w:highlight w:val="none"/>
        </w:rPr>
        <w:t>投标人须知</w:t>
      </w:r>
    </w:p>
    <w:p>
      <w:pPr>
        <w:spacing w:before="70"/>
        <w:ind w:left="369"/>
        <w:jc w:val="center"/>
        <w:outlineLvl w:val="2"/>
        <w:rPr>
          <w:rFonts w:ascii="黑体" w:hAnsi="黑体" w:eastAsia="黑体"/>
          <w:b/>
          <w:color w:val="auto"/>
          <w:sz w:val="14"/>
          <w:highlight w:val="none"/>
        </w:rPr>
      </w:pPr>
      <w:bookmarkStart w:id="141" w:name="_bookmark20"/>
      <w:bookmarkEnd w:id="141"/>
      <w:bookmarkStart w:id="142" w:name="_Toc14944"/>
      <w:bookmarkStart w:id="143" w:name="_Toc22859"/>
      <w:bookmarkStart w:id="144" w:name="_Toc27615"/>
      <w:bookmarkStart w:id="145" w:name="_Toc21591"/>
      <w:bookmarkStart w:id="146" w:name="_Toc29141"/>
      <w:bookmarkStart w:id="147" w:name="_Toc14078"/>
      <w:bookmarkStart w:id="148" w:name="_Toc629"/>
      <w:bookmarkStart w:id="149" w:name="_Toc16054"/>
      <w:bookmarkStart w:id="150" w:name="_Toc22812"/>
      <w:bookmarkStart w:id="151" w:name="_Toc3750"/>
      <w:bookmarkStart w:id="152" w:name="_Toc17005"/>
      <w:bookmarkStart w:id="153" w:name="_Toc4932"/>
      <w:bookmarkStart w:id="154" w:name="_Toc23119"/>
      <w:bookmarkStart w:id="155" w:name="_Toc6118"/>
      <w:bookmarkStart w:id="156" w:name="_Toc24712"/>
      <w:bookmarkStart w:id="157" w:name="_Toc1424"/>
      <w:bookmarkStart w:id="158" w:name="_Toc22728"/>
      <w:r>
        <w:rPr>
          <w:rFonts w:hint="eastAsia" w:ascii="黑体" w:hAnsi="黑体" w:eastAsia="黑体"/>
          <w:b/>
          <w:color w:val="auto"/>
          <w:sz w:val="28"/>
          <w:highlight w:val="none"/>
        </w:rPr>
        <w:t>投标人须知前附表</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20"/>
        <w:spacing w:before="1"/>
        <w:jc w:val="center"/>
        <w:rPr>
          <w:rFonts w:ascii="黑体"/>
          <w:b/>
          <w:color w:val="auto"/>
          <w:sz w:val="19"/>
          <w:highlight w:val="none"/>
        </w:rPr>
      </w:pPr>
    </w:p>
    <w:tbl>
      <w:tblPr>
        <w:tblStyle w:val="47"/>
        <w:tblW w:w="9342"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3107"/>
        <w:gridCol w:w="5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037" w:type="dxa"/>
            <w:vAlign w:val="center"/>
          </w:tcPr>
          <w:p>
            <w:pPr>
              <w:spacing w:line="360" w:lineRule="auto"/>
              <w:jc w:val="center"/>
              <w:rPr>
                <w:b/>
                <w:color w:val="auto"/>
                <w:sz w:val="21"/>
                <w:szCs w:val="21"/>
                <w:highlight w:val="none"/>
              </w:rPr>
            </w:pPr>
            <w:r>
              <w:rPr>
                <w:rFonts w:hint="eastAsia"/>
                <w:b/>
                <w:color w:val="auto"/>
                <w:sz w:val="21"/>
                <w:szCs w:val="21"/>
                <w:highlight w:val="none"/>
              </w:rPr>
              <w:t>条款号</w:t>
            </w:r>
          </w:p>
        </w:tc>
        <w:tc>
          <w:tcPr>
            <w:tcW w:w="3107" w:type="dxa"/>
            <w:vAlign w:val="center"/>
          </w:tcPr>
          <w:p>
            <w:pPr>
              <w:spacing w:line="360" w:lineRule="auto"/>
              <w:jc w:val="center"/>
              <w:rPr>
                <w:b/>
                <w:color w:val="auto"/>
                <w:sz w:val="21"/>
                <w:szCs w:val="21"/>
                <w:highlight w:val="none"/>
              </w:rPr>
            </w:pPr>
            <w:r>
              <w:rPr>
                <w:rFonts w:hint="eastAsia"/>
                <w:b/>
                <w:color w:val="auto"/>
                <w:sz w:val="21"/>
                <w:szCs w:val="21"/>
                <w:highlight w:val="none"/>
              </w:rPr>
              <w:t>条款名称</w:t>
            </w:r>
          </w:p>
        </w:tc>
        <w:tc>
          <w:tcPr>
            <w:tcW w:w="5198" w:type="dxa"/>
            <w:vAlign w:val="center"/>
          </w:tcPr>
          <w:p>
            <w:pPr>
              <w:spacing w:line="360" w:lineRule="auto"/>
              <w:jc w:val="center"/>
              <w:rPr>
                <w:b/>
                <w:color w:val="auto"/>
                <w:sz w:val="21"/>
                <w:szCs w:val="21"/>
                <w:highlight w:val="none"/>
              </w:rPr>
            </w:pPr>
            <w:r>
              <w:rPr>
                <w:rFonts w:hint="eastAsia"/>
                <w:b/>
                <w:color w:val="auto"/>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1.1.2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招标人</w:t>
            </w:r>
          </w:p>
        </w:tc>
        <w:tc>
          <w:tcPr>
            <w:tcW w:w="5198" w:type="dxa"/>
            <w:vAlign w:val="center"/>
          </w:tcPr>
          <w:p>
            <w:pPr>
              <w:adjustRightInd w:val="0"/>
              <w:snapToGrid w:val="0"/>
              <w:spacing w:line="360" w:lineRule="auto"/>
              <w:rPr>
                <w:color w:val="auto"/>
                <w:sz w:val="21"/>
                <w:szCs w:val="21"/>
                <w:highlight w:val="none"/>
                <w:lang w:val="en-US"/>
              </w:rPr>
            </w:pPr>
            <w:r>
              <w:rPr>
                <w:rFonts w:hint="eastAsia"/>
                <w:color w:val="auto"/>
                <w:sz w:val="21"/>
                <w:szCs w:val="21"/>
                <w:highlight w:val="none"/>
                <w:lang w:val="en-US"/>
              </w:rPr>
              <w:t>招标人：鞍山市交通运输事务服务中心</w:t>
            </w:r>
          </w:p>
          <w:p>
            <w:pPr>
              <w:adjustRightInd w:val="0"/>
              <w:snapToGrid w:val="0"/>
              <w:spacing w:line="360" w:lineRule="auto"/>
              <w:ind w:right="-77" w:rightChars="-35"/>
              <w:rPr>
                <w:color w:val="auto"/>
                <w:sz w:val="21"/>
                <w:szCs w:val="21"/>
                <w:highlight w:val="none"/>
                <w:lang w:val="en-US"/>
              </w:rPr>
            </w:pPr>
            <w:r>
              <w:rPr>
                <w:rFonts w:hint="eastAsia"/>
                <w:color w:val="auto"/>
                <w:sz w:val="21"/>
                <w:szCs w:val="21"/>
                <w:highlight w:val="none"/>
                <w:lang w:val="en-US"/>
              </w:rPr>
              <w:t>地址：辽宁省鞍山市铁东区山南街52号</w:t>
            </w:r>
          </w:p>
          <w:p>
            <w:pPr>
              <w:adjustRightInd w:val="0"/>
              <w:snapToGrid w:val="0"/>
              <w:spacing w:line="360" w:lineRule="auto"/>
              <w:rPr>
                <w:color w:val="auto"/>
                <w:sz w:val="21"/>
                <w:szCs w:val="21"/>
                <w:highlight w:val="none"/>
                <w:lang w:val="en-US"/>
              </w:rPr>
            </w:pPr>
            <w:r>
              <w:rPr>
                <w:rFonts w:hint="eastAsia"/>
                <w:color w:val="auto"/>
                <w:sz w:val="21"/>
                <w:szCs w:val="21"/>
                <w:highlight w:val="none"/>
                <w:lang w:val="en-US"/>
              </w:rPr>
              <w:t>联系人：常军</w:t>
            </w:r>
          </w:p>
          <w:p>
            <w:pPr>
              <w:adjustRightInd w:val="0"/>
              <w:snapToGrid w:val="0"/>
              <w:spacing w:line="360" w:lineRule="auto"/>
              <w:rPr>
                <w:color w:val="auto"/>
                <w:sz w:val="21"/>
                <w:szCs w:val="21"/>
                <w:highlight w:val="none"/>
                <w:lang w:val="en-US"/>
              </w:rPr>
            </w:pPr>
            <w:r>
              <w:rPr>
                <w:rFonts w:hint="eastAsia"/>
                <w:color w:val="auto"/>
                <w:sz w:val="21"/>
                <w:szCs w:val="21"/>
                <w:highlight w:val="none"/>
                <w:lang w:val="en-US"/>
              </w:rPr>
              <w:t>电话：0412-2955028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1.1.3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招标代理机构</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名称：辽宁工程招标有限公司</w:t>
            </w:r>
          </w:p>
          <w:p>
            <w:pPr>
              <w:adjustRightInd w:val="0"/>
              <w:snapToGrid w:val="0"/>
              <w:spacing w:line="360" w:lineRule="auto"/>
              <w:rPr>
                <w:color w:val="auto"/>
                <w:sz w:val="21"/>
                <w:szCs w:val="21"/>
                <w:highlight w:val="none"/>
              </w:rPr>
            </w:pPr>
            <w:r>
              <w:rPr>
                <w:rFonts w:hint="eastAsia"/>
                <w:color w:val="auto"/>
                <w:sz w:val="21"/>
                <w:szCs w:val="21"/>
                <w:highlight w:val="none"/>
              </w:rPr>
              <w:t>地址：沈阳市和平区南九马路47号</w:t>
            </w:r>
          </w:p>
          <w:p>
            <w:pPr>
              <w:adjustRightInd w:val="0"/>
              <w:snapToGrid w:val="0"/>
              <w:spacing w:line="360" w:lineRule="auto"/>
              <w:rPr>
                <w:color w:val="auto"/>
                <w:sz w:val="21"/>
                <w:szCs w:val="21"/>
                <w:highlight w:val="none"/>
              </w:rPr>
            </w:pPr>
            <w:r>
              <w:rPr>
                <w:rFonts w:hint="eastAsia"/>
                <w:color w:val="auto"/>
                <w:sz w:val="21"/>
                <w:szCs w:val="21"/>
                <w:highlight w:val="none"/>
              </w:rPr>
              <w:t>联系人：王天甲</w:t>
            </w:r>
          </w:p>
          <w:p>
            <w:pPr>
              <w:adjustRightInd w:val="0"/>
              <w:snapToGrid w:val="0"/>
              <w:spacing w:line="360" w:lineRule="auto"/>
              <w:rPr>
                <w:color w:val="auto"/>
                <w:sz w:val="21"/>
                <w:szCs w:val="21"/>
                <w:highlight w:val="none"/>
              </w:rPr>
            </w:pPr>
            <w:r>
              <w:rPr>
                <w:rFonts w:hint="eastAsia"/>
                <w:color w:val="auto"/>
                <w:sz w:val="21"/>
                <w:szCs w:val="21"/>
                <w:highlight w:val="none"/>
              </w:rPr>
              <w:t>电话：024-23389240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1.1.4</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招标项目名称</w:t>
            </w:r>
          </w:p>
        </w:tc>
        <w:tc>
          <w:tcPr>
            <w:tcW w:w="5198" w:type="dxa"/>
            <w:vAlign w:val="center"/>
          </w:tcPr>
          <w:p>
            <w:pPr>
              <w:adjustRightInd w:val="0"/>
              <w:snapToGrid w:val="0"/>
              <w:spacing w:line="360" w:lineRule="auto"/>
              <w:rPr>
                <w:rFonts w:hint="eastAsia" w:eastAsia="宋体"/>
                <w:color w:val="auto"/>
                <w:sz w:val="21"/>
                <w:szCs w:val="21"/>
                <w:highlight w:val="none"/>
                <w:lang w:val="en-US" w:eastAsia="zh-CN"/>
              </w:rPr>
            </w:pPr>
            <w:r>
              <w:rPr>
                <w:rFonts w:hint="eastAsia"/>
                <w:color w:val="auto"/>
                <w:sz w:val="21"/>
                <w:szCs w:val="21"/>
                <w:highlight w:val="none"/>
                <w:lang w:val="en-US" w:eastAsia="zh-CN"/>
              </w:rPr>
              <w:t>鞍山市库盘线张荒地辽河大桥维修加固工程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1.1.5</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标段建设地点</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鞍山台安县境内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1.2.1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资金来源及比例</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省级财政补贴100%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1.2.2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资金落实情况</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分期分批落实到位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1.3.1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招标范围</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鞍山市库盘线张荒地辽河大桥维修加固工程施工图纸范围内的全部工程内容的施工、质量保修等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1.3.2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计划工期</w:t>
            </w:r>
          </w:p>
        </w:tc>
        <w:tc>
          <w:tcPr>
            <w:tcW w:w="5198" w:type="dxa"/>
            <w:vAlign w:val="center"/>
          </w:tcPr>
          <w:p>
            <w:pPr>
              <w:adjustRightInd w:val="0"/>
              <w:snapToGrid w:val="0"/>
              <w:spacing w:line="360" w:lineRule="auto"/>
              <w:rPr>
                <w:rFonts w:hint="eastAsia" w:eastAsia="宋体"/>
                <w:color w:val="auto"/>
                <w:sz w:val="21"/>
                <w:szCs w:val="21"/>
                <w:highlight w:val="none"/>
                <w:lang w:eastAsia="zh-CN"/>
              </w:rPr>
            </w:pPr>
            <w:r>
              <w:rPr>
                <w:rFonts w:hint="eastAsia"/>
                <w:color w:val="auto"/>
                <w:sz w:val="21"/>
                <w:szCs w:val="21"/>
                <w:highlight w:val="none"/>
              </w:rPr>
              <w:t>共计</w:t>
            </w:r>
            <w:r>
              <w:rPr>
                <w:rFonts w:hint="eastAsia"/>
                <w:color w:val="auto"/>
                <w:sz w:val="21"/>
                <w:szCs w:val="21"/>
                <w:highlight w:val="none"/>
                <w:lang w:val="en-US" w:eastAsia="zh-CN"/>
              </w:rPr>
              <w:t>478日历天</w:t>
            </w:r>
          </w:p>
          <w:p>
            <w:pPr>
              <w:adjustRightInd w:val="0"/>
              <w:snapToGrid w:val="0"/>
              <w:spacing w:line="360" w:lineRule="auto"/>
              <w:rPr>
                <w:rFonts w:hint="eastAsia" w:eastAsia="宋体"/>
                <w:color w:val="auto"/>
                <w:sz w:val="21"/>
                <w:szCs w:val="21"/>
                <w:highlight w:val="none"/>
                <w:lang w:eastAsia="zh-CN"/>
              </w:rPr>
            </w:pPr>
            <w:r>
              <w:rPr>
                <w:rFonts w:hint="eastAsia"/>
                <w:color w:val="auto"/>
                <w:sz w:val="21"/>
                <w:szCs w:val="21"/>
                <w:highlight w:val="none"/>
              </w:rPr>
              <w:t>计划开工日期：</w:t>
            </w:r>
            <w:r>
              <w:rPr>
                <w:rFonts w:hint="eastAsia"/>
                <w:color w:val="auto"/>
                <w:sz w:val="21"/>
                <w:szCs w:val="21"/>
                <w:highlight w:val="none"/>
                <w:lang w:eastAsia="zh-CN"/>
              </w:rPr>
              <w:t>2021年6月10日</w:t>
            </w:r>
          </w:p>
          <w:p>
            <w:pPr>
              <w:adjustRightInd w:val="0"/>
              <w:snapToGrid w:val="0"/>
              <w:spacing w:line="360" w:lineRule="auto"/>
              <w:rPr>
                <w:color w:val="auto"/>
                <w:sz w:val="21"/>
                <w:szCs w:val="21"/>
                <w:highlight w:val="none"/>
              </w:rPr>
            </w:pPr>
            <w:r>
              <w:rPr>
                <w:rFonts w:hint="eastAsia"/>
                <w:color w:val="auto"/>
                <w:sz w:val="21"/>
                <w:szCs w:val="21"/>
                <w:highlight w:val="none"/>
              </w:rPr>
              <w:t>计划完工日期：202</w:t>
            </w:r>
            <w:r>
              <w:rPr>
                <w:rFonts w:hint="eastAsia"/>
                <w:color w:val="auto"/>
                <w:sz w:val="21"/>
                <w:szCs w:val="21"/>
                <w:highlight w:val="none"/>
                <w:lang w:val="en-US"/>
              </w:rPr>
              <w:t>2</w:t>
            </w:r>
            <w:r>
              <w:rPr>
                <w:rFonts w:hint="eastAsia"/>
                <w:color w:val="auto"/>
                <w:sz w:val="21"/>
                <w:szCs w:val="21"/>
                <w:highlight w:val="none"/>
              </w:rPr>
              <w:t>年</w:t>
            </w:r>
            <w:r>
              <w:rPr>
                <w:rFonts w:hint="eastAsia"/>
                <w:color w:val="auto"/>
                <w:sz w:val="21"/>
                <w:szCs w:val="21"/>
                <w:highlight w:val="none"/>
                <w:lang w:val="en-US"/>
              </w:rPr>
              <w:t>9</w:t>
            </w:r>
            <w:r>
              <w:rPr>
                <w:rFonts w:hint="eastAsia"/>
                <w:color w:val="auto"/>
                <w:sz w:val="21"/>
                <w:szCs w:val="21"/>
                <w:highlight w:val="none"/>
              </w:rPr>
              <w:t>月3</w:t>
            </w:r>
            <w:r>
              <w:rPr>
                <w:rFonts w:hint="eastAsia"/>
                <w:color w:val="auto"/>
                <w:sz w:val="21"/>
                <w:szCs w:val="21"/>
                <w:highlight w:val="none"/>
                <w:lang w:val="en-US"/>
              </w:rPr>
              <w:t>0</w:t>
            </w:r>
            <w:r>
              <w:rPr>
                <w:rFonts w:hint="eastAsia"/>
                <w:color w:val="auto"/>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1.3.3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质量要求</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标段工程完工验收的质量评定：</w:t>
            </w:r>
            <w:r>
              <w:rPr>
                <w:rFonts w:hint="eastAsia"/>
                <w:color w:val="auto"/>
                <w:sz w:val="21"/>
                <w:szCs w:val="21"/>
                <w:highlight w:val="none"/>
                <w:u w:val="single"/>
              </w:rPr>
              <w:t xml:space="preserve"> 合格 </w:t>
            </w:r>
            <w:r>
              <w:rPr>
                <w:rFonts w:hint="eastAsia"/>
                <w:color w:val="auto"/>
                <w:sz w:val="21"/>
                <w:szCs w:val="21"/>
                <w:highlight w:val="none"/>
              </w:rPr>
              <w:t>；</w:t>
            </w:r>
          </w:p>
          <w:p>
            <w:pPr>
              <w:adjustRightInd w:val="0"/>
              <w:snapToGrid w:val="0"/>
              <w:spacing w:line="360" w:lineRule="auto"/>
              <w:rPr>
                <w:color w:val="auto"/>
                <w:sz w:val="21"/>
                <w:szCs w:val="21"/>
                <w:highlight w:val="none"/>
              </w:rPr>
            </w:pPr>
            <w:r>
              <w:rPr>
                <w:rFonts w:hint="eastAsia"/>
                <w:color w:val="auto"/>
                <w:sz w:val="21"/>
                <w:szCs w:val="21"/>
                <w:highlight w:val="none"/>
              </w:rPr>
              <w:t>竣工验收的质量评定</w:t>
            </w:r>
            <w:r>
              <w:rPr>
                <w:rFonts w:hint="eastAsia"/>
                <w:color w:val="auto"/>
                <w:sz w:val="21"/>
                <w:szCs w:val="21"/>
                <w:highlight w:val="none"/>
                <w:u w:val="single"/>
              </w:rPr>
              <w:t xml:space="preserve">合格 </w:t>
            </w:r>
            <w:r>
              <w:rPr>
                <w:rFonts w:hint="eastAsia"/>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1.3.4</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安全目标</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安全生产要求：安全生产责任事故为零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1.4.1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投标人资质条件、能力和信誉</w:t>
            </w:r>
          </w:p>
        </w:tc>
        <w:tc>
          <w:tcPr>
            <w:tcW w:w="5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color w:val="auto"/>
                <w:sz w:val="21"/>
                <w:szCs w:val="21"/>
                <w:highlight w:val="none"/>
              </w:rPr>
            </w:pPr>
            <w:r>
              <w:rPr>
                <w:rFonts w:hint="eastAsia"/>
                <w:color w:val="auto"/>
                <w:sz w:val="21"/>
                <w:szCs w:val="21"/>
                <w:highlight w:val="none"/>
              </w:rPr>
              <w:t>资质要求：见附录 1</w:t>
            </w:r>
          </w:p>
          <w:p>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color w:val="auto"/>
                <w:sz w:val="21"/>
                <w:szCs w:val="21"/>
                <w:highlight w:val="none"/>
              </w:rPr>
            </w:pPr>
            <w:r>
              <w:rPr>
                <w:rFonts w:hint="eastAsia"/>
                <w:color w:val="auto"/>
                <w:sz w:val="21"/>
                <w:szCs w:val="21"/>
                <w:highlight w:val="none"/>
              </w:rPr>
              <w:t>财务要求：见附录 2</w:t>
            </w:r>
          </w:p>
          <w:p>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color w:val="auto"/>
                <w:sz w:val="21"/>
                <w:szCs w:val="21"/>
                <w:highlight w:val="none"/>
              </w:rPr>
            </w:pPr>
            <w:r>
              <w:rPr>
                <w:rFonts w:hint="eastAsia"/>
                <w:color w:val="auto"/>
                <w:sz w:val="21"/>
                <w:szCs w:val="21"/>
                <w:highlight w:val="none"/>
              </w:rPr>
              <w:t>业绩要求：见附录 3</w:t>
            </w:r>
          </w:p>
          <w:p>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color w:val="auto"/>
                <w:sz w:val="21"/>
                <w:szCs w:val="21"/>
                <w:highlight w:val="none"/>
              </w:rPr>
            </w:pPr>
            <w:r>
              <w:rPr>
                <w:rFonts w:hint="eastAsia"/>
                <w:color w:val="auto"/>
                <w:sz w:val="21"/>
                <w:szCs w:val="21"/>
                <w:highlight w:val="none"/>
              </w:rPr>
              <w:t>信誉要求：见附录 4</w:t>
            </w:r>
          </w:p>
          <w:p>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color w:val="auto"/>
                <w:sz w:val="21"/>
                <w:szCs w:val="21"/>
                <w:highlight w:val="none"/>
              </w:rPr>
            </w:pPr>
            <w:r>
              <w:rPr>
                <w:rFonts w:hint="eastAsia"/>
                <w:color w:val="auto"/>
                <w:sz w:val="21"/>
                <w:szCs w:val="21"/>
                <w:highlight w:val="none"/>
              </w:rPr>
              <w:t>项目经理和项目总工资格：见附录 5</w:t>
            </w:r>
          </w:p>
          <w:p>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color w:val="auto"/>
                <w:sz w:val="21"/>
                <w:szCs w:val="21"/>
                <w:highlight w:val="none"/>
                <w:lang w:val="en-US"/>
              </w:rPr>
            </w:pPr>
            <w:r>
              <w:rPr>
                <w:rFonts w:hint="eastAsia"/>
                <w:color w:val="auto"/>
                <w:sz w:val="21"/>
                <w:szCs w:val="21"/>
                <w:highlight w:val="none"/>
              </w:rPr>
              <w:t>其他要求：</w:t>
            </w:r>
            <w:r>
              <w:rPr>
                <w:rFonts w:hint="eastAsia"/>
                <w:color w:val="auto"/>
                <w:sz w:val="21"/>
                <w:szCs w:val="21"/>
                <w:highlight w:val="none"/>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1.4.2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是否接受联合体投标</w:t>
            </w:r>
          </w:p>
        </w:tc>
        <w:tc>
          <w:tcPr>
            <w:tcW w:w="5198" w:type="dxa"/>
            <w:vAlign w:val="center"/>
          </w:tcPr>
          <w:p>
            <w:pPr>
              <w:pStyle w:val="263"/>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color w:val="auto"/>
                <w:sz w:val="21"/>
                <w:szCs w:val="21"/>
                <w:highlight w:val="none"/>
              </w:rPr>
            </w:pPr>
            <w:r>
              <w:rPr>
                <w:color w:val="auto"/>
                <w:sz w:val="21"/>
                <w:szCs w:val="21"/>
                <w:highlight w:val="none"/>
                <w:lang w:val="en-US" w:eastAsia="en-US" w:bidi="en-US"/>
              </w:rPr>
              <w:sym w:font="Wingdings 2" w:char="0052"/>
            </w:r>
            <w:r>
              <w:rPr>
                <w:color w:val="auto"/>
                <w:sz w:val="21"/>
                <w:szCs w:val="21"/>
                <w:highlight w:val="none"/>
              </w:rPr>
              <w:t>不接受</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color w:val="auto"/>
                <w:sz w:val="21"/>
                <w:szCs w:val="21"/>
                <w:highlight w:val="none"/>
              </w:rPr>
            </w:pPr>
            <w:r>
              <w:rPr>
                <w:color w:val="auto"/>
                <w:sz w:val="21"/>
                <w:szCs w:val="21"/>
                <w:highlight w:val="none"/>
                <w:lang w:val="en-US" w:eastAsia="en-US" w:bidi="en-US"/>
              </w:rPr>
              <w:sym w:font="Wingdings 2" w:char="00A3"/>
            </w:r>
            <w:r>
              <w:rPr>
                <w:color w:val="auto"/>
                <w:sz w:val="21"/>
                <w:szCs w:val="21"/>
                <w:highlight w:val="none"/>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1.4.3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投标人不得存在的其他关联情形</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1.4.4</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投标人不得存在的其他不良状况或不良信用记录</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1.10.2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投标人在投标预备会前提出问题</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时间：递交投标文件截止之日15天前（以发出时间为准）；</w:t>
            </w:r>
          </w:p>
          <w:p>
            <w:pPr>
              <w:adjustRightInd w:val="0"/>
              <w:snapToGrid w:val="0"/>
              <w:spacing w:line="360" w:lineRule="auto"/>
              <w:rPr>
                <w:color w:val="auto"/>
                <w:sz w:val="21"/>
                <w:szCs w:val="21"/>
                <w:highlight w:val="none"/>
              </w:rPr>
            </w:pPr>
            <w:r>
              <w:rPr>
                <w:rFonts w:hint="eastAsia"/>
                <w:color w:val="auto"/>
                <w:sz w:val="21"/>
                <w:szCs w:val="21"/>
                <w:highlight w:val="none"/>
              </w:rPr>
              <w:t>形式：书面形式，并电话告知招标代理。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1.11.1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分</w:t>
            </w:r>
            <w:r>
              <w:rPr>
                <w:rFonts w:hint="eastAsia"/>
                <w:color w:val="auto"/>
                <w:sz w:val="21"/>
                <w:szCs w:val="21"/>
                <w:highlight w:val="none"/>
              </w:rPr>
              <w:tab/>
            </w:r>
            <w:r>
              <w:rPr>
                <w:rFonts w:hint="eastAsia"/>
                <w:color w:val="auto"/>
                <w:sz w:val="21"/>
                <w:szCs w:val="21"/>
                <w:highlight w:val="none"/>
              </w:rPr>
              <w:t>包</w:t>
            </w:r>
          </w:p>
        </w:tc>
        <w:tc>
          <w:tcPr>
            <w:tcW w:w="5198" w:type="dxa"/>
            <w:vAlign w:val="center"/>
          </w:tcPr>
          <w:p>
            <w:pPr>
              <w:pStyle w:val="263"/>
              <w:adjustRightInd w:val="0"/>
              <w:snapToGrid w:val="0"/>
              <w:spacing w:line="360" w:lineRule="auto"/>
              <w:rPr>
                <w:color w:val="auto"/>
                <w:sz w:val="21"/>
                <w:szCs w:val="21"/>
                <w:highlight w:val="none"/>
              </w:rPr>
            </w:pPr>
            <w:r>
              <w:rPr>
                <w:color w:val="auto"/>
                <w:sz w:val="21"/>
                <w:szCs w:val="21"/>
                <w:highlight w:val="none"/>
                <w:lang w:val="en-US" w:eastAsia="en-US" w:bidi="en-US"/>
              </w:rPr>
              <w:sym w:font="Wingdings 2" w:char="00A3"/>
            </w:r>
            <w:r>
              <w:rPr>
                <w:color w:val="auto"/>
                <w:sz w:val="21"/>
                <w:szCs w:val="21"/>
                <w:highlight w:val="none"/>
              </w:rPr>
              <w:t>不允许</w:t>
            </w:r>
          </w:p>
          <w:p>
            <w:pPr>
              <w:adjustRightInd w:val="0"/>
              <w:snapToGrid w:val="0"/>
              <w:spacing w:line="360" w:lineRule="auto"/>
              <w:rPr>
                <w:rFonts w:cs="Times New Roman"/>
                <w:color w:val="auto"/>
                <w:sz w:val="21"/>
                <w:szCs w:val="21"/>
                <w:highlight w:val="none"/>
              </w:rPr>
            </w:pPr>
            <w:r>
              <w:rPr>
                <w:color w:val="auto"/>
                <w:sz w:val="21"/>
                <w:szCs w:val="21"/>
                <w:highlight w:val="none"/>
                <w:lang w:val="en-US" w:eastAsia="en-US" w:bidi="en-US"/>
              </w:rPr>
              <w:sym w:font="Wingdings 2" w:char="0052"/>
            </w:r>
            <w:r>
              <w:rPr>
                <w:color w:val="auto"/>
                <w:sz w:val="21"/>
                <w:szCs w:val="21"/>
                <w:highlight w:val="none"/>
              </w:rPr>
              <w:t>允许，</w:t>
            </w:r>
            <w:r>
              <w:rPr>
                <w:rFonts w:hint="eastAsia" w:cs="Times New Roman"/>
                <w:color w:val="auto"/>
                <w:sz w:val="21"/>
                <w:szCs w:val="21"/>
                <w:highlight w:val="none"/>
              </w:rPr>
              <w:t>1.分包内容要求：允许分包的工程范围仅限于非关键性工程或者适合专业化队伍施工的专项工程。本项目的桥的主体工程不允许分包，须由中标人建设实施。（但因工程变更增加了有特殊性技术要求、特殊工艺或者涉及专利保护等专项工程，且按规定无须再进行招标的，由承包人提出书面申请，经发包人书面同意，可以进行分包）</w:t>
            </w:r>
          </w:p>
          <w:p>
            <w:pPr>
              <w:adjustRightInd w:val="0"/>
              <w:snapToGrid w:val="0"/>
              <w:spacing w:line="360" w:lineRule="auto"/>
              <w:rPr>
                <w:rFonts w:cs="Times New Roman"/>
                <w:color w:val="auto"/>
                <w:sz w:val="21"/>
                <w:szCs w:val="21"/>
                <w:highlight w:val="none"/>
              </w:rPr>
            </w:pPr>
            <w:r>
              <w:rPr>
                <w:rFonts w:hint="eastAsia" w:cs="Times New Roman"/>
                <w:color w:val="auto"/>
                <w:sz w:val="21"/>
                <w:szCs w:val="21"/>
                <w:highlight w:val="none"/>
              </w:rPr>
              <w:t>2.接受分包的第三人资格要求：中标人如自身不具有交通安全设施工程的承包资质，则</w:t>
            </w:r>
            <w:r>
              <w:rPr>
                <w:rFonts w:hint="eastAsia" w:cs="Times New Roman"/>
                <w:color w:val="auto"/>
                <w:sz w:val="21"/>
                <w:szCs w:val="21"/>
                <w:highlight w:val="none"/>
                <w:lang w:val="en-US" w:eastAsia="zh-CN"/>
              </w:rPr>
              <w:t>可</w:t>
            </w:r>
            <w:r>
              <w:rPr>
                <w:rFonts w:hint="eastAsia" w:cs="Times New Roman"/>
                <w:color w:val="auto"/>
                <w:sz w:val="21"/>
                <w:szCs w:val="21"/>
                <w:highlight w:val="none"/>
              </w:rPr>
              <w:t>按规定进行专项分包。分包人的资格能力应与其分包工程的标准和规模相适应。其中：交通安全设施工程分包人资质要求：公路交通工程专业承包二级（公路安全设施分项）及以上，具有建设行政主管部门颁发的有效安全生产许可证。</w:t>
            </w:r>
          </w:p>
          <w:p>
            <w:pPr>
              <w:adjustRightInd w:val="0"/>
              <w:snapToGrid w:val="0"/>
              <w:spacing w:line="360" w:lineRule="auto"/>
              <w:rPr>
                <w:rFonts w:cs="Times New Roman"/>
                <w:color w:val="auto"/>
                <w:sz w:val="21"/>
                <w:szCs w:val="21"/>
                <w:highlight w:val="none"/>
              </w:rPr>
            </w:pPr>
            <w:r>
              <w:rPr>
                <w:rFonts w:hint="eastAsia" w:cs="Times New Roman"/>
                <w:color w:val="auto"/>
                <w:sz w:val="21"/>
                <w:szCs w:val="21"/>
                <w:highlight w:val="none"/>
              </w:rPr>
              <w:t>3.其他要求：</w:t>
            </w:r>
          </w:p>
          <w:p>
            <w:pPr>
              <w:adjustRightInd w:val="0"/>
              <w:snapToGrid w:val="0"/>
              <w:spacing w:line="360" w:lineRule="auto"/>
              <w:rPr>
                <w:rFonts w:cs="Times New Roman"/>
                <w:color w:val="auto"/>
                <w:sz w:val="21"/>
                <w:szCs w:val="21"/>
                <w:highlight w:val="none"/>
              </w:rPr>
            </w:pPr>
            <w:r>
              <w:rPr>
                <w:rFonts w:hint="eastAsia" w:cs="Times New Roman"/>
                <w:color w:val="auto"/>
                <w:sz w:val="21"/>
                <w:szCs w:val="21"/>
                <w:highlight w:val="none"/>
                <w:lang w:val="en-US"/>
              </w:rPr>
              <w:t>(1)</w:t>
            </w:r>
            <w:r>
              <w:rPr>
                <w:rFonts w:hint="eastAsia" w:cs="Times New Roman"/>
                <w:color w:val="auto"/>
                <w:sz w:val="21"/>
                <w:szCs w:val="21"/>
                <w:highlight w:val="none"/>
              </w:rPr>
              <w:t>投标人如有专项工程分包计划，应在投标文件中列明，明确拟分包的专项工程及规模。投标人如中标，应在本项目施工合同签订之前，将详细的分包计划（包括拟分包的专项工程、分包单位名称、资质等级等相关信息）报招标人审核直至符合要求后，方可确定分包单位。在本项目施工合同签订30日内（包括分包合同的上报、审核直至符合招标人的要求），中标人应将与分包人签订的分包合同上报招标人审核直至符合要求，否则分包工程不予开工。且分包单位必须具备与分包工程相应等级标准的资质。同时，投标人中标后的分包应满足合同条款第4.3款的相关要求。</w:t>
            </w:r>
          </w:p>
          <w:p>
            <w:pPr>
              <w:adjustRightInd w:val="0"/>
              <w:snapToGrid w:val="0"/>
              <w:spacing w:line="360" w:lineRule="auto"/>
              <w:rPr>
                <w:rFonts w:cs="Times New Roman"/>
                <w:color w:val="auto"/>
                <w:sz w:val="21"/>
                <w:szCs w:val="21"/>
                <w:highlight w:val="none"/>
              </w:rPr>
            </w:pPr>
            <w:r>
              <w:rPr>
                <w:rFonts w:hint="eastAsia" w:cs="Times New Roman"/>
                <w:color w:val="auto"/>
                <w:sz w:val="21"/>
                <w:szCs w:val="21"/>
                <w:highlight w:val="none"/>
                <w:lang w:val="en-US"/>
              </w:rPr>
              <w:t>(2)</w:t>
            </w:r>
            <w:r>
              <w:rPr>
                <w:rFonts w:hint="eastAsia" w:cs="Times New Roman"/>
                <w:color w:val="auto"/>
                <w:sz w:val="21"/>
                <w:szCs w:val="21"/>
                <w:highlight w:val="none"/>
              </w:rPr>
              <w:t>中标人分包的实施应满足《住房城乡建设部关于印发&lt;建筑业企业资质标准&gt;的通知》（建市{2014}159号）、《住房城乡建设部关于印发&lt;建筑业企业资质管理规定和资质标准实施意见&gt;的通知》（建市{2015}20号）、《住房城乡建设部关于建筑业企业资质管理有关问题的通知》（建市{2015}154号）、（建城{2009}157号）、《交通运输部关于印发公路工程施工分包管理办法的通知》（交公路发{2011}685号）等文件的规定。</w:t>
            </w:r>
          </w:p>
          <w:p>
            <w:pPr>
              <w:adjustRightInd w:val="0"/>
              <w:snapToGrid w:val="0"/>
              <w:spacing w:line="360" w:lineRule="auto"/>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rPr>
              <w:t>(</w:t>
            </w:r>
            <w:r>
              <w:rPr>
                <w:rFonts w:hint="eastAsia" w:cs="Times New Roman"/>
                <w:color w:val="auto"/>
                <w:sz w:val="21"/>
                <w:szCs w:val="21"/>
                <w:highlight w:val="none"/>
                <w:lang w:val="en-US" w:eastAsia="zh-CN"/>
              </w:rPr>
              <w:t>3</w:t>
            </w:r>
            <w:r>
              <w:rPr>
                <w:rFonts w:hint="eastAsia" w:cs="Times New Roman"/>
                <w:color w:val="auto"/>
                <w:sz w:val="21"/>
                <w:szCs w:val="21"/>
                <w:highlight w:val="none"/>
                <w:lang w:val="en-US"/>
              </w:rPr>
              <w:t>)</w:t>
            </w:r>
            <w:r>
              <w:rPr>
                <w:rFonts w:hint="eastAsia" w:cs="Times New Roman"/>
                <w:color w:val="auto"/>
                <w:sz w:val="21"/>
                <w:szCs w:val="21"/>
                <w:highlight w:val="none"/>
                <w:lang w:val="en-US" w:eastAsia="zh-CN"/>
              </w:rPr>
              <w:t>仅具有桥梁专业承包资质的投标人不得将工程分包。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2.1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构成招标文件的其他资料</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施工图纸、答疑文件、补遗文件等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2.2.1</w:t>
            </w:r>
          </w:p>
        </w:tc>
        <w:tc>
          <w:tcPr>
            <w:tcW w:w="3107"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投标人要求澄清招标文件</w:t>
            </w:r>
          </w:p>
        </w:tc>
        <w:tc>
          <w:tcPr>
            <w:tcW w:w="5198" w:type="dxa"/>
            <w:vAlign w:val="center"/>
          </w:tcPr>
          <w:p>
            <w:pPr>
              <w:spacing w:line="360" w:lineRule="atLeast"/>
              <w:rPr>
                <w:color w:val="auto"/>
                <w:sz w:val="21"/>
                <w:szCs w:val="21"/>
                <w:highlight w:val="none"/>
              </w:rPr>
            </w:pPr>
            <w:r>
              <w:rPr>
                <w:rFonts w:hint="eastAsia"/>
                <w:color w:val="auto"/>
                <w:szCs w:val="21"/>
                <w:highlight w:val="none"/>
              </w:rPr>
              <w:t>时间：递交投标文件截止之日15天前（以发出时间为准）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Merge w:val="continue"/>
            <w:vAlign w:val="center"/>
          </w:tcPr>
          <w:p>
            <w:pPr>
              <w:spacing w:line="360" w:lineRule="auto"/>
              <w:jc w:val="center"/>
              <w:rPr>
                <w:color w:val="auto"/>
                <w:sz w:val="21"/>
                <w:szCs w:val="21"/>
                <w:highlight w:val="none"/>
              </w:rPr>
            </w:pPr>
          </w:p>
        </w:tc>
        <w:tc>
          <w:tcPr>
            <w:tcW w:w="3107" w:type="dxa"/>
            <w:vMerge w:val="continue"/>
            <w:vAlign w:val="center"/>
          </w:tcPr>
          <w:p>
            <w:pPr>
              <w:spacing w:line="360" w:lineRule="auto"/>
              <w:jc w:val="center"/>
              <w:rPr>
                <w:color w:val="auto"/>
                <w:sz w:val="21"/>
                <w:szCs w:val="21"/>
                <w:highlight w:val="none"/>
              </w:rPr>
            </w:pPr>
          </w:p>
        </w:tc>
        <w:tc>
          <w:tcPr>
            <w:tcW w:w="5198" w:type="dxa"/>
            <w:vAlign w:val="center"/>
          </w:tcPr>
          <w:p>
            <w:pPr>
              <w:adjustRightInd w:val="0"/>
              <w:snapToGrid w:val="0"/>
              <w:spacing w:line="360" w:lineRule="auto"/>
              <w:rPr>
                <w:color w:val="auto"/>
                <w:sz w:val="21"/>
                <w:szCs w:val="21"/>
                <w:highlight w:val="none"/>
                <w:lang w:val="en-US"/>
              </w:rPr>
            </w:pPr>
            <w:r>
              <w:rPr>
                <w:rFonts w:hint="eastAsia"/>
                <w:color w:val="auto"/>
                <w:sz w:val="21"/>
                <w:szCs w:val="21"/>
                <w:highlight w:val="none"/>
              </w:rPr>
              <w:t>形式：</w:t>
            </w:r>
            <w:r>
              <w:rPr>
                <w:rFonts w:hint="eastAsia"/>
                <w:color w:val="auto"/>
                <w:szCs w:val="21"/>
                <w:highlight w:val="none"/>
              </w:rPr>
              <w:t>书面形式</w:t>
            </w:r>
            <w:r>
              <w:rPr>
                <w:rFonts w:hint="eastAsia"/>
                <w:color w:val="auto"/>
                <w:sz w:val="21"/>
                <w:szCs w:val="21"/>
                <w:highlight w:val="none"/>
              </w:rPr>
              <w:t>，并电话告知招标代理机构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2.2.2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招标文件澄清发出的形式</w:t>
            </w:r>
          </w:p>
        </w:tc>
        <w:tc>
          <w:tcPr>
            <w:tcW w:w="5198" w:type="dxa"/>
            <w:vAlign w:val="center"/>
          </w:tcPr>
          <w:p>
            <w:pPr>
              <w:adjustRightInd w:val="0"/>
              <w:snapToGrid w:val="0"/>
              <w:spacing w:line="360" w:lineRule="auto"/>
              <w:rPr>
                <w:color w:val="auto"/>
                <w:sz w:val="21"/>
                <w:szCs w:val="21"/>
                <w:highlight w:val="none"/>
              </w:rPr>
            </w:pPr>
            <w:r>
              <w:rPr>
                <w:rFonts w:hint="eastAsia"/>
                <w:color w:val="auto"/>
                <w:szCs w:val="21"/>
                <w:highlight w:val="none"/>
              </w:rPr>
              <w:t xml:space="preserve">书面补遗书形式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2.2.3</w:t>
            </w:r>
          </w:p>
        </w:tc>
        <w:tc>
          <w:tcPr>
            <w:tcW w:w="3107"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投标人确认收到招标文件澄清</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时间：收到澄清后24小时内（以招标代理机构发出时间为准）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Merge w:val="continue"/>
            <w:vAlign w:val="center"/>
          </w:tcPr>
          <w:p>
            <w:pPr>
              <w:spacing w:line="360" w:lineRule="auto"/>
              <w:jc w:val="center"/>
              <w:rPr>
                <w:color w:val="auto"/>
                <w:sz w:val="21"/>
                <w:szCs w:val="21"/>
                <w:highlight w:val="none"/>
              </w:rPr>
            </w:pPr>
          </w:p>
        </w:tc>
        <w:tc>
          <w:tcPr>
            <w:tcW w:w="3107" w:type="dxa"/>
            <w:vMerge w:val="continue"/>
            <w:vAlign w:val="center"/>
          </w:tcPr>
          <w:p>
            <w:pPr>
              <w:spacing w:line="360" w:lineRule="auto"/>
              <w:jc w:val="center"/>
              <w:rPr>
                <w:color w:val="auto"/>
                <w:sz w:val="21"/>
                <w:szCs w:val="21"/>
                <w:highlight w:val="none"/>
              </w:rPr>
            </w:pP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形式：</w:t>
            </w:r>
            <w:r>
              <w:rPr>
                <w:rFonts w:hint="eastAsia"/>
                <w:color w:val="auto"/>
                <w:szCs w:val="21"/>
                <w:highlight w:val="none"/>
              </w:rPr>
              <w:t>书面形式</w:t>
            </w:r>
            <w:r>
              <w:rPr>
                <w:rFonts w:hint="eastAsia"/>
                <w:color w:val="auto"/>
                <w:sz w:val="21"/>
                <w:szCs w:val="21"/>
                <w:highlight w:val="none"/>
              </w:rPr>
              <w:t>，有法定代表人或授权委托人签字，并加盖公章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2.3.1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招标文件修改发出的形式</w:t>
            </w:r>
          </w:p>
        </w:tc>
        <w:tc>
          <w:tcPr>
            <w:tcW w:w="5198" w:type="dxa"/>
            <w:vAlign w:val="center"/>
          </w:tcPr>
          <w:p>
            <w:pPr>
              <w:adjustRightInd w:val="0"/>
              <w:snapToGrid w:val="0"/>
              <w:spacing w:line="360" w:lineRule="auto"/>
              <w:rPr>
                <w:color w:val="auto"/>
                <w:sz w:val="21"/>
                <w:szCs w:val="21"/>
                <w:highlight w:val="none"/>
              </w:rPr>
            </w:pPr>
            <w:r>
              <w:rPr>
                <w:rFonts w:hint="eastAsia"/>
                <w:color w:val="auto"/>
                <w:szCs w:val="21"/>
                <w:highlight w:val="none"/>
              </w:rPr>
              <w:t>书面补遗书形式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2.3.2</w:t>
            </w:r>
          </w:p>
        </w:tc>
        <w:tc>
          <w:tcPr>
            <w:tcW w:w="3107"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投标人确认收到招标文件修改</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时间：收到修改后24 小时内（以招标代理机构发出时间为准）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Merge w:val="continue"/>
            <w:vAlign w:val="center"/>
          </w:tcPr>
          <w:p>
            <w:pPr>
              <w:spacing w:line="360" w:lineRule="auto"/>
              <w:jc w:val="center"/>
              <w:rPr>
                <w:color w:val="auto"/>
                <w:sz w:val="21"/>
                <w:szCs w:val="21"/>
                <w:highlight w:val="none"/>
              </w:rPr>
            </w:pPr>
          </w:p>
        </w:tc>
        <w:tc>
          <w:tcPr>
            <w:tcW w:w="3107" w:type="dxa"/>
            <w:vMerge w:val="continue"/>
            <w:vAlign w:val="center"/>
          </w:tcPr>
          <w:p>
            <w:pPr>
              <w:spacing w:line="360" w:lineRule="auto"/>
              <w:jc w:val="center"/>
              <w:rPr>
                <w:color w:val="auto"/>
                <w:sz w:val="21"/>
                <w:szCs w:val="21"/>
                <w:highlight w:val="none"/>
              </w:rPr>
            </w:pP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形式：</w:t>
            </w:r>
            <w:r>
              <w:rPr>
                <w:rFonts w:hint="eastAsia"/>
                <w:color w:val="auto"/>
                <w:szCs w:val="21"/>
                <w:highlight w:val="none"/>
              </w:rPr>
              <w:t>书面形式</w:t>
            </w:r>
            <w:r>
              <w:rPr>
                <w:rFonts w:hint="eastAsia"/>
                <w:color w:val="auto"/>
                <w:sz w:val="21"/>
                <w:szCs w:val="21"/>
                <w:highlight w:val="none"/>
              </w:rPr>
              <w:t>，有法定代表人或授权委托人签字，并加盖公章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3.1.1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投标文件密封形式</w:t>
            </w:r>
          </w:p>
        </w:tc>
        <w:tc>
          <w:tcPr>
            <w:tcW w:w="5198" w:type="dxa"/>
            <w:vAlign w:val="center"/>
          </w:tcPr>
          <w:p>
            <w:pPr>
              <w:pStyle w:val="87"/>
              <w:spacing w:line="360" w:lineRule="exact"/>
              <w:rPr>
                <w:color w:val="auto"/>
                <w:sz w:val="21"/>
                <w:highlight w:val="none"/>
              </w:rPr>
            </w:pPr>
            <w:r>
              <w:rPr>
                <w:rFonts w:ascii="Times New Roman" w:hAnsi="Times New Roman" w:eastAsia="Times New Roman"/>
                <w:color w:val="auto"/>
                <w:sz w:val="32"/>
                <w:highlight w:val="none"/>
              </w:rPr>
              <w:sym w:font="Wingdings 2" w:char="0052"/>
            </w:r>
            <w:r>
              <w:rPr>
                <w:color w:val="auto"/>
                <w:sz w:val="21"/>
                <w:highlight w:val="none"/>
              </w:rPr>
              <w:t>双信封</w:t>
            </w:r>
          </w:p>
          <w:p>
            <w:pPr>
              <w:adjustRightInd w:val="0"/>
              <w:snapToGrid w:val="0"/>
              <w:spacing w:line="360" w:lineRule="auto"/>
              <w:rPr>
                <w:color w:val="auto"/>
                <w:sz w:val="21"/>
                <w:szCs w:val="21"/>
                <w:highlight w:val="none"/>
              </w:rPr>
            </w:pPr>
            <w:r>
              <w:rPr>
                <w:rFonts w:ascii="Times New Roman" w:hAnsi="Times New Roman" w:eastAsia="Times New Roman"/>
                <w:color w:val="auto"/>
                <w:sz w:val="32"/>
                <w:highlight w:val="none"/>
              </w:rPr>
              <w:t>□</w:t>
            </w:r>
            <w:r>
              <w:rPr>
                <w:color w:val="auto"/>
                <w:sz w:val="21"/>
                <w:highlight w:val="none"/>
              </w:rPr>
              <w:t>单信封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3.1.1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构成投标文件的其他资料</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lang w:val="en-US"/>
              </w:rPr>
              <w:t>根据评标委员会要求作出的澄清或承诺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3.2.1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增值税税金的计算方法</w:t>
            </w:r>
          </w:p>
        </w:tc>
        <w:tc>
          <w:tcPr>
            <w:tcW w:w="5198" w:type="dxa"/>
            <w:vAlign w:val="center"/>
          </w:tcPr>
          <w:p>
            <w:pPr>
              <w:spacing w:line="360" w:lineRule="atLeast"/>
              <w:rPr>
                <w:color w:val="auto"/>
                <w:szCs w:val="21"/>
                <w:highlight w:val="none"/>
              </w:rPr>
            </w:pPr>
            <w:r>
              <w:rPr>
                <w:rFonts w:hint="eastAsia"/>
                <w:color w:val="auto"/>
                <w:szCs w:val="21"/>
                <w:highlight w:val="none"/>
              </w:rPr>
              <w:t>投标报价应包括国家规定的增值税税金。</w:t>
            </w:r>
          </w:p>
          <w:p>
            <w:pPr>
              <w:adjustRightInd w:val="0"/>
              <w:snapToGrid w:val="0"/>
              <w:spacing w:line="360" w:lineRule="auto"/>
              <w:rPr>
                <w:color w:val="auto"/>
                <w:sz w:val="21"/>
                <w:szCs w:val="21"/>
                <w:highlight w:val="none"/>
                <w:lang w:val="en-US"/>
              </w:rPr>
            </w:pPr>
            <w:r>
              <w:rPr>
                <w:rFonts w:hint="eastAsia"/>
                <w:color w:val="auto"/>
                <w:sz w:val="21"/>
                <w:szCs w:val="21"/>
                <w:highlight w:val="none"/>
              </w:rPr>
              <w:t>一般计税方法，按国家现行规定执行</w:t>
            </w:r>
            <w:r>
              <w:rPr>
                <w:rFonts w:hint="eastAsia"/>
                <w:color w:val="auto"/>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3.2.1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工程量清单的填写方式</w:t>
            </w:r>
          </w:p>
        </w:tc>
        <w:tc>
          <w:tcPr>
            <w:tcW w:w="5198" w:type="dxa"/>
            <w:vAlign w:val="center"/>
          </w:tcPr>
          <w:p>
            <w:pPr>
              <w:pStyle w:val="87"/>
              <w:spacing w:line="364" w:lineRule="exact"/>
              <w:rPr>
                <w:color w:val="auto"/>
                <w:sz w:val="21"/>
                <w:highlight w:val="none"/>
              </w:rPr>
            </w:pPr>
            <w:r>
              <w:rPr>
                <w:rFonts w:ascii="Times New Roman" w:hAnsi="Times New Roman" w:eastAsia="Times New Roman"/>
                <w:color w:val="auto"/>
                <w:sz w:val="32"/>
                <w:highlight w:val="none"/>
              </w:rPr>
              <w:sym w:font="Wingdings 2" w:char="0052"/>
            </w:r>
            <w:r>
              <w:rPr>
                <w:color w:val="auto"/>
                <w:sz w:val="21"/>
                <w:highlight w:val="none"/>
              </w:rPr>
              <w:t>投标人按照招标人提供的书面工程量清单填写工</w:t>
            </w:r>
          </w:p>
          <w:p>
            <w:pPr>
              <w:adjustRightInd w:val="0"/>
              <w:snapToGrid w:val="0"/>
              <w:spacing w:line="360" w:lineRule="auto"/>
              <w:rPr>
                <w:color w:val="auto"/>
                <w:sz w:val="21"/>
                <w:szCs w:val="21"/>
                <w:highlight w:val="none"/>
              </w:rPr>
            </w:pPr>
            <w:r>
              <w:rPr>
                <w:color w:val="auto"/>
                <w:sz w:val="21"/>
                <w:highlight w:val="none"/>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3.2.3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报价方式</w:t>
            </w:r>
          </w:p>
        </w:tc>
        <w:tc>
          <w:tcPr>
            <w:tcW w:w="5198" w:type="dxa"/>
            <w:vAlign w:val="center"/>
          </w:tcPr>
          <w:p>
            <w:pPr>
              <w:pStyle w:val="87"/>
              <w:spacing w:line="359" w:lineRule="exact"/>
              <w:rPr>
                <w:color w:val="auto"/>
                <w:sz w:val="21"/>
                <w:highlight w:val="none"/>
              </w:rPr>
            </w:pPr>
            <w:r>
              <w:rPr>
                <w:rFonts w:ascii="Times New Roman" w:hAnsi="Times New Roman" w:eastAsia="Times New Roman"/>
                <w:color w:val="auto"/>
                <w:sz w:val="32"/>
                <w:highlight w:val="none"/>
              </w:rPr>
              <w:sym w:font="Wingdings 2" w:char="00A3"/>
            </w:r>
            <w:r>
              <w:rPr>
                <w:color w:val="auto"/>
                <w:sz w:val="21"/>
                <w:highlight w:val="none"/>
              </w:rPr>
              <w:t>单价</w:t>
            </w:r>
          </w:p>
          <w:p>
            <w:pPr>
              <w:adjustRightInd w:val="0"/>
              <w:snapToGrid w:val="0"/>
              <w:spacing w:line="360" w:lineRule="auto"/>
              <w:rPr>
                <w:color w:val="auto"/>
                <w:sz w:val="21"/>
                <w:szCs w:val="21"/>
                <w:highlight w:val="none"/>
              </w:rPr>
            </w:pPr>
            <w:r>
              <w:rPr>
                <w:rFonts w:ascii="Times New Roman" w:hAnsi="Times New Roman" w:eastAsia="Times New Roman"/>
                <w:color w:val="auto"/>
                <w:sz w:val="32"/>
                <w:highlight w:val="none"/>
              </w:rPr>
              <w:sym w:font="Wingdings 2" w:char="0052"/>
            </w:r>
            <w:r>
              <w:rPr>
                <w:color w:val="auto"/>
                <w:sz w:val="21"/>
                <w:highlight w:val="none"/>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3.2.6</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是否接受调价函</w:t>
            </w:r>
          </w:p>
        </w:tc>
        <w:tc>
          <w:tcPr>
            <w:tcW w:w="5198" w:type="dxa"/>
            <w:vAlign w:val="center"/>
          </w:tcPr>
          <w:p>
            <w:pPr>
              <w:pStyle w:val="87"/>
              <w:spacing w:line="359" w:lineRule="exact"/>
              <w:rPr>
                <w:color w:val="auto"/>
                <w:sz w:val="21"/>
                <w:highlight w:val="none"/>
              </w:rPr>
            </w:pPr>
            <w:r>
              <w:rPr>
                <w:rFonts w:ascii="Times New Roman" w:hAnsi="Times New Roman" w:eastAsia="Times New Roman"/>
                <w:color w:val="auto"/>
                <w:sz w:val="32"/>
                <w:highlight w:val="none"/>
              </w:rPr>
              <w:sym w:font="Wingdings 2" w:char="00A3"/>
            </w:r>
            <w:r>
              <w:rPr>
                <w:color w:val="auto"/>
                <w:sz w:val="21"/>
                <w:highlight w:val="none"/>
              </w:rPr>
              <w:t>是</w:t>
            </w:r>
          </w:p>
          <w:p>
            <w:pPr>
              <w:adjustRightInd w:val="0"/>
              <w:snapToGrid w:val="0"/>
              <w:spacing w:line="360" w:lineRule="auto"/>
              <w:rPr>
                <w:color w:val="auto"/>
                <w:sz w:val="21"/>
                <w:szCs w:val="21"/>
                <w:highlight w:val="none"/>
              </w:rPr>
            </w:pPr>
            <w:r>
              <w:rPr>
                <w:rFonts w:ascii="Times New Roman" w:hAnsi="Times New Roman" w:eastAsia="Times New Roman"/>
                <w:color w:val="auto"/>
                <w:sz w:val="32"/>
                <w:highlight w:val="none"/>
              </w:rPr>
              <w:sym w:font="Wingdings 2" w:char="0052"/>
            </w:r>
            <w:r>
              <w:rPr>
                <w:color w:val="auto"/>
                <w:sz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3.2.8</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最高投标限价</w:t>
            </w:r>
          </w:p>
        </w:tc>
        <w:tc>
          <w:tcPr>
            <w:tcW w:w="5198" w:type="dxa"/>
            <w:vAlign w:val="center"/>
          </w:tcPr>
          <w:p>
            <w:pPr>
              <w:pStyle w:val="87"/>
              <w:spacing w:line="361" w:lineRule="exact"/>
              <w:rPr>
                <w:color w:val="auto"/>
                <w:sz w:val="21"/>
                <w:highlight w:val="none"/>
              </w:rPr>
            </w:pPr>
            <w:r>
              <w:rPr>
                <w:rFonts w:ascii="Times New Roman" w:hAnsi="Times New Roman" w:eastAsia="Times New Roman"/>
                <w:color w:val="auto"/>
                <w:sz w:val="32"/>
                <w:highlight w:val="none"/>
              </w:rPr>
              <w:t>□</w:t>
            </w:r>
            <w:r>
              <w:rPr>
                <w:color w:val="auto"/>
                <w:sz w:val="21"/>
                <w:highlight w:val="none"/>
              </w:rPr>
              <w:t>无</w:t>
            </w:r>
          </w:p>
          <w:p>
            <w:pPr>
              <w:adjustRightInd w:val="0"/>
              <w:snapToGrid w:val="0"/>
              <w:spacing w:line="360" w:lineRule="auto"/>
              <w:rPr>
                <w:color w:val="auto"/>
                <w:sz w:val="21"/>
                <w:szCs w:val="21"/>
                <w:highlight w:val="none"/>
              </w:rPr>
            </w:pPr>
            <w:r>
              <w:rPr>
                <w:rFonts w:ascii="Times New Roman" w:hAnsi="Times New Roman" w:eastAsia="Times New Roman"/>
                <w:color w:val="auto"/>
                <w:sz w:val="32"/>
                <w:highlight w:val="none"/>
              </w:rPr>
              <w:sym w:font="Wingdings 2" w:char="0052"/>
            </w:r>
            <w:r>
              <w:rPr>
                <w:color w:val="auto"/>
                <w:sz w:val="21"/>
                <w:highlight w:val="none"/>
              </w:rPr>
              <w:t>有</w:t>
            </w:r>
            <w:r>
              <w:rPr>
                <w:color w:val="auto"/>
                <w:spacing w:val="-60"/>
                <w:sz w:val="21"/>
                <w:highlight w:val="none"/>
              </w:rPr>
              <w:t>，</w:t>
            </w:r>
            <w:r>
              <w:rPr>
                <w:rFonts w:hint="eastAsia"/>
                <w:b/>
                <w:bCs/>
                <w:color w:val="auto"/>
                <w:sz w:val="21"/>
                <w:szCs w:val="21"/>
                <w:highlight w:val="none"/>
              </w:rPr>
              <w:t>最高投标限价为</w:t>
            </w:r>
            <w:r>
              <w:rPr>
                <w:rFonts w:hint="eastAsia"/>
                <w:b/>
                <w:bCs/>
                <w:color w:val="auto"/>
                <w:sz w:val="21"/>
                <w:szCs w:val="21"/>
                <w:highlight w:val="none"/>
                <w:u w:val="single"/>
              </w:rPr>
              <w:t xml:space="preserve"> </w:t>
            </w:r>
            <w:r>
              <w:rPr>
                <w:rFonts w:hint="eastAsia"/>
                <w:b/>
                <w:bCs/>
                <w:color w:val="auto"/>
                <w:sz w:val="21"/>
                <w:szCs w:val="21"/>
                <w:highlight w:val="none"/>
                <w:u w:val="single"/>
                <w:lang w:val="en-US"/>
              </w:rPr>
              <w:t xml:space="preserve">46,635,370.00 </w:t>
            </w:r>
            <w:r>
              <w:rPr>
                <w:rFonts w:hint="eastAsia"/>
                <w:b/>
                <w:bCs/>
                <w:color w:val="auto"/>
                <w:sz w:val="21"/>
                <w:szCs w:val="21"/>
                <w:highlight w:val="none"/>
                <w:u w:val="single"/>
              </w:rPr>
              <w:t xml:space="preserve"> </w:t>
            </w:r>
            <w:r>
              <w:rPr>
                <w:rFonts w:hint="eastAsia"/>
                <w:b/>
                <w:bCs/>
                <w:color w:val="auto"/>
                <w:sz w:val="21"/>
                <w:szCs w:val="21"/>
                <w:highlight w:val="none"/>
              </w:rPr>
              <w:t>元（</w:t>
            </w:r>
            <w:r>
              <w:rPr>
                <w:rFonts w:hint="eastAsia"/>
                <w:b/>
                <w:bCs/>
                <w:color w:val="auto"/>
                <w:sz w:val="21"/>
                <w:szCs w:val="21"/>
                <w:highlight w:val="none"/>
                <w:lang w:val="en-US"/>
              </w:rPr>
              <w:t>含暂列金额</w:t>
            </w:r>
            <w:r>
              <w:rPr>
                <w:rFonts w:hint="eastAsia"/>
                <w:b/>
                <w:bCs/>
                <w:color w:val="auto"/>
                <w:sz w:val="21"/>
                <w:szCs w:val="21"/>
                <w:highlight w:val="none"/>
              </w:rPr>
              <w:t>）。投标人投标报价不得超过最高投标限价，否则按</w:t>
            </w:r>
            <w:r>
              <w:rPr>
                <w:rFonts w:hint="eastAsia"/>
                <w:b/>
                <w:bCs/>
                <w:color w:val="auto"/>
                <w:sz w:val="21"/>
                <w:szCs w:val="21"/>
                <w:highlight w:val="none"/>
                <w:lang w:val="en-US"/>
              </w:rPr>
              <w:t>无效投标</w:t>
            </w:r>
            <w:r>
              <w:rPr>
                <w:rFonts w:hint="eastAsia"/>
                <w:b/>
                <w:bCs/>
                <w:color w:val="auto"/>
                <w:sz w:val="21"/>
                <w:szCs w:val="21"/>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3.2.9</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投标报价的其他要求</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详见工程量清单编制说明及投标报价说明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3.3.1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投标有效期</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自投标人提交投标文件截止之日起计算90日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3.4.1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投标保证金</w:t>
            </w:r>
          </w:p>
        </w:tc>
        <w:tc>
          <w:tcPr>
            <w:tcW w:w="5198" w:type="dxa"/>
            <w:vAlign w:val="center"/>
          </w:tcPr>
          <w:p>
            <w:pPr>
              <w:pStyle w:val="87"/>
              <w:adjustRightInd w:val="0"/>
              <w:snapToGrid w:val="0"/>
              <w:spacing w:line="360" w:lineRule="auto"/>
              <w:rPr>
                <w:color w:val="auto"/>
                <w:sz w:val="21"/>
                <w:szCs w:val="21"/>
                <w:highlight w:val="none"/>
              </w:rPr>
            </w:pPr>
            <w:r>
              <w:rPr>
                <w:rFonts w:hint="eastAsia"/>
                <w:color w:val="auto"/>
                <w:sz w:val="21"/>
                <w:szCs w:val="21"/>
                <w:highlight w:val="none"/>
              </w:rPr>
              <w:t>是否要求投标人递交投标保证金：</w:t>
            </w:r>
          </w:p>
          <w:p>
            <w:pPr>
              <w:topLinePunct/>
              <w:adjustRightInd w:val="0"/>
              <w:snapToGrid w:val="0"/>
              <w:spacing w:line="360" w:lineRule="auto"/>
              <w:rPr>
                <w:color w:val="auto"/>
                <w:sz w:val="21"/>
                <w:szCs w:val="21"/>
                <w:highlight w:val="none"/>
              </w:rPr>
            </w:pPr>
            <w:r>
              <w:rPr>
                <w:rFonts w:hint="eastAsia"/>
                <w:color w:val="auto"/>
                <w:sz w:val="21"/>
                <w:szCs w:val="21"/>
                <w:highlight w:val="none"/>
              </w:rPr>
              <w:sym w:font="Wingdings 2" w:char="0052"/>
            </w:r>
            <w:r>
              <w:rPr>
                <w:rFonts w:hint="eastAsia"/>
                <w:color w:val="auto"/>
                <w:spacing w:val="-3"/>
                <w:sz w:val="21"/>
                <w:szCs w:val="21"/>
                <w:highlight w:val="none"/>
              </w:rPr>
              <w:t>要求，</w:t>
            </w:r>
          </w:p>
          <w:p>
            <w:pPr>
              <w:topLinePunct/>
              <w:adjustRightInd w:val="0"/>
              <w:snapToGrid w:val="0"/>
              <w:spacing w:line="360" w:lineRule="auto"/>
              <w:rPr>
                <w:color w:val="auto"/>
                <w:sz w:val="21"/>
                <w:szCs w:val="21"/>
                <w:highlight w:val="none"/>
              </w:rPr>
            </w:pPr>
            <w:r>
              <w:rPr>
                <w:rFonts w:hint="eastAsia"/>
                <w:color w:val="auto"/>
                <w:sz w:val="21"/>
                <w:szCs w:val="21"/>
                <w:highlight w:val="none"/>
              </w:rPr>
              <w:t>投标人应按本项规定递交投标保证金，并作为其投标文件的组成部分。投标保证金有效期应与投标有效期一致。招标人如果按本章第3.3.3项的规定延长了投标有效期，则投标保证金的有效期也相应延长。</w:t>
            </w:r>
          </w:p>
          <w:p>
            <w:pPr>
              <w:adjustRightInd w:val="0"/>
              <w:snapToGrid w:val="0"/>
              <w:spacing w:line="360" w:lineRule="auto"/>
              <w:rPr>
                <w:color w:val="auto"/>
                <w:sz w:val="21"/>
                <w:szCs w:val="21"/>
                <w:highlight w:val="none"/>
              </w:rPr>
            </w:pPr>
            <w:r>
              <w:rPr>
                <w:rFonts w:hint="eastAsia"/>
                <w:b/>
                <w:bCs/>
                <w:color w:val="auto"/>
                <w:sz w:val="21"/>
                <w:szCs w:val="21"/>
                <w:highlight w:val="none"/>
                <w:lang w:val="en-US"/>
              </w:rPr>
              <w:t>1</w:t>
            </w:r>
            <w:r>
              <w:rPr>
                <w:rFonts w:hint="eastAsia"/>
                <w:b/>
                <w:bCs/>
                <w:color w:val="auto"/>
                <w:sz w:val="21"/>
                <w:szCs w:val="21"/>
                <w:highlight w:val="none"/>
              </w:rPr>
              <w:t>.投标保证金的金额：</w:t>
            </w:r>
            <w:r>
              <w:rPr>
                <w:rFonts w:hint="eastAsia"/>
                <w:color w:val="auto"/>
                <w:sz w:val="21"/>
                <w:szCs w:val="21"/>
                <w:highlight w:val="none"/>
                <w:lang w:val="en-US" w:eastAsia="zh-CN"/>
              </w:rPr>
              <w:t>40万元</w:t>
            </w:r>
            <w:r>
              <w:rPr>
                <w:rFonts w:hint="eastAsia"/>
                <w:color w:val="auto"/>
                <w:sz w:val="21"/>
                <w:szCs w:val="21"/>
                <w:highlight w:val="none"/>
              </w:rPr>
              <w:t>（</w:t>
            </w:r>
            <w:r>
              <w:rPr>
                <w:rFonts w:hint="eastAsia"/>
                <w:color w:val="auto"/>
                <w:sz w:val="21"/>
                <w:szCs w:val="21"/>
                <w:highlight w:val="none"/>
                <w:lang w:val="en-US" w:eastAsia="zh-CN"/>
              </w:rPr>
              <w:t>肆拾</w:t>
            </w:r>
            <w:r>
              <w:rPr>
                <w:rFonts w:hint="eastAsia"/>
                <w:color w:val="auto"/>
                <w:sz w:val="21"/>
                <w:szCs w:val="21"/>
                <w:highlight w:val="none"/>
              </w:rPr>
              <w:t>万元）；</w:t>
            </w:r>
          </w:p>
          <w:p>
            <w:pPr>
              <w:adjustRightInd w:val="0"/>
              <w:snapToGrid w:val="0"/>
              <w:spacing w:line="360" w:lineRule="auto"/>
              <w:rPr>
                <w:color w:val="auto"/>
                <w:sz w:val="21"/>
                <w:szCs w:val="21"/>
                <w:highlight w:val="none"/>
              </w:rPr>
            </w:pPr>
            <w:r>
              <w:rPr>
                <w:rFonts w:hint="eastAsia"/>
                <w:b/>
                <w:bCs/>
                <w:color w:val="auto"/>
                <w:sz w:val="21"/>
                <w:szCs w:val="21"/>
                <w:highlight w:val="none"/>
              </w:rPr>
              <w:t>2.投标保证金递交方式：</w:t>
            </w:r>
            <w:r>
              <w:rPr>
                <w:rFonts w:hint="eastAsia"/>
                <w:color w:val="auto"/>
                <w:sz w:val="21"/>
                <w:szCs w:val="21"/>
                <w:highlight w:val="none"/>
              </w:rPr>
              <w:t>银行电汇、银行保函、银行汇票、支票、信用证、专业担保公司的保证担保；</w:t>
            </w:r>
          </w:p>
          <w:p>
            <w:pPr>
              <w:adjustRightInd w:val="0"/>
              <w:snapToGrid w:val="0"/>
              <w:spacing w:line="360" w:lineRule="auto"/>
              <w:rPr>
                <w:color w:val="auto"/>
                <w:sz w:val="21"/>
                <w:szCs w:val="21"/>
                <w:highlight w:val="none"/>
              </w:rPr>
            </w:pPr>
            <w:r>
              <w:rPr>
                <w:rFonts w:hint="eastAsia"/>
                <w:b/>
                <w:bCs/>
                <w:color w:val="auto"/>
                <w:sz w:val="21"/>
                <w:szCs w:val="21"/>
                <w:highlight w:val="none"/>
              </w:rPr>
              <w:t>3.采用银行电汇形式的：</w:t>
            </w:r>
            <w:r>
              <w:rPr>
                <w:rFonts w:hint="eastAsia"/>
                <w:color w:val="auto"/>
                <w:sz w:val="21"/>
                <w:szCs w:val="21"/>
                <w:highlight w:val="none"/>
              </w:rPr>
              <w:t>投标人应在投标截止时间前足额将投标保证金从本企业的基本账户，</w:t>
            </w:r>
            <w:r>
              <w:rPr>
                <w:rFonts w:hint="eastAsia"/>
                <w:color w:val="auto"/>
                <w:sz w:val="21"/>
                <w:szCs w:val="21"/>
                <w:highlight w:val="none"/>
                <w:lang w:val="en-US"/>
              </w:rPr>
              <w:t>一次性汇至如下指定保证金专用帐号，</w:t>
            </w:r>
            <w:r>
              <w:rPr>
                <w:rFonts w:hint="eastAsia"/>
                <w:color w:val="auto"/>
                <w:sz w:val="21"/>
                <w:szCs w:val="21"/>
                <w:highlight w:val="none"/>
              </w:rPr>
              <w:t>否则，视为投标保证金无效。</w:t>
            </w:r>
          </w:p>
          <w:p>
            <w:pPr>
              <w:shd w:val="clear" w:color="auto" w:fill="FFFFFF"/>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开户行：中国农业银行沈阳砂山支行</w:t>
            </w:r>
          </w:p>
          <w:p>
            <w:pPr>
              <w:shd w:val="clear" w:color="auto" w:fill="FFFFFF"/>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账号：061880010400190125753701770</w:t>
            </w:r>
            <w:bookmarkStart w:id="4473" w:name="_GoBack"/>
            <w:bookmarkEnd w:id="4473"/>
          </w:p>
          <w:p>
            <w:pPr>
              <w:shd w:val="clear" w:color="auto" w:fill="FFFFFF"/>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开户名称：辽宁工程招标有限公司</w:t>
            </w:r>
          </w:p>
          <w:p>
            <w:pPr>
              <w:topLinePunct/>
              <w:adjustRightInd w:val="0"/>
              <w:snapToGrid w:val="0"/>
              <w:spacing w:line="360" w:lineRule="auto"/>
              <w:rPr>
                <w:color w:val="auto"/>
                <w:sz w:val="21"/>
                <w:szCs w:val="21"/>
                <w:highlight w:val="none"/>
                <w:lang w:val="en-US"/>
              </w:rPr>
            </w:pPr>
            <w:r>
              <w:rPr>
                <w:rFonts w:hint="eastAsia"/>
                <w:color w:val="auto"/>
                <w:sz w:val="21"/>
                <w:szCs w:val="21"/>
                <w:highlight w:val="none"/>
              </w:rPr>
              <w:t>投标保证金</w:t>
            </w:r>
            <w:r>
              <w:rPr>
                <w:rFonts w:hint="eastAsia"/>
                <w:color w:val="auto"/>
                <w:sz w:val="21"/>
                <w:szCs w:val="21"/>
                <w:highlight w:val="none"/>
                <w:lang w:val="en-US"/>
              </w:rPr>
              <w:t>是否</w:t>
            </w:r>
            <w:r>
              <w:rPr>
                <w:rFonts w:hint="eastAsia"/>
                <w:color w:val="auto"/>
                <w:sz w:val="21"/>
                <w:szCs w:val="21"/>
                <w:highlight w:val="none"/>
              </w:rPr>
              <w:t>到账查询电话：</w:t>
            </w:r>
            <w:r>
              <w:rPr>
                <w:rFonts w:hint="eastAsia"/>
                <w:color w:val="auto"/>
                <w:sz w:val="21"/>
                <w:szCs w:val="21"/>
                <w:highlight w:val="none"/>
                <w:lang w:val="en-US"/>
              </w:rPr>
              <w:t>024-23389240</w:t>
            </w:r>
          </w:p>
          <w:p>
            <w:pPr>
              <w:shd w:val="clear" w:color="auto" w:fill="FFFFFF"/>
              <w:adjustRightInd w:val="0"/>
              <w:snapToGrid w:val="0"/>
              <w:spacing w:line="360" w:lineRule="auto"/>
              <w:rPr>
                <w:color w:val="auto"/>
                <w:sz w:val="21"/>
                <w:szCs w:val="21"/>
                <w:highlight w:val="none"/>
              </w:rPr>
            </w:pPr>
            <w:r>
              <w:rPr>
                <w:rFonts w:hint="eastAsia"/>
                <w:color w:val="auto"/>
                <w:sz w:val="21"/>
                <w:szCs w:val="21"/>
                <w:highlight w:val="none"/>
                <w:lang w:val="en-US"/>
              </w:rPr>
              <w:t>投标保障金递交时间以到账时间为准，</w:t>
            </w:r>
            <w:r>
              <w:rPr>
                <w:rFonts w:hint="eastAsia"/>
                <w:color w:val="auto"/>
                <w:sz w:val="21"/>
                <w:szCs w:val="21"/>
                <w:highlight w:val="none"/>
              </w:rPr>
              <w:t>投标保证金的汇款单位必须与投标人名称一致，且应在汇款凭证上注明本次招标项目信息。对逾期递交或从投标人非基本账户汇出的投标保证金，视为投标保证金无效。</w:t>
            </w:r>
          </w:p>
          <w:p>
            <w:pPr>
              <w:adjustRightInd w:val="0"/>
              <w:snapToGrid w:val="0"/>
              <w:spacing w:line="360" w:lineRule="auto"/>
              <w:rPr>
                <w:color w:val="auto"/>
                <w:sz w:val="21"/>
                <w:szCs w:val="21"/>
                <w:highlight w:val="none"/>
              </w:rPr>
            </w:pPr>
            <w:r>
              <w:rPr>
                <w:rFonts w:hint="eastAsia"/>
                <w:b/>
                <w:bCs/>
                <w:color w:val="auto"/>
                <w:sz w:val="21"/>
                <w:szCs w:val="21"/>
                <w:highlight w:val="none"/>
                <w:lang w:val="en-US"/>
              </w:rPr>
              <w:t>4.</w:t>
            </w:r>
            <w:r>
              <w:rPr>
                <w:rFonts w:hint="eastAsia"/>
                <w:b/>
                <w:bCs/>
                <w:color w:val="auto"/>
                <w:sz w:val="21"/>
                <w:szCs w:val="21"/>
                <w:highlight w:val="none"/>
              </w:rPr>
              <w:t>采用其他形式</w:t>
            </w:r>
            <w:r>
              <w:rPr>
                <w:rFonts w:hint="eastAsia"/>
                <w:b/>
                <w:bCs/>
                <w:color w:val="auto"/>
                <w:sz w:val="21"/>
                <w:szCs w:val="21"/>
                <w:highlight w:val="none"/>
                <w:lang w:val="en-US"/>
              </w:rPr>
              <w:t>的：</w:t>
            </w:r>
            <w:r>
              <w:rPr>
                <w:rFonts w:hint="eastAsia"/>
                <w:color w:val="auto"/>
                <w:sz w:val="21"/>
                <w:szCs w:val="21"/>
                <w:highlight w:val="none"/>
                <w:lang w:val="en-US"/>
              </w:rPr>
              <w:t>银行</w:t>
            </w:r>
            <w:r>
              <w:rPr>
                <w:rFonts w:hint="eastAsia"/>
                <w:color w:val="auto"/>
                <w:sz w:val="21"/>
                <w:szCs w:val="21"/>
                <w:highlight w:val="none"/>
              </w:rPr>
              <w:t>保函</w:t>
            </w:r>
            <w:r>
              <w:rPr>
                <w:rFonts w:hint="eastAsia"/>
                <w:color w:val="auto"/>
                <w:sz w:val="21"/>
                <w:szCs w:val="21"/>
                <w:highlight w:val="none"/>
                <w:lang w:val="en-US"/>
              </w:rPr>
              <w:t>或担保函</w:t>
            </w:r>
            <w:r>
              <w:rPr>
                <w:rFonts w:hint="eastAsia"/>
                <w:color w:val="auto"/>
                <w:sz w:val="21"/>
                <w:szCs w:val="21"/>
                <w:highlight w:val="none"/>
              </w:rPr>
              <w:t>有效期应不短于投标文件有效期。</w:t>
            </w:r>
            <w:r>
              <w:rPr>
                <w:rFonts w:hint="eastAsia"/>
                <w:color w:val="auto"/>
                <w:sz w:val="21"/>
                <w:szCs w:val="21"/>
                <w:highlight w:val="none"/>
                <w:lang w:val="en-US"/>
              </w:rPr>
              <w:t>递交凭证</w:t>
            </w:r>
            <w:r>
              <w:rPr>
                <w:rFonts w:hint="eastAsia"/>
                <w:color w:val="auto"/>
                <w:sz w:val="21"/>
                <w:szCs w:val="21"/>
                <w:highlight w:val="none"/>
              </w:rPr>
              <w:t>原件单独密封，</w:t>
            </w:r>
            <w:r>
              <w:rPr>
                <w:rFonts w:hint="eastAsia"/>
                <w:color w:val="auto"/>
                <w:sz w:val="21"/>
                <w:szCs w:val="21"/>
                <w:highlight w:val="none"/>
                <w:lang w:val="en-US"/>
              </w:rPr>
              <w:t>并</w:t>
            </w:r>
            <w:r>
              <w:rPr>
                <w:rFonts w:hint="eastAsia"/>
                <w:color w:val="auto"/>
                <w:sz w:val="21"/>
                <w:szCs w:val="21"/>
                <w:highlight w:val="none"/>
              </w:rPr>
              <w:t>在递交投标文件截止时间之前和投标文件一同邮寄递交至辽宁省鞍山市铁西区人民路269-271号 鞍山市公共资源交易中心。接收人：孟小龙，联系电话： 13604227393。</w:t>
            </w:r>
          </w:p>
          <w:p>
            <w:pPr>
              <w:shd w:val="clear" w:color="auto" w:fill="FFFFFF"/>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以上递交</w:t>
            </w:r>
            <w:r>
              <w:rPr>
                <w:rFonts w:hint="eastAsia"/>
                <w:color w:val="auto"/>
                <w:sz w:val="21"/>
                <w:szCs w:val="21"/>
                <w:highlight w:val="none"/>
              </w:rPr>
              <w:t>投标保证金或投标担保</w:t>
            </w:r>
            <w:r>
              <w:rPr>
                <w:rFonts w:hint="eastAsia"/>
                <w:color w:val="auto"/>
                <w:sz w:val="21"/>
                <w:szCs w:val="21"/>
                <w:highlight w:val="none"/>
                <w:lang w:val="en-US"/>
              </w:rPr>
              <w:t>等</w:t>
            </w:r>
            <w:r>
              <w:rPr>
                <w:rFonts w:hint="eastAsia"/>
                <w:color w:val="auto"/>
                <w:sz w:val="21"/>
                <w:szCs w:val="21"/>
                <w:highlight w:val="none"/>
              </w:rPr>
              <w:t>均须在</w:t>
            </w:r>
            <w:r>
              <w:rPr>
                <w:rFonts w:hint="eastAsia"/>
                <w:color w:val="auto"/>
                <w:sz w:val="21"/>
                <w:szCs w:val="21"/>
                <w:highlight w:val="none"/>
                <w:lang w:val="en-US"/>
              </w:rPr>
              <w:t>递交投标文件截止时间前</w:t>
            </w:r>
            <w:r>
              <w:rPr>
                <w:rFonts w:hint="eastAsia"/>
                <w:color w:val="auto"/>
                <w:sz w:val="21"/>
                <w:szCs w:val="21"/>
                <w:highlight w:val="none"/>
              </w:rPr>
              <w:t>完成，有关缴纳凭证</w:t>
            </w:r>
            <w:r>
              <w:rPr>
                <w:rFonts w:hint="eastAsia"/>
                <w:color w:val="auto"/>
                <w:sz w:val="21"/>
                <w:szCs w:val="21"/>
                <w:highlight w:val="none"/>
                <w:lang w:val="en-US"/>
              </w:rPr>
              <w:t>复印件附在投标文件中</w:t>
            </w:r>
            <w:r>
              <w:rPr>
                <w:rFonts w:hint="eastAsia"/>
                <w:color w:val="auto"/>
                <w:sz w:val="21"/>
                <w:szCs w:val="21"/>
                <w:highlight w:val="none"/>
              </w:rPr>
              <w:t>。投标文件中未附有缴纳投标保证金或投标担保</w:t>
            </w:r>
            <w:r>
              <w:rPr>
                <w:rFonts w:hint="eastAsia"/>
                <w:color w:val="auto"/>
                <w:sz w:val="21"/>
                <w:szCs w:val="21"/>
                <w:highlight w:val="none"/>
                <w:lang w:val="en-US"/>
              </w:rPr>
              <w:t>等</w:t>
            </w:r>
            <w:r>
              <w:rPr>
                <w:rFonts w:hint="eastAsia"/>
                <w:color w:val="auto"/>
                <w:sz w:val="21"/>
                <w:szCs w:val="21"/>
                <w:highlight w:val="none"/>
              </w:rPr>
              <w:t>有关凭证的，其投标文件</w:t>
            </w:r>
            <w:r>
              <w:rPr>
                <w:rFonts w:hint="eastAsia"/>
                <w:color w:val="auto"/>
                <w:sz w:val="21"/>
                <w:szCs w:val="21"/>
                <w:highlight w:val="none"/>
                <w:lang w:val="en-US"/>
              </w:rPr>
              <w:t>将按无效投标处理。</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投标人应确保保证金其他形式的有效性及真实性，如发现投标人存在弄虚作假行为，其投标将被否决，且招标人将上报省级交通主管部门，作为不良记录纳入公路建设市场信用信息管理系统。</w:t>
            </w:r>
          </w:p>
          <w:p>
            <w:pPr>
              <w:shd w:val="clear" w:color="auto" w:fill="FFFFFF"/>
              <w:adjustRightInd w:val="0"/>
              <w:snapToGrid w:val="0"/>
              <w:spacing w:line="360" w:lineRule="auto"/>
              <w:rPr>
                <w:color w:val="auto"/>
                <w:sz w:val="21"/>
                <w:szCs w:val="21"/>
                <w:highlight w:val="none"/>
                <w:lang w:val="en-US"/>
              </w:rPr>
            </w:pPr>
            <w:r>
              <w:rPr>
                <w:rFonts w:hint="eastAsia"/>
                <w:color w:val="auto"/>
                <w:sz w:val="21"/>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3.4.4</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其他可以不予退还投标保证金的情形</w:t>
            </w:r>
          </w:p>
        </w:tc>
        <w:tc>
          <w:tcPr>
            <w:tcW w:w="5198" w:type="dxa"/>
            <w:vAlign w:val="center"/>
          </w:tcPr>
          <w:p>
            <w:pPr>
              <w:adjustRightInd w:val="0"/>
              <w:snapToGrid w:val="0"/>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投标人扰乱开标大会秩序；</w:t>
            </w:r>
          </w:p>
          <w:p>
            <w:pPr>
              <w:adjustRightInd w:val="0"/>
              <w:snapToGrid w:val="0"/>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投标人不接受依据评标办法的规定对其投标文件中细微偏差进行澄清和补正；</w:t>
            </w:r>
          </w:p>
          <w:p>
            <w:pPr>
              <w:adjustRightInd w:val="0"/>
              <w:snapToGrid w:val="0"/>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w:t>
            </w:r>
            <w:r>
              <w:rPr>
                <w:rFonts w:hint="eastAsia" w:asciiTheme="minorEastAsia" w:hAnsiTheme="minorEastAsia" w:eastAsiaTheme="minorEastAsia" w:cstheme="minorEastAsia"/>
                <w:color w:val="auto"/>
                <w:sz w:val="21"/>
                <w:szCs w:val="21"/>
                <w:highlight w:val="none"/>
              </w:rPr>
              <w:t>投标人有串标、围标、“挂靠”其他单位参与投标，贿赂评标专家或招标工作人员，以及其他违反国家招标投标管理有关规定的行为；</w:t>
            </w:r>
          </w:p>
          <w:p>
            <w:pPr>
              <w:adjustRightInd w:val="0"/>
              <w:snapToGrid w:val="0"/>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4.</w:t>
            </w:r>
            <w:r>
              <w:rPr>
                <w:rFonts w:hint="eastAsia" w:asciiTheme="minorEastAsia" w:hAnsiTheme="minorEastAsia" w:eastAsiaTheme="minorEastAsia" w:cstheme="minorEastAsia"/>
                <w:color w:val="auto"/>
                <w:sz w:val="21"/>
                <w:szCs w:val="21"/>
                <w:highlight w:val="none"/>
              </w:rPr>
              <w:t>投标人提交了虚假资料；</w:t>
            </w:r>
          </w:p>
          <w:p>
            <w:pPr>
              <w:adjustRightInd w:val="0"/>
              <w:snapToGrid w:val="0"/>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5.</w:t>
            </w:r>
            <w:r>
              <w:rPr>
                <w:rFonts w:hint="eastAsia" w:asciiTheme="minorEastAsia" w:hAnsiTheme="minorEastAsia" w:eastAsiaTheme="minorEastAsia" w:cstheme="minorEastAsia"/>
                <w:color w:val="auto"/>
                <w:sz w:val="21"/>
                <w:szCs w:val="21"/>
                <w:highlight w:val="none"/>
              </w:rPr>
              <w:t>投标人违反投标文件中承诺内容的；</w:t>
            </w:r>
          </w:p>
          <w:p>
            <w:pPr>
              <w:adjustRightInd w:val="0"/>
              <w:snapToGrid w:val="0"/>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6</w:t>
            </w:r>
            <w:r>
              <w:rPr>
                <w:rFonts w:hint="eastAsia" w:asciiTheme="minorEastAsia" w:hAnsiTheme="minorEastAsia" w:eastAsiaTheme="minorEastAsia" w:cstheme="minorEastAsia"/>
                <w:color w:val="auto"/>
                <w:sz w:val="21"/>
                <w:szCs w:val="21"/>
                <w:highlight w:val="none"/>
              </w:rPr>
              <w:t>.中标后拒不缴纳相关费用的；</w:t>
            </w:r>
          </w:p>
          <w:p>
            <w:pPr>
              <w:adjustRightInd w:val="0"/>
              <w:snapToGrid w:val="0"/>
              <w:spacing w:line="360" w:lineRule="auto"/>
              <w:rPr>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7</w:t>
            </w:r>
            <w:r>
              <w:rPr>
                <w:rFonts w:hint="eastAsia" w:asciiTheme="minorEastAsia" w:hAnsiTheme="minorEastAsia" w:eastAsiaTheme="minorEastAsia" w:cstheme="minorEastAsia"/>
                <w:color w:val="auto"/>
                <w:sz w:val="21"/>
                <w:szCs w:val="21"/>
                <w:highlight w:val="none"/>
              </w:rPr>
              <w:t>.收到领取中标通知书的通知而拒不领取的。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3.5</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资格审查资料的特殊要求</w:t>
            </w:r>
          </w:p>
        </w:tc>
        <w:tc>
          <w:tcPr>
            <w:tcW w:w="5198" w:type="dxa"/>
            <w:vAlign w:val="center"/>
          </w:tcPr>
          <w:p>
            <w:pPr>
              <w:pStyle w:val="87"/>
              <w:adjustRightInd w:val="0"/>
              <w:snapToGrid w:val="0"/>
              <w:spacing w:line="360" w:lineRule="auto"/>
              <w:rPr>
                <w:color w:val="auto"/>
                <w:sz w:val="21"/>
                <w:highlight w:val="none"/>
              </w:rPr>
            </w:pPr>
            <w:r>
              <w:rPr>
                <w:rFonts w:ascii="Times New Roman" w:hAnsi="Times New Roman" w:eastAsia="Times New Roman"/>
                <w:color w:val="auto"/>
                <w:sz w:val="32"/>
                <w:highlight w:val="none"/>
              </w:rPr>
              <w:t>□</w:t>
            </w:r>
            <w:r>
              <w:rPr>
                <w:color w:val="auto"/>
                <w:sz w:val="21"/>
                <w:highlight w:val="none"/>
              </w:rPr>
              <w:t>无</w:t>
            </w:r>
          </w:p>
          <w:p>
            <w:pPr>
              <w:adjustRightInd w:val="0"/>
              <w:snapToGrid w:val="0"/>
              <w:spacing w:line="360" w:lineRule="auto"/>
              <w:rPr>
                <w:color w:val="auto"/>
                <w:sz w:val="21"/>
                <w:szCs w:val="21"/>
                <w:highlight w:val="none"/>
              </w:rPr>
            </w:pPr>
            <w:r>
              <w:rPr>
                <w:rFonts w:ascii="Times New Roman" w:hAnsi="Times New Roman" w:eastAsia="Times New Roman"/>
                <w:color w:val="auto"/>
                <w:sz w:val="32"/>
                <w:highlight w:val="none"/>
              </w:rPr>
              <w:sym w:font="Wingdings 2" w:char="0052"/>
            </w:r>
            <w:r>
              <w:rPr>
                <w:color w:val="auto"/>
                <w:sz w:val="21"/>
                <w:highlight w:val="none"/>
              </w:rPr>
              <w:t>有，</w:t>
            </w:r>
            <w:r>
              <w:rPr>
                <w:rFonts w:hint="eastAsia"/>
                <w:bCs/>
                <w:color w:val="auto"/>
                <w:szCs w:val="21"/>
                <w:highlight w:val="none"/>
              </w:rPr>
              <w:t>具体要求：投标文件“资格审查资料”各项表格应提供的证明材料以本附表各附录中的规定为准。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3.5.2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近年财务状况的年份要求</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201</w:t>
            </w:r>
            <w:r>
              <w:rPr>
                <w:rFonts w:hint="eastAsia"/>
                <w:color w:val="auto"/>
                <w:sz w:val="21"/>
                <w:szCs w:val="21"/>
                <w:highlight w:val="none"/>
                <w:lang w:val="en-US"/>
              </w:rPr>
              <w:t>7</w:t>
            </w:r>
            <w:r>
              <w:rPr>
                <w:rFonts w:hint="eastAsia"/>
                <w:color w:val="auto"/>
                <w:sz w:val="21"/>
                <w:szCs w:val="21"/>
                <w:highlight w:val="none"/>
              </w:rPr>
              <w:t>年至201</w:t>
            </w:r>
            <w:r>
              <w:rPr>
                <w:rFonts w:hint="eastAsia"/>
                <w:color w:val="auto"/>
                <w:sz w:val="21"/>
                <w:szCs w:val="21"/>
                <w:highlight w:val="none"/>
                <w:lang w:val="en-US"/>
              </w:rPr>
              <w:t>9</w:t>
            </w:r>
            <w:r>
              <w:rPr>
                <w:rFonts w:hint="eastAsia"/>
                <w:color w:val="auto"/>
                <w:sz w:val="21"/>
                <w:szCs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3.5.3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近年完成的类似项目情况的时</w:t>
            </w:r>
          </w:p>
          <w:p>
            <w:pPr>
              <w:spacing w:line="360" w:lineRule="auto"/>
              <w:jc w:val="center"/>
              <w:rPr>
                <w:color w:val="auto"/>
                <w:sz w:val="21"/>
                <w:szCs w:val="21"/>
                <w:highlight w:val="none"/>
              </w:rPr>
            </w:pPr>
            <w:r>
              <w:rPr>
                <w:rFonts w:hint="eastAsia"/>
                <w:color w:val="auto"/>
                <w:sz w:val="21"/>
                <w:szCs w:val="21"/>
                <w:highlight w:val="none"/>
              </w:rPr>
              <w:t>间要求</w:t>
            </w:r>
          </w:p>
        </w:tc>
        <w:tc>
          <w:tcPr>
            <w:tcW w:w="5198" w:type="dxa"/>
            <w:vAlign w:val="center"/>
          </w:tcPr>
          <w:p>
            <w:pPr>
              <w:adjustRightInd w:val="0"/>
              <w:snapToGrid w:val="0"/>
              <w:spacing w:line="360" w:lineRule="auto"/>
              <w:rPr>
                <w:color w:val="auto"/>
                <w:sz w:val="21"/>
                <w:szCs w:val="21"/>
                <w:highlight w:val="none"/>
              </w:rPr>
            </w:pPr>
            <w:r>
              <w:rPr>
                <w:rFonts w:hint="eastAsia"/>
                <w:color w:val="auto"/>
                <w:sz w:val="21"/>
                <w:szCs w:val="21"/>
                <w:highlight w:val="none"/>
              </w:rPr>
              <w:t>201</w:t>
            </w:r>
            <w:r>
              <w:rPr>
                <w:rFonts w:hint="eastAsia"/>
                <w:color w:val="auto"/>
                <w:sz w:val="21"/>
                <w:szCs w:val="21"/>
                <w:highlight w:val="none"/>
                <w:lang w:val="en-US"/>
              </w:rPr>
              <w:t>6</w:t>
            </w:r>
            <w:r>
              <w:rPr>
                <w:rFonts w:hint="eastAsia"/>
                <w:color w:val="auto"/>
                <w:sz w:val="21"/>
                <w:szCs w:val="21"/>
                <w:highlight w:val="none"/>
              </w:rPr>
              <w:t>年1月1日至今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3.6.1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是否允许递交备选投标方案</w:t>
            </w:r>
          </w:p>
        </w:tc>
        <w:tc>
          <w:tcPr>
            <w:tcW w:w="5198" w:type="dxa"/>
            <w:vAlign w:val="center"/>
          </w:tcPr>
          <w:p>
            <w:pPr>
              <w:pStyle w:val="87"/>
              <w:spacing w:line="359" w:lineRule="exact"/>
              <w:rPr>
                <w:color w:val="auto"/>
                <w:sz w:val="21"/>
                <w:highlight w:val="none"/>
              </w:rPr>
            </w:pPr>
            <w:r>
              <w:rPr>
                <w:rFonts w:ascii="Times New Roman" w:hAnsi="Times New Roman" w:eastAsia="Times New Roman"/>
                <w:color w:val="auto"/>
                <w:sz w:val="32"/>
                <w:highlight w:val="none"/>
              </w:rPr>
              <w:sym w:font="Wingdings 2" w:char="0052"/>
            </w:r>
            <w:r>
              <w:rPr>
                <w:color w:val="auto"/>
                <w:sz w:val="21"/>
                <w:highlight w:val="none"/>
              </w:rPr>
              <w:t>不允许</w:t>
            </w:r>
          </w:p>
          <w:p>
            <w:pPr>
              <w:adjustRightInd w:val="0"/>
              <w:snapToGrid w:val="0"/>
              <w:spacing w:line="360" w:lineRule="auto"/>
              <w:rPr>
                <w:color w:val="auto"/>
                <w:sz w:val="21"/>
                <w:szCs w:val="21"/>
                <w:highlight w:val="none"/>
              </w:rPr>
            </w:pPr>
            <w:r>
              <w:rPr>
                <w:rFonts w:ascii="Times New Roman" w:hAnsi="Times New Roman" w:eastAsia="Times New Roman"/>
                <w:color w:val="auto"/>
                <w:sz w:val="32"/>
                <w:highlight w:val="none"/>
              </w:rPr>
              <w:t>□</w:t>
            </w:r>
            <w:r>
              <w:rPr>
                <w:color w:val="auto"/>
                <w:sz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3.7.4</w:t>
            </w:r>
          </w:p>
        </w:tc>
        <w:tc>
          <w:tcPr>
            <w:tcW w:w="3107" w:type="dxa"/>
            <w:vAlign w:val="center"/>
          </w:tcPr>
          <w:p>
            <w:pPr>
              <w:spacing w:line="360" w:lineRule="auto"/>
              <w:jc w:val="center"/>
              <w:rPr>
                <w:color w:val="auto"/>
                <w:sz w:val="21"/>
                <w:szCs w:val="21"/>
                <w:highlight w:val="none"/>
              </w:rPr>
            </w:pPr>
          </w:p>
          <w:p>
            <w:pPr>
              <w:spacing w:line="360" w:lineRule="auto"/>
              <w:jc w:val="center"/>
              <w:rPr>
                <w:color w:val="auto"/>
                <w:sz w:val="21"/>
                <w:szCs w:val="21"/>
                <w:highlight w:val="none"/>
              </w:rPr>
            </w:pPr>
            <w:r>
              <w:rPr>
                <w:rFonts w:hint="eastAsia"/>
                <w:color w:val="auto"/>
                <w:sz w:val="21"/>
                <w:szCs w:val="21"/>
                <w:highlight w:val="none"/>
              </w:rPr>
              <w:t>投标文件副本份数及其他要求</w:t>
            </w:r>
          </w:p>
        </w:tc>
        <w:tc>
          <w:tcPr>
            <w:tcW w:w="5198" w:type="dxa"/>
            <w:vAlign w:val="center"/>
          </w:tcPr>
          <w:p>
            <w:pPr>
              <w:adjustRightInd w:val="0"/>
              <w:snapToGrid w:val="0"/>
              <w:spacing w:line="360" w:lineRule="auto"/>
              <w:rPr>
                <w:b/>
                <w:bCs/>
                <w:color w:val="auto"/>
                <w:szCs w:val="21"/>
                <w:highlight w:val="none"/>
                <w:lang w:val="en-US"/>
              </w:rPr>
            </w:pPr>
            <w:r>
              <w:rPr>
                <w:rFonts w:hint="eastAsia"/>
                <w:b/>
                <w:bCs/>
                <w:color w:val="auto"/>
                <w:szCs w:val="21"/>
                <w:highlight w:val="none"/>
                <w:lang w:val="en-US"/>
              </w:rPr>
              <w:t>1.份数要求：</w:t>
            </w:r>
          </w:p>
          <w:p>
            <w:pPr>
              <w:adjustRightInd w:val="0"/>
              <w:snapToGrid w:val="0"/>
              <w:spacing w:line="360" w:lineRule="auto"/>
              <w:rPr>
                <w:color w:val="auto"/>
                <w:szCs w:val="21"/>
                <w:highlight w:val="none"/>
              </w:rPr>
            </w:pPr>
            <w:r>
              <w:rPr>
                <w:rFonts w:hint="eastAsia"/>
                <w:color w:val="auto"/>
                <w:szCs w:val="21"/>
                <w:highlight w:val="none"/>
              </w:rPr>
              <w:t>本项目第一个信封（商务及技术文件）：正本1份，副本4份；</w:t>
            </w:r>
          </w:p>
          <w:p>
            <w:pPr>
              <w:adjustRightInd w:val="0"/>
              <w:snapToGrid w:val="0"/>
              <w:spacing w:line="360" w:lineRule="auto"/>
              <w:rPr>
                <w:color w:val="auto"/>
                <w:szCs w:val="21"/>
                <w:highlight w:val="none"/>
              </w:rPr>
            </w:pPr>
            <w:r>
              <w:rPr>
                <w:rFonts w:hint="eastAsia"/>
                <w:color w:val="auto"/>
                <w:szCs w:val="21"/>
                <w:highlight w:val="none"/>
              </w:rPr>
              <w:t>本项目第二个信封（报价文件）：正本1份，副本4份；</w:t>
            </w:r>
          </w:p>
          <w:p>
            <w:pPr>
              <w:adjustRightInd w:val="0"/>
              <w:snapToGrid w:val="0"/>
              <w:spacing w:line="360" w:lineRule="auto"/>
              <w:rPr>
                <w:color w:val="auto"/>
                <w:szCs w:val="21"/>
                <w:highlight w:val="none"/>
              </w:rPr>
            </w:pPr>
            <w:r>
              <w:rPr>
                <w:rFonts w:hint="eastAsia"/>
                <w:color w:val="auto"/>
                <w:szCs w:val="21"/>
                <w:highlight w:val="none"/>
              </w:rPr>
              <w:t>副本是正本的复印件。</w:t>
            </w:r>
          </w:p>
          <w:p>
            <w:pPr>
              <w:adjustRightInd w:val="0"/>
              <w:snapToGrid w:val="0"/>
              <w:spacing w:line="360" w:lineRule="auto"/>
              <w:rPr>
                <w:color w:val="auto"/>
                <w:szCs w:val="21"/>
                <w:highlight w:val="none"/>
              </w:rPr>
            </w:pPr>
            <w:r>
              <w:rPr>
                <w:rFonts w:hint="eastAsia"/>
                <w:b/>
                <w:bCs/>
                <w:color w:val="auto"/>
                <w:szCs w:val="21"/>
                <w:highlight w:val="none"/>
                <w:lang w:val="en-US"/>
              </w:rPr>
              <w:t>2.</w:t>
            </w:r>
            <w:r>
              <w:rPr>
                <w:rFonts w:hint="eastAsia"/>
                <w:b/>
                <w:bCs/>
                <w:color w:val="auto"/>
                <w:szCs w:val="21"/>
                <w:highlight w:val="none"/>
              </w:rPr>
              <w:t>是否要求提交电子版文件：</w:t>
            </w:r>
            <w:r>
              <w:rPr>
                <w:rFonts w:hint="eastAsia"/>
                <w:color w:val="auto"/>
                <w:szCs w:val="21"/>
                <w:highlight w:val="none"/>
              </w:rPr>
              <w:t>第二个信封（报价文件）正本中需提供1个</w:t>
            </w:r>
            <w:r>
              <w:rPr>
                <w:rFonts w:hint="eastAsia"/>
                <w:color w:val="auto"/>
                <w:szCs w:val="21"/>
                <w:highlight w:val="none"/>
                <w:lang w:val="en-US"/>
              </w:rPr>
              <w:t>电子版文件</w:t>
            </w:r>
            <w:r>
              <w:rPr>
                <w:rFonts w:hint="eastAsia"/>
                <w:color w:val="auto"/>
                <w:szCs w:val="21"/>
                <w:highlight w:val="none"/>
              </w:rPr>
              <w:t>U盘（U盘中应包括第一信封与第二信封全部内容）；U盘中存放的投标文件电子文件需采用doc或xls文档格式。</w:t>
            </w:r>
          </w:p>
          <w:p>
            <w:pPr>
              <w:adjustRightInd w:val="0"/>
              <w:snapToGrid w:val="0"/>
              <w:spacing w:line="360" w:lineRule="auto"/>
              <w:rPr>
                <w:color w:val="auto"/>
                <w:szCs w:val="21"/>
                <w:highlight w:val="none"/>
              </w:rPr>
            </w:pPr>
            <w:r>
              <w:rPr>
                <w:rFonts w:hint="eastAsia"/>
                <w:b/>
                <w:bCs/>
                <w:color w:val="auto"/>
                <w:szCs w:val="21"/>
                <w:highlight w:val="none"/>
                <w:lang w:val="en-US"/>
              </w:rPr>
              <w:t>3.</w:t>
            </w:r>
            <w:r>
              <w:rPr>
                <w:rFonts w:hint="eastAsia"/>
                <w:b/>
                <w:bCs/>
                <w:color w:val="auto"/>
                <w:szCs w:val="21"/>
                <w:highlight w:val="none"/>
              </w:rPr>
              <w:t>其他要求：</w:t>
            </w:r>
            <w:r>
              <w:rPr>
                <w:rFonts w:hint="eastAsia"/>
                <w:color w:val="auto"/>
                <w:szCs w:val="21"/>
                <w:highlight w:val="none"/>
              </w:rPr>
              <w:t>正本和副本的封面上应清楚地标记“正本”或“副本”的字样。当副本和正本不一致时，以正本为准；当电子文件和书面文件不一致时，以书面文件为准。</w:t>
            </w:r>
          </w:p>
          <w:p>
            <w:pPr>
              <w:adjustRightInd w:val="0"/>
              <w:snapToGrid w:val="0"/>
              <w:spacing w:line="360" w:lineRule="auto"/>
              <w:rPr>
                <w:color w:val="auto"/>
                <w:sz w:val="21"/>
                <w:szCs w:val="21"/>
                <w:highlight w:val="none"/>
                <w:lang w:val="en-US"/>
              </w:rPr>
            </w:pPr>
            <w:r>
              <w:rPr>
                <w:rFonts w:hint="eastAsia"/>
                <w:b/>
                <w:color w:val="auto"/>
                <w:szCs w:val="21"/>
                <w:highlight w:val="none"/>
              </w:rPr>
              <w:t>（投标文件邮寄到</w:t>
            </w:r>
            <w:r>
              <w:rPr>
                <w:b/>
                <w:color w:val="auto"/>
                <w:szCs w:val="21"/>
                <w:highlight w:val="none"/>
              </w:rPr>
              <w:t>辽宁省鞍山市铁西区人民路269-271号 鞍山市公共资源交易中心</w:t>
            </w:r>
            <w:r>
              <w:rPr>
                <w:rFonts w:hint="eastAsia"/>
                <w:b/>
                <w:color w:val="auto"/>
                <w:szCs w:val="21"/>
                <w:highlight w:val="none"/>
              </w:rPr>
              <w:t>，</w:t>
            </w:r>
            <w:r>
              <w:rPr>
                <w:b/>
                <w:color w:val="auto"/>
                <w:szCs w:val="21"/>
                <w:highlight w:val="none"/>
              </w:rPr>
              <w:t>接收人</w:t>
            </w:r>
            <w:r>
              <w:rPr>
                <w:rFonts w:hint="eastAsia"/>
                <w:b/>
                <w:color w:val="auto"/>
                <w:szCs w:val="21"/>
                <w:highlight w:val="none"/>
              </w:rPr>
              <w:t>：</w:t>
            </w:r>
            <w:r>
              <w:rPr>
                <w:b/>
                <w:color w:val="auto"/>
                <w:szCs w:val="21"/>
                <w:highlight w:val="none"/>
              </w:rPr>
              <w:t>孟小龙</w:t>
            </w:r>
            <w:r>
              <w:rPr>
                <w:rFonts w:hint="eastAsia"/>
                <w:b/>
                <w:color w:val="auto"/>
                <w:szCs w:val="21"/>
                <w:highlight w:val="none"/>
              </w:rPr>
              <w:t>，</w:t>
            </w:r>
            <w:r>
              <w:rPr>
                <w:b/>
                <w:color w:val="auto"/>
                <w:szCs w:val="21"/>
                <w:highlight w:val="none"/>
              </w:rPr>
              <w:t>联系电话</w:t>
            </w:r>
            <w:r>
              <w:rPr>
                <w:rFonts w:hint="eastAsia"/>
                <w:b/>
                <w:color w:val="auto"/>
                <w:szCs w:val="21"/>
                <w:highlight w:val="none"/>
              </w:rPr>
              <w:t>：</w:t>
            </w:r>
            <w:r>
              <w:rPr>
                <w:b/>
                <w:color w:val="auto"/>
                <w:szCs w:val="21"/>
                <w:highlight w:val="none"/>
              </w:rPr>
              <w:t>13604227393</w:t>
            </w:r>
            <w:r>
              <w:rPr>
                <w:rFonts w:hint="eastAsia"/>
                <w:b/>
                <w:color w:val="auto"/>
                <w:szCs w:val="21"/>
                <w:highlight w:val="none"/>
              </w:rPr>
              <w:t>。投标人在邮寄投标文件时应在邮寄文件最外层包裹上写明本项目名称“</w:t>
            </w:r>
            <w:r>
              <w:rPr>
                <w:rFonts w:hint="eastAsia"/>
                <w:b/>
                <w:color w:val="auto"/>
                <w:szCs w:val="21"/>
                <w:highlight w:val="none"/>
                <w:u w:val="single"/>
                <w:lang w:val="en-US"/>
              </w:rPr>
              <w:t xml:space="preserve">    （项目名称）       </w:t>
            </w:r>
            <w:r>
              <w:rPr>
                <w:rFonts w:hint="eastAsia"/>
                <w:b/>
                <w:color w:val="auto"/>
                <w:szCs w:val="21"/>
                <w:highlight w:val="none"/>
              </w:rPr>
              <w:t>”及投标人联系电话、</w:t>
            </w:r>
            <w:r>
              <w:rPr>
                <w:rFonts w:hint="eastAsia"/>
                <w:b/>
                <w:color w:val="auto"/>
                <w:szCs w:val="21"/>
                <w:highlight w:val="none"/>
                <w:lang w:val="en-US"/>
              </w:rPr>
              <w:t>联系人</w:t>
            </w:r>
            <w:r>
              <w:rPr>
                <w:rFonts w:hint="eastAsia"/>
                <w:b/>
                <w:color w:val="auto"/>
                <w:szCs w:val="21"/>
                <w:highlight w:val="none"/>
              </w:rPr>
              <w:t>，投标文件递交时间以交易中心工作人员收到投标文件时间为准）。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3.7.5</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装订的其他要求</w:t>
            </w:r>
          </w:p>
        </w:tc>
        <w:tc>
          <w:tcPr>
            <w:tcW w:w="5198" w:type="dxa"/>
            <w:vAlign w:val="center"/>
          </w:tcPr>
          <w:p>
            <w:pPr>
              <w:adjustRightInd w:val="0"/>
              <w:snapToGrid w:val="0"/>
              <w:spacing w:line="360" w:lineRule="auto"/>
              <w:rPr>
                <w:color w:val="auto"/>
                <w:sz w:val="21"/>
                <w:szCs w:val="21"/>
                <w:highlight w:val="none"/>
              </w:rPr>
            </w:pPr>
            <w:r>
              <w:rPr>
                <w:rFonts w:hint="eastAsia"/>
                <w:color w:val="auto"/>
                <w:szCs w:val="21"/>
                <w:highlight w:val="none"/>
              </w:rPr>
              <w:t>投标文件的正本与副本应分别装订成册（A4纸幅）并编制目录、且逐页标注连续页码。投标文件不得采用活页夹装订，否则，招标人对由于投标文件装订松散而造成的丢失或其他后果不承担任何责任。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tcBorders>
              <w:bottom w:val="single" w:color="000000" w:sz="6" w:space="0"/>
            </w:tcBorders>
            <w:vAlign w:val="center"/>
          </w:tcPr>
          <w:p>
            <w:pPr>
              <w:spacing w:line="360" w:lineRule="auto"/>
              <w:rPr>
                <w:color w:val="auto"/>
                <w:sz w:val="21"/>
                <w:szCs w:val="21"/>
                <w:highlight w:val="none"/>
              </w:rPr>
            </w:pPr>
            <w:r>
              <w:rPr>
                <w:rFonts w:hint="eastAsia"/>
                <w:color w:val="auto"/>
                <w:sz w:val="21"/>
                <w:szCs w:val="21"/>
                <w:highlight w:val="none"/>
              </w:rPr>
              <w:t>4.1.2</w:t>
            </w:r>
          </w:p>
        </w:tc>
        <w:tc>
          <w:tcPr>
            <w:tcW w:w="3107" w:type="dxa"/>
            <w:tcBorders>
              <w:bottom w:val="single" w:color="000000" w:sz="6" w:space="0"/>
            </w:tcBorders>
            <w:vAlign w:val="center"/>
          </w:tcPr>
          <w:p>
            <w:pPr>
              <w:spacing w:line="360" w:lineRule="auto"/>
              <w:rPr>
                <w:color w:val="auto"/>
                <w:sz w:val="21"/>
                <w:szCs w:val="21"/>
                <w:highlight w:val="none"/>
              </w:rPr>
            </w:pPr>
            <w:r>
              <w:rPr>
                <w:rFonts w:hint="eastAsia"/>
                <w:color w:val="auto"/>
                <w:sz w:val="21"/>
                <w:szCs w:val="21"/>
                <w:highlight w:val="none"/>
              </w:rPr>
              <w:t>封套上应载明的信息</w:t>
            </w:r>
          </w:p>
        </w:tc>
        <w:tc>
          <w:tcPr>
            <w:tcW w:w="5198" w:type="dxa"/>
            <w:tcBorders>
              <w:bottom w:val="single" w:color="000000" w:sz="6" w:space="0"/>
            </w:tcBorders>
          </w:tcPr>
          <w:p>
            <w:pPr>
              <w:adjustRightInd w:val="0"/>
              <w:snapToGrid w:val="0"/>
              <w:spacing w:line="360" w:lineRule="auto"/>
              <w:rPr>
                <w:color w:val="auto"/>
                <w:sz w:val="21"/>
                <w:szCs w:val="21"/>
                <w:highlight w:val="none"/>
              </w:rPr>
            </w:pPr>
            <w:r>
              <w:rPr>
                <w:rFonts w:hint="eastAsia"/>
                <w:b/>
                <w:bCs/>
                <w:color w:val="auto"/>
                <w:sz w:val="21"/>
                <w:szCs w:val="21"/>
                <w:highlight w:val="none"/>
              </w:rPr>
              <w:t>投标文件第一个信封（商务及技术文件）封套</w:t>
            </w:r>
            <w:r>
              <w:rPr>
                <w:rFonts w:hint="eastAsia"/>
                <w:color w:val="auto"/>
                <w:sz w:val="21"/>
                <w:szCs w:val="21"/>
                <w:highlight w:val="none"/>
              </w:rPr>
              <w:t xml:space="preserve">： </w:t>
            </w:r>
          </w:p>
          <w:p>
            <w:pPr>
              <w:adjustRightInd w:val="0"/>
              <w:snapToGrid w:val="0"/>
              <w:spacing w:line="360" w:lineRule="auto"/>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lang w:val="en-US"/>
              </w:rPr>
              <w:t xml:space="preserve">             </w:t>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rPr>
              <w:t>招标人地址：</w:t>
            </w:r>
            <w:r>
              <w:rPr>
                <w:rFonts w:hint="eastAsia"/>
                <w:color w:val="auto"/>
                <w:sz w:val="21"/>
                <w:szCs w:val="21"/>
                <w:highlight w:val="none"/>
                <w:u w:val="single"/>
                <w:lang w:val="en-US"/>
              </w:rPr>
              <w:t xml:space="preserve">             </w:t>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u w:val="single"/>
                <w:lang w:val="en-US"/>
              </w:rPr>
              <w:t xml:space="preserve">             </w:t>
            </w:r>
            <w:r>
              <w:rPr>
                <w:rFonts w:hint="eastAsia"/>
                <w:color w:val="auto"/>
                <w:sz w:val="21"/>
                <w:szCs w:val="21"/>
                <w:highlight w:val="none"/>
              </w:rPr>
              <w:t>（项目名称）施工招标第一个信封</w:t>
            </w:r>
          </w:p>
          <w:p>
            <w:pPr>
              <w:adjustRightInd w:val="0"/>
              <w:snapToGrid w:val="0"/>
              <w:spacing w:line="360" w:lineRule="auto"/>
              <w:rPr>
                <w:color w:val="auto"/>
                <w:sz w:val="21"/>
                <w:szCs w:val="21"/>
                <w:highlight w:val="none"/>
              </w:rPr>
            </w:pPr>
            <w:r>
              <w:rPr>
                <w:rFonts w:hint="eastAsia"/>
                <w:color w:val="auto"/>
                <w:sz w:val="21"/>
                <w:szCs w:val="21"/>
                <w:highlight w:val="none"/>
              </w:rPr>
              <w:t>（商务及技术文件）投标文件</w:t>
            </w:r>
          </w:p>
          <w:p>
            <w:pPr>
              <w:adjustRightInd w:val="0"/>
              <w:snapToGrid w:val="0"/>
              <w:spacing w:line="360" w:lineRule="auto"/>
              <w:rPr>
                <w:color w:val="auto"/>
                <w:sz w:val="21"/>
                <w:szCs w:val="21"/>
                <w:highlight w:val="none"/>
              </w:rPr>
            </w:pPr>
            <w:r>
              <w:rPr>
                <w:rFonts w:hint="eastAsia"/>
                <w:color w:val="auto"/>
                <w:sz w:val="21"/>
                <w:szCs w:val="21"/>
                <w:highlight w:val="none"/>
              </w:rPr>
              <w:t>招标项目编号：</w:t>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rPr>
              <w:t>在</w:t>
            </w:r>
            <w:r>
              <w:rPr>
                <w:rFonts w:hint="eastAsia"/>
                <w:color w:val="auto"/>
                <w:sz w:val="21"/>
                <w:szCs w:val="21"/>
                <w:highlight w:val="none"/>
                <w:u w:val="single"/>
                <w:lang w:val="en-US"/>
              </w:rPr>
              <w:t xml:space="preserve">   </w:t>
            </w:r>
            <w:r>
              <w:rPr>
                <w:rFonts w:hint="eastAsia"/>
                <w:color w:val="auto"/>
                <w:sz w:val="21"/>
                <w:szCs w:val="21"/>
                <w:highlight w:val="none"/>
              </w:rPr>
              <w:t>年</w:t>
            </w:r>
            <w:r>
              <w:rPr>
                <w:rFonts w:hint="eastAsia"/>
                <w:color w:val="auto"/>
                <w:sz w:val="21"/>
                <w:szCs w:val="21"/>
                <w:highlight w:val="none"/>
                <w:u w:val="single"/>
                <w:lang w:val="en-US"/>
              </w:rPr>
              <w:t xml:space="preserve">   </w:t>
            </w:r>
            <w:r>
              <w:rPr>
                <w:rFonts w:hint="eastAsia"/>
                <w:color w:val="auto"/>
                <w:sz w:val="21"/>
                <w:szCs w:val="21"/>
                <w:highlight w:val="none"/>
              </w:rPr>
              <w:t>月</w:t>
            </w:r>
            <w:r>
              <w:rPr>
                <w:rFonts w:hint="eastAsia"/>
                <w:color w:val="auto"/>
                <w:sz w:val="21"/>
                <w:szCs w:val="21"/>
                <w:highlight w:val="none"/>
                <w:u w:val="single"/>
                <w:lang w:val="en-US"/>
              </w:rPr>
              <w:t xml:space="preserve">   </w:t>
            </w:r>
            <w:r>
              <w:rPr>
                <w:rFonts w:hint="eastAsia"/>
                <w:color w:val="auto"/>
                <w:sz w:val="21"/>
                <w:szCs w:val="21"/>
                <w:highlight w:val="none"/>
              </w:rPr>
              <w:t>日</w:t>
            </w:r>
            <w:r>
              <w:rPr>
                <w:rFonts w:hint="eastAsia"/>
                <w:color w:val="auto"/>
                <w:sz w:val="21"/>
                <w:szCs w:val="21"/>
                <w:highlight w:val="none"/>
                <w:u w:val="single"/>
                <w:lang w:val="en-US"/>
              </w:rPr>
              <w:t xml:space="preserve">   </w:t>
            </w:r>
            <w:r>
              <w:rPr>
                <w:rFonts w:hint="eastAsia"/>
                <w:color w:val="auto"/>
                <w:sz w:val="21"/>
                <w:szCs w:val="21"/>
                <w:highlight w:val="none"/>
              </w:rPr>
              <w:t>时</w:t>
            </w:r>
            <w:r>
              <w:rPr>
                <w:rFonts w:hint="eastAsia"/>
                <w:color w:val="auto"/>
                <w:sz w:val="21"/>
                <w:szCs w:val="21"/>
                <w:highlight w:val="none"/>
                <w:u w:val="single"/>
                <w:lang w:val="en-US"/>
              </w:rPr>
              <w:t xml:space="preserve">   </w:t>
            </w:r>
            <w:r>
              <w:rPr>
                <w:rFonts w:hint="eastAsia"/>
                <w:color w:val="auto"/>
                <w:sz w:val="21"/>
                <w:szCs w:val="21"/>
                <w:highlight w:val="none"/>
              </w:rPr>
              <w:t>分前不得开启</w:t>
            </w:r>
          </w:p>
          <w:p>
            <w:pPr>
              <w:adjustRightInd w:val="0"/>
              <w:snapToGrid w:val="0"/>
              <w:spacing w:line="360" w:lineRule="auto"/>
              <w:rPr>
                <w:color w:val="auto"/>
                <w:sz w:val="21"/>
                <w:szCs w:val="21"/>
                <w:highlight w:val="none"/>
              </w:rPr>
            </w:pPr>
            <w:r>
              <w:rPr>
                <w:rFonts w:hint="eastAsia"/>
                <w:color w:val="auto"/>
                <w:sz w:val="21"/>
                <w:szCs w:val="21"/>
                <w:highlight w:val="none"/>
              </w:rPr>
              <w:t>投标人名称：</w:t>
            </w:r>
            <w:r>
              <w:rPr>
                <w:rFonts w:hint="eastAsia"/>
                <w:color w:val="auto"/>
                <w:sz w:val="21"/>
                <w:szCs w:val="21"/>
                <w:highlight w:val="none"/>
                <w:u w:val="single"/>
                <w:lang w:val="en-US"/>
              </w:rPr>
              <w:t xml:space="preserve">             </w:t>
            </w:r>
            <w:r>
              <w:rPr>
                <w:rFonts w:hint="eastAsia"/>
                <w:color w:val="auto"/>
                <w:sz w:val="21"/>
                <w:szCs w:val="21"/>
                <w:highlight w:val="none"/>
              </w:rPr>
              <w:tab/>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b/>
                <w:bCs/>
                <w:color w:val="auto"/>
                <w:sz w:val="21"/>
                <w:szCs w:val="21"/>
                <w:highlight w:val="none"/>
              </w:rPr>
              <w:t>投标文件第二个信封（报价文件）封套：</w:t>
            </w:r>
            <w:r>
              <w:rPr>
                <w:rFonts w:hint="eastAsia"/>
                <w:color w:val="auto"/>
                <w:sz w:val="21"/>
                <w:szCs w:val="21"/>
                <w:highlight w:val="none"/>
              </w:rPr>
              <w:t xml:space="preserve"> </w:t>
            </w:r>
          </w:p>
          <w:p>
            <w:pPr>
              <w:adjustRightInd w:val="0"/>
              <w:snapToGrid w:val="0"/>
              <w:spacing w:line="360" w:lineRule="auto"/>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lang w:val="en-US"/>
              </w:rPr>
              <w:t xml:space="preserve">             </w:t>
            </w:r>
            <w:r>
              <w:rPr>
                <w:rFonts w:hint="eastAsia"/>
                <w:color w:val="auto"/>
                <w:sz w:val="21"/>
                <w:szCs w:val="21"/>
                <w:highlight w:val="none"/>
              </w:rPr>
              <w:tab/>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rPr>
              <w:t>招标人地址：</w:t>
            </w:r>
            <w:r>
              <w:rPr>
                <w:rFonts w:hint="eastAsia"/>
                <w:color w:val="auto"/>
                <w:sz w:val="21"/>
                <w:szCs w:val="21"/>
                <w:highlight w:val="none"/>
                <w:u w:val="single"/>
                <w:lang w:val="en-US"/>
              </w:rPr>
              <w:t xml:space="preserve">             </w:t>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u w:val="single"/>
                <w:lang w:val="en-US"/>
              </w:rPr>
              <w:t xml:space="preserve">             </w:t>
            </w:r>
            <w:r>
              <w:rPr>
                <w:rFonts w:hint="eastAsia"/>
                <w:color w:val="auto"/>
                <w:sz w:val="21"/>
                <w:szCs w:val="21"/>
                <w:highlight w:val="none"/>
              </w:rPr>
              <w:t>（项目名称）施工招标第二个信封</w:t>
            </w:r>
          </w:p>
          <w:p>
            <w:pPr>
              <w:adjustRightInd w:val="0"/>
              <w:snapToGrid w:val="0"/>
              <w:spacing w:line="360" w:lineRule="auto"/>
              <w:rPr>
                <w:color w:val="auto"/>
                <w:sz w:val="21"/>
                <w:szCs w:val="21"/>
                <w:highlight w:val="none"/>
              </w:rPr>
            </w:pPr>
            <w:r>
              <w:rPr>
                <w:rFonts w:hint="eastAsia"/>
                <w:color w:val="auto"/>
                <w:sz w:val="21"/>
                <w:szCs w:val="21"/>
                <w:highlight w:val="none"/>
              </w:rPr>
              <w:t>（报价文件）投标文件</w:t>
            </w:r>
          </w:p>
          <w:p>
            <w:pPr>
              <w:adjustRightInd w:val="0"/>
              <w:snapToGrid w:val="0"/>
              <w:spacing w:line="360" w:lineRule="auto"/>
              <w:rPr>
                <w:color w:val="auto"/>
                <w:sz w:val="21"/>
                <w:szCs w:val="21"/>
                <w:highlight w:val="none"/>
              </w:rPr>
            </w:pPr>
            <w:r>
              <w:rPr>
                <w:rFonts w:hint="eastAsia"/>
                <w:color w:val="auto"/>
                <w:sz w:val="21"/>
                <w:szCs w:val="21"/>
                <w:highlight w:val="none"/>
              </w:rPr>
              <w:t>招标项目编号：</w:t>
            </w:r>
            <w:r>
              <w:rPr>
                <w:rFonts w:hint="eastAsia"/>
                <w:color w:val="auto"/>
                <w:sz w:val="21"/>
                <w:szCs w:val="21"/>
                <w:highlight w:val="none"/>
                <w:u w:val="single"/>
                <w:lang w:val="en-US"/>
              </w:rPr>
              <w:t xml:space="preserve">             </w:t>
            </w:r>
            <w:r>
              <w:rPr>
                <w:rFonts w:hint="eastAsia"/>
                <w:color w:val="auto"/>
                <w:sz w:val="21"/>
                <w:szCs w:val="21"/>
                <w:highlight w:val="none"/>
              </w:rPr>
              <w:tab/>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rPr>
              <w:t>在投标文件第二个信封（报价文件）开标前不得开启</w:t>
            </w:r>
          </w:p>
          <w:p>
            <w:pPr>
              <w:adjustRightInd w:val="0"/>
              <w:snapToGrid w:val="0"/>
              <w:spacing w:line="360" w:lineRule="auto"/>
              <w:rPr>
                <w:color w:val="auto"/>
                <w:sz w:val="21"/>
                <w:szCs w:val="21"/>
                <w:highlight w:val="none"/>
              </w:rPr>
            </w:pPr>
            <w:r>
              <w:rPr>
                <w:rFonts w:hint="eastAsia"/>
                <w:color w:val="auto"/>
                <w:sz w:val="21"/>
                <w:szCs w:val="21"/>
                <w:highlight w:val="none"/>
              </w:rPr>
              <w:t>投标人名称：</w:t>
            </w:r>
            <w:r>
              <w:rPr>
                <w:rFonts w:hint="eastAsia"/>
                <w:color w:val="auto"/>
                <w:sz w:val="21"/>
                <w:szCs w:val="21"/>
                <w:highlight w:val="none"/>
                <w:u w:val="single"/>
                <w:lang w:val="en-US"/>
              </w:rPr>
              <w:t xml:space="preserve">             </w:t>
            </w:r>
            <w:r>
              <w:rPr>
                <w:rFonts w:hint="eastAsia"/>
                <w:color w:val="auto"/>
                <w:sz w:val="21"/>
                <w:szCs w:val="21"/>
                <w:highlight w:val="none"/>
              </w:rPr>
              <w:tab/>
            </w:r>
            <w:r>
              <w:rPr>
                <w:rFonts w:hint="eastAsia"/>
                <w:color w:val="auto"/>
                <w:sz w:val="21"/>
                <w:szCs w:val="21"/>
                <w:highlight w:val="none"/>
              </w:rPr>
              <w:tab/>
            </w:r>
          </w:p>
          <w:p>
            <w:pPr>
              <w:adjustRightInd w:val="0"/>
              <w:snapToGrid w:val="0"/>
              <w:spacing w:line="360" w:lineRule="auto"/>
              <w:rPr>
                <w:color w:val="auto"/>
                <w:sz w:val="21"/>
                <w:szCs w:val="21"/>
                <w:highlight w:val="none"/>
                <w:u w:val="single"/>
                <w:lang w:val="en-US"/>
              </w:rPr>
            </w:pPr>
            <w:r>
              <w:rPr>
                <w:rFonts w:hint="eastAsia"/>
                <w:color w:val="auto"/>
                <w:sz w:val="21"/>
                <w:szCs w:val="21"/>
                <w:highlight w:val="none"/>
              </w:rPr>
              <w:t>投标人地址：</w:t>
            </w:r>
            <w:r>
              <w:rPr>
                <w:rFonts w:hint="eastAsia"/>
                <w:color w:val="auto"/>
                <w:sz w:val="21"/>
                <w:szCs w:val="21"/>
                <w:highlight w:val="none"/>
                <w:u w:val="single"/>
                <w:lang w:val="en-US"/>
              </w:rPr>
              <w:t xml:space="preserve">             </w:t>
            </w:r>
          </w:p>
          <w:p>
            <w:pPr>
              <w:adjustRightInd w:val="0"/>
              <w:snapToGrid w:val="0"/>
              <w:spacing w:line="360" w:lineRule="auto"/>
              <w:rPr>
                <w:b/>
                <w:bCs/>
                <w:color w:val="auto"/>
                <w:sz w:val="21"/>
                <w:szCs w:val="21"/>
                <w:highlight w:val="none"/>
              </w:rPr>
            </w:pPr>
            <w:r>
              <w:rPr>
                <w:rFonts w:hint="eastAsia"/>
                <w:b/>
                <w:bCs/>
                <w:color w:val="auto"/>
                <w:sz w:val="21"/>
                <w:szCs w:val="21"/>
                <w:highlight w:val="none"/>
              </w:rPr>
              <w:t>银行保函封套：</w:t>
            </w:r>
          </w:p>
          <w:p>
            <w:pPr>
              <w:adjustRightInd w:val="0"/>
              <w:snapToGrid w:val="0"/>
              <w:spacing w:line="360" w:lineRule="auto"/>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lang w:val="en-US"/>
              </w:rPr>
              <w:t xml:space="preserve">             </w:t>
            </w:r>
            <w:r>
              <w:rPr>
                <w:rFonts w:hint="eastAsia"/>
                <w:color w:val="auto"/>
                <w:sz w:val="21"/>
                <w:szCs w:val="21"/>
                <w:highlight w:val="none"/>
              </w:rPr>
              <w:tab/>
            </w:r>
            <w:r>
              <w:rPr>
                <w:rFonts w:hint="eastAsia"/>
                <w:color w:val="auto"/>
                <w:sz w:val="21"/>
                <w:szCs w:val="21"/>
                <w:highlight w:val="none"/>
              </w:rPr>
              <w:tab/>
            </w:r>
          </w:p>
          <w:p>
            <w:pPr>
              <w:adjustRightInd w:val="0"/>
              <w:snapToGrid w:val="0"/>
              <w:spacing w:line="360" w:lineRule="auto"/>
              <w:rPr>
                <w:color w:val="auto"/>
                <w:sz w:val="21"/>
                <w:szCs w:val="21"/>
                <w:highlight w:val="none"/>
              </w:rPr>
            </w:pPr>
            <w:r>
              <w:rPr>
                <w:rFonts w:hint="eastAsia"/>
                <w:color w:val="auto"/>
                <w:sz w:val="21"/>
                <w:szCs w:val="21"/>
                <w:highlight w:val="none"/>
              </w:rPr>
              <w:t>招标人地址：</w:t>
            </w:r>
            <w:r>
              <w:rPr>
                <w:rFonts w:hint="eastAsia"/>
                <w:color w:val="auto"/>
                <w:sz w:val="21"/>
                <w:szCs w:val="21"/>
                <w:highlight w:val="none"/>
                <w:u w:val="single"/>
                <w:lang w:val="en-US"/>
              </w:rPr>
              <w:t xml:space="preserve">             </w:t>
            </w:r>
          </w:p>
          <w:p>
            <w:pPr>
              <w:adjustRightInd w:val="0"/>
              <w:snapToGrid w:val="0"/>
              <w:spacing w:line="360" w:lineRule="auto"/>
              <w:rPr>
                <w:color w:val="auto"/>
                <w:sz w:val="21"/>
                <w:szCs w:val="21"/>
                <w:highlight w:val="none"/>
              </w:rPr>
            </w:pPr>
            <w:r>
              <w:rPr>
                <w:rFonts w:hint="eastAsia"/>
                <w:color w:val="auto"/>
                <w:sz w:val="21"/>
                <w:szCs w:val="21"/>
                <w:highlight w:val="none"/>
                <w:u w:val="single"/>
                <w:lang w:val="en-US"/>
              </w:rPr>
              <w:t xml:space="preserve">           </w:t>
            </w:r>
            <w:r>
              <w:rPr>
                <w:rFonts w:hint="eastAsia"/>
                <w:color w:val="auto"/>
                <w:sz w:val="21"/>
                <w:szCs w:val="21"/>
                <w:highlight w:val="none"/>
              </w:rPr>
              <w:t>（项目名称）施工招标投标保证金</w:t>
            </w:r>
          </w:p>
          <w:p>
            <w:pPr>
              <w:adjustRightInd w:val="0"/>
              <w:snapToGrid w:val="0"/>
              <w:spacing w:line="360" w:lineRule="auto"/>
              <w:rPr>
                <w:color w:val="auto"/>
                <w:sz w:val="21"/>
                <w:szCs w:val="21"/>
                <w:highlight w:val="none"/>
              </w:rPr>
            </w:pPr>
            <w:r>
              <w:rPr>
                <w:rFonts w:hint="eastAsia"/>
                <w:color w:val="auto"/>
                <w:sz w:val="21"/>
                <w:szCs w:val="21"/>
                <w:highlight w:val="none"/>
              </w:rPr>
              <w:t>（银行保函原件）</w:t>
            </w:r>
          </w:p>
          <w:p>
            <w:pPr>
              <w:adjustRightInd w:val="0"/>
              <w:snapToGrid w:val="0"/>
              <w:spacing w:line="360" w:lineRule="auto"/>
              <w:rPr>
                <w:color w:val="auto"/>
                <w:sz w:val="21"/>
                <w:szCs w:val="21"/>
                <w:highlight w:val="none"/>
              </w:rPr>
            </w:pPr>
            <w:r>
              <w:rPr>
                <w:rFonts w:hint="eastAsia"/>
                <w:color w:val="auto"/>
                <w:sz w:val="21"/>
                <w:szCs w:val="21"/>
                <w:highlight w:val="none"/>
              </w:rPr>
              <w:t>招标项目编号：</w:t>
            </w:r>
            <w:r>
              <w:rPr>
                <w:rFonts w:hint="eastAsia"/>
                <w:color w:val="auto"/>
                <w:sz w:val="21"/>
                <w:szCs w:val="21"/>
                <w:highlight w:val="none"/>
                <w:u w:val="single"/>
              </w:rPr>
              <w:t xml:space="preserve">              </w:t>
            </w:r>
          </w:p>
          <w:p>
            <w:pPr>
              <w:adjustRightInd w:val="0"/>
              <w:snapToGrid w:val="0"/>
              <w:spacing w:line="360" w:lineRule="auto"/>
              <w:rPr>
                <w:color w:val="auto"/>
                <w:sz w:val="21"/>
                <w:szCs w:val="21"/>
                <w:highlight w:val="none"/>
              </w:rPr>
            </w:pPr>
            <w:r>
              <w:rPr>
                <w:color w:val="auto"/>
                <w:sz w:val="21"/>
                <w:szCs w:val="21"/>
                <w:highlight w:val="none"/>
              </w:rPr>
              <w:t>投标</w:t>
            </w:r>
            <w:r>
              <w:rPr>
                <w:color w:val="auto"/>
                <w:spacing w:val="-3"/>
                <w:sz w:val="21"/>
                <w:szCs w:val="21"/>
                <w:highlight w:val="none"/>
              </w:rPr>
              <w:t>人</w:t>
            </w:r>
            <w:r>
              <w:rPr>
                <w:color w:val="auto"/>
                <w:sz w:val="21"/>
                <w:szCs w:val="21"/>
                <w:highlight w:val="none"/>
              </w:rPr>
              <w:t>名</w:t>
            </w:r>
            <w:r>
              <w:rPr>
                <w:color w:val="auto"/>
                <w:spacing w:val="-3"/>
                <w:sz w:val="21"/>
                <w:szCs w:val="21"/>
                <w:highlight w:val="none"/>
              </w:rPr>
              <w:t>称</w:t>
            </w:r>
            <w:r>
              <w:rPr>
                <w:color w:val="auto"/>
                <w:sz w:val="21"/>
                <w:szCs w:val="21"/>
                <w:highlight w:val="none"/>
              </w:rPr>
              <w:t>：</w:t>
            </w:r>
            <w:r>
              <w:rPr>
                <w:rFonts w:ascii="Times New Roman" w:eastAsia="Times New Roman"/>
                <w:color w:val="auto"/>
                <w:sz w:val="21"/>
                <w:szCs w:val="21"/>
                <w:highlight w:val="none"/>
                <w:u w:val="single"/>
              </w:rPr>
              <w:tab/>
            </w:r>
            <w:r>
              <w:rPr>
                <w:rFonts w:hint="eastAsia" w:ascii="Times New Roman"/>
                <w:color w:val="auto"/>
                <w:sz w:val="21"/>
                <w:szCs w:val="21"/>
                <w:highlight w:val="none"/>
                <w:u w:val="single"/>
                <w:lang w:val="en-US"/>
              </w:rPr>
              <w:t xml:space="preserve">                             </w:t>
            </w:r>
            <w:r>
              <w:rPr>
                <w:rFonts w:hint="eastAsia"/>
                <w:color w:val="auto"/>
                <w:sz w:val="21"/>
                <w:szCs w:val="21"/>
                <w:highlight w:val="non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4.2.3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是否退还投标文件</w:t>
            </w:r>
          </w:p>
        </w:tc>
        <w:tc>
          <w:tcPr>
            <w:tcW w:w="5198" w:type="dxa"/>
            <w:vAlign w:val="center"/>
          </w:tcPr>
          <w:p>
            <w:pPr>
              <w:pStyle w:val="87"/>
              <w:adjustRightInd w:val="0"/>
              <w:snapToGrid w:val="0"/>
              <w:spacing w:line="360" w:lineRule="auto"/>
              <w:rPr>
                <w:color w:val="auto"/>
                <w:sz w:val="21"/>
                <w:highlight w:val="none"/>
              </w:rPr>
            </w:pPr>
            <w:r>
              <w:rPr>
                <w:color w:val="auto"/>
                <w:sz w:val="21"/>
                <w:highlight w:val="none"/>
              </w:rPr>
              <w:t>□否</w:t>
            </w:r>
          </w:p>
          <w:p>
            <w:pPr>
              <w:adjustRightInd w:val="0"/>
              <w:snapToGrid w:val="0"/>
              <w:spacing w:line="360" w:lineRule="auto"/>
              <w:jc w:val="both"/>
              <w:rPr>
                <w:color w:val="auto"/>
                <w:sz w:val="21"/>
                <w:szCs w:val="21"/>
                <w:highlight w:val="none"/>
              </w:rPr>
            </w:pPr>
            <w:r>
              <w:rPr>
                <w:color w:val="auto"/>
                <w:sz w:val="21"/>
                <w:highlight w:val="none"/>
              </w:rPr>
              <w:sym w:font="Wingdings 2" w:char="0052"/>
            </w:r>
            <w:r>
              <w:rPr>
                <w:color w:val="auto"/>
                <w:sz w:val="21"/>
                <w:highlight w:val="none"/>
              </w:rPr>
              <w:t>是，退还时间：</w:t>
            </w:r>
            <w:r>
              <w:rPr>
                <w:rFonts w:hint="eastAsia"/>
                <w:color w:val="auto"/>
                <w:sz w:val="21"/>
                <w:highlight w:val="none"/>
              </w:rPr>
              <w:t>未进入投标文件第二个信封评审的投标文件第二个信封不予拆封，在第二个信封开标现场退还给投标人；投标人未参加第二个信封开标的，招标人将在评标结束后将第二信封以邮件方式原封退还投标人。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5.1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开标时间和地点</w:t>
            </w:r>
          </w:p>
        </w:tc>
        <w:tc>
          <w:tcPr>
            <w:tcW w:w="5198" w:type="dxa"/>
            <w:vAlign w:val="center"/>
          </w:tcPr>
          <w:p>
            <w:pPr>
              <w:snapToGrid w:val="0"/>
              <w:spacing w:line="360" w:lineRule="auto"/>
              <w:rPr>
                <w:color w:val="auto"/>
                <w:sz w:val="21"/>
                <w:szCs w:val="21"/>
                <w:highlight w:val="none"/>
              </w:rPr>
            </w:pPr>
            <w:r>
              <w:rPr>
                <w:rFonts w:hint="eastAsia"/>
                <w:color w:val="auto"/>
                <w:sz w:val="21"/>
                <w:szCs w:val="21"/>
                <w:highlight w:val="none"/>
              </w:rPr>
              <w:t>投标文件第一个信封（商务及技术文件）开标时间：同投标截止时间；</w:t>
            </w:r>
          </w:p>
          <w:p>
            <w:pPr>
              <w:snapToGrid w:val="0"/>
              <w:spacing w:line="360" w:lineRule="auto"/>
              <w:rPr>
                <w:color w:val="auto"/>
                <w:sz w:val="21"/>
                <w:szCs w:val="21"/>
                <w:highlight w:val="none"/>
              </w:rPr>
            </w:pPr>
            <w:r>
              <w:rPr>
                <w:rFonts w:hint="eastAsia"/>
                <w:color w:val="auto"/>
                <w:sz w:val="21"/>
                <w:szCs w:val="21"/>
                <w:highlight w:val="none"/>
              </w:rPr>
              <w:t>投标文件第一个信封（商务及技术文件）开标地点：同递交投标文件地点；</w:t>
            </w:r>
          </w:p>
          <w:p>
            <w:pPr>
              <w:snapToGrid w:val="0"/>
              <w:spacing w:line="360" w:lineRule="auto"/>
              <w:rPr>
                <w:color w:val="auto"/>
                <w:sz w:val="21"/>
                <w:szCs w:val="21"/>
                <w:highlight w:val="none"/>
              </w:rPr>
            </w:pPr>
            <w:r>
              <w:rPr>
                <w:rFonts w:hint="eastAsia"/>
                <w:color w:val="auto"/>
                <w:sz w:val="21"/>
                <w:szCs w:val="21"/>
                <w:highlight w:val="none"/>
              </w:rPr>
              <w:t>投标文件第二个信封（报价文件）开标时间：另行通知；</w:t>
            </w:r>
          </w:p>
          <w:p>
            <w:pPr>
              <w:snapToGrid w:val="0"/>
              <w:spacing w:line="360" w:lineRule="auto"/>
              <w:rPr>
                <w:color w:val="auto"/>
                <w:sz w:val="21"/>
                <w:szCs w:val="21"/>
                <w:highlight w:val="none"/>
              </w:rPr>
            </w:pPr>
            <w:r>
              <w:rPr>
                <w:rFonts w:hint="eastAsia"/>
                <w:color w:val="auto"/>
                <w:sz w:val="21"/>
                <w:szCs w:val="21"/>
                <w:highlight w:val="none"/>
              </w:rPr>
              <w:t>投标文件第二个信封（报价文件）开标地点：另行通知；</w:t>
            </w:r>
          </w:p>
          <w:p>
            <w:pPr>
              <w:snapToGrid w:val="0"/>
              <w:spacing w:line="360" w:lineRule="auto"/>
              <w:jc w:val="both"/>
              <w:rPr>
                <w:color w:val="auto"/>
                <w:sz w:val="21"/>
                <w:szCs w:val="21"/>
                <w:highlight w:val="none"/>
              </w:rPr>
            </w:pPr>
            <w:r>
              <w:rPr>
                <w:rFonts w:hint="eastAsia"/>
                <w:color w:val="auto"/>
                <w:sz w:val="21"/>
                <w:szCs w:val="21"/>
                <w:highlight w:val="none"/>
              </w:rPr>
              <w:t>招标人将对投标文件第二个信封（报价文件）进行公开开标，并邀请所有投标人的法定代表人或其委托代理人参加。投标人若未派法定代表人或委托代理人出席开标活动，视为该投标人默认开标结果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5.2.1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第一个信封（商务及技术文件） 开标程序</w:t>
            </w:r>
          </w:p>
        </w:tc>
        <w:tc>
          <w:tcPr>
            <w:tcW w:w="5198" w:type="dxa"/>
            <w:vAlign w:val="center"/>
          </w:tcPr>
          <w:p>
            <w:pPr>
              <w:adjustRightInd w:val="0"/>
              <w:snapToGrid w:val="0"/>
              <w:spacing w:line="360" w:lineRule="auto"/>
              <w:jc w:val="both"/>
              <w:rPr>
                <w:color w:val="auto"/>
                <w:sz w:val="21"/>
                <w:szCs w:val="21"/>
                <w:highlight w:val="none"/>
              </w:rPr>
            </w:pPr>
            <w:r>
              <w:rPr>
                <w:rFonts w:hint="eastAsia"/>
                <w:color w:val="auto"/>
                <w:sz w:val="21"/>
                <w:szCs w:val="21"/>
                <w:highlight w:val="none"/>
              </w:rPr>
              <w:t>（4）密封情况检查：检查商务及技术文件是否存在提前开启情况</w:t>
            </w:r>
          </w:p>
          <w:p>
            <w:pPr>
              <w:adjustRightInd w:val="0"/>
              <w:snapToGrid w:val="0"/>
              <w:spacing w:line="360" w:lineRule="auto"/>
              <w:jc w:val="both"/>
              <w:rPr>
                <w:color w:val="auto"/>
                <w:sz w:val="21"/>
                <w:szCs w:val="21"/>
                <w:highlight w:val="none"/>
              </w:rPr>
            </w:pPr>
            <w:r>
              <w:rPr>
                <w:rFonts w:hint="eastAsia"/>
                <w:color w:val="auto"/>
                <w:sz w:val="21"/>
                <w:szCs w:val="21"/>
                <w:highlight w:val="none"/>
              </w:rPr>
              <w:t>（5）开标顺序：按递交投标文件正顺序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5.2.3</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第二个信封（报价文件）开标程序</w:t>
            </w:r>
          </w:p>
        </w:tc>
        <w:tc>
          <w:tcPr>
            <w:tcW w:w="5198" w:type="dxa"/>
            <w:vAlign w:val="center"/>
          </w:tcPr>
          <w:p>
            <w:pPr>
              <w:adjustRightInd w:val="0"/>
              <w:snapToGrid w:val="0"/>
              <w:spacing w:line="360" w:lineRule="auto"/>
              <w:jc w:val="both"/>
              <w:rPr>
                <w:color w:val="auto"/>
                <w:sz w:val="21"/>
                <w:szCs w:val="21"/>
                <w:highlight w:val="none"/>
              </w:rPr>
            </w:pPr>
            <w:r>
              <w:rPr>
                <w:rFonts w:hint="eastAsia"/>
                <w:color w:val="auto"/>
                <w:sz w:val="21"/>
                <w:szCs w:val="21"/>
                <w:highlight w:val="none"/>
              </w:rPr>
              <w:t>（4）密封情况检查：检查报价文件是否存在提前开启情况</w:t>
            </w:r>
          </w:p>
          <w:p>
            <w:pPr>
              <w:adjustRightInd w:val="0"/>
              <w:snapToGrid w:val="0"/>
              <w:spacing w:line="360" w:lineRule="auto"/>
              <w:jc w:val="both"/>
              <w:rPr>
                <w:color w:val="auto"/>
                <w:sz w:val="21"/>
                <w:szCs w:val="21"/>
                <w:highlight w:val="none"/>
              </w:rPr>
            </w:pPr>
            <w:r>
              <w:rPr>
                <w:rFonts w:hint="eastAsia"/>
                <w:color w:val="auto"/>
                <w:sz w:val="21"/>
                <w:szCs w:val="21"/>
                <w:highlight w:val="none"/>
              </w:rPr>
              <w:t>（5）开标顺序：按递交投标文件正顺序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6.1.1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评标委员会的组建</w:t>
            </w:r>
          </w:p>
        </w:tc>
        <w:tc>
          <w:tcPr>
            <w:tcW w:w="5198" w:type="dxa"/>
            <w:vAlign w:val="center"/>
          </w:tcPr>
          <w:p>
            <w:pPr>
              <w:adjustRightInd w:val="0"/>
              <w:snapToGrid w:val="0"/>
              <w:spacing w:line="360" w:lineRule="auto"/>
              <w:jc w:val="both"/>
              <w:rPr>
                <w:color w:val="auto"/>
                <w:sz w:val="21"/>
                <w:szCs w:val="21"/>
                <w:highlight w:val="none"/>
              </w:rPr>
            </w:pPr>
            <w:r>
              <w:rPr>
                <w:rFonts w:hint="eastAsia"/>
                <w:color w:val="auto"/>
                <w:sz w:val="21"/>
                <w:szCs w:val="21"/>
                <w:highlight w:val="none"/>
              </w:rPr>
              <w:t>评标委员会构成：</w:t>
            </w:r>
            <w:r>
              <w:rPr>
                <w:rFonts w:hint="eastAsia"/>
                <w:color w:val="auto"/>
                <w:sz w:val="21"/>
                <w:szCs w:val="21"/>
                <w:highlight w:val="none"/>
                <w:u w:val="single"/>
                <w:lang w:val="en-US"/>
              </w:rPr>
              <w:t>5</w:t>
            </w:r>
            <w:r>
              <w:rPr>
                <w:rFonts w:hint="eastAsia"/>
                <w:color w:val="auto"/>
                <w:sz w:val="21"/>
                <w:szCs w:val="21"/>
                <w:highlight w:val="none"/>
              </w:rPr>
              <w:t>人，其中招标人代表</w:t>
            </w:r>
            <w:r>
              <w:rPr>
                <w:rFonts w:hint="eastAsia"/>
                <w:color w:val="auto"/>
                <w:sz w:val="21"/>
                <w:szCs w:val="21"/>
                <w:highlight w:val="none"/>
                <w:u w:val="single"/>
                <w:lang w:val="en-US"/>
              </w:rPr>
              <w:t>0</w:t>
            </w:r>
            <w:r>
              <w:rPr>
                <w:rFonts w:hint="eastAsia"/>
                <w:color w:val="auto"/>
                <w:sz w:val="21"/>
                <w:szCs w:val="21"/>
                <w:highlight w:val="none"/>
              </w:rPr>
              <w:t>人， 专家</w:t>
            </w:r>
            <w:r>
              <w:rPr>
                <w:rFonts w:hint="eastAsia"/>
                <w:color w:val="auto"/>
                <w:sz w:val="21"/>
                <w:szCs w:val="21"/>
                <w:highlight w:val="none"/>
                <w:u w:val="single"/>
                <w:lang w:val="en-US"/>
              </w:rPr>
              <w:t>5</w:t>
            </w:r>
            <w:r>
              <w:rPr>
                <w:rFonts w:hint="eastAsia"/>
                <w:color w:val="auto"/>
                <w:sz w:val="21"/>
                <w:szCs w:val="21"/>
                <w:highlight w:val="none"/>
              </w:rPr>
              <w:t>人；</w:t>
            </w:r>
          </w:p>
          <w:p>
            <w:pPr>
              <w:adjustRightInd w:val="0"/>
              <w:snapToGrid w:val="0"/>
              <w:spacing w:line="360" w:lineRule="auto"/>
              <w:jc w:val="both"/>
              <w:rPr>
                <w:color w:val="auto"/>
                <w:sz w:val="21"/>
                <w:szCs w:val="21"/>
                <w:highlight w:val="none"/>
              </w:rPr>
            </w:pPr>
            <w:r>
              <w:rPr>
                <w:rFonts w:hint="eastAsia"/>
                <w:color w:val="auto"/>
                <w:sz w:val="21"/>
                <w:szCs w:val="21"/>
                <w:highlight w:val="none"/>
              </w:rPr>
              <w:t>评标专家确定方式：依法从辽宁省综合评标专家库中随机抽取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6.3.2</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评标委员会推荐中标候选人的家数</w:t>
            </w:r>
          </w:p>
        </w:tc>
        <w:tc>
          <w:tcPr>
            <w:tcW w:w="5198" w:type="dxa"/>
            <w:vAlign w:val="center"/>
          </w:tcPr>
          <w:p>
            <w:pPr>
              <w:adjustRightInd w:val="0"/>
              <w:snapToGrid w:val="0"/>
              <w:spacing w:line="360" w:lineRule="auto"/>
              <w:jc w:val="both"/>
              <w:rPr>
                <w:color w:val="auto"/>
                <w:sz w:val="21"/>
                <w:szCs w:val="21"/>
                <w:highlight w:val="none"/>
              </w:rPr>
            </w:pPr>
            <w:r>
              <w:rPr>
                <w:rFonts w:hint="eastAsia"/>
                <w:color w:val="auto"/>
                <w:sz w:val="21"/>
                <w:szCs w:val="21"/>
                <w:highlight w:val="none"/>
                <w:u w:val="single"/>
                <w:lang w:val="en-US"/>
              </w:rPr>
              <w:t>1-3</w:t>
            </w:r>
            <w:r>
              <w:rPr>
                <w:rFonts w:hint="eastAsia"/>
                <w:color w:val="auto"/>
                <w:sz w:val="21"/>
                <w:szCs w:val="21"/>
                <w:highlight w:val="none"/>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7.1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中标候选人公示媒介及期限</w:t>
            </w:r>
          </w:p>
        </w:tc>
        <w:tc>
          <w:tcPr>
            <w:tcW w:w="5198" w:type="dxa"/>
            <w:vAlign w:val="center"/>
          </w:tcPr>
          <w:p>
            <w:pPr>
              <w:adjustRightInd w:val="0"/>
              <w:snapToGrid w:val="0"/>
              <w:spacing w:line="360" w:lineRule="auto"/>
              <w:rPr>
                <w:color w:val="auto"/>
                <w:sz w:val="21"/>
                <w:szCs w:val="21"/>
                <w:highlight w:val="none"/>
              </w:rPr>
            </w:pPr>
            <w:r>
              <w:rPr>
                <w:color w:val="auto"/>
                <w:szCs w:val="21"/>
                <w:highlight w:val="none"/>
              </w:rPr>
              <w:t>公</w:t>
            </w:r>
            <w:r>
              <w:rPr>
                <w:color w:val="auto"/>
                <w:sz w:val="21"/>
                <w:szCs w:val="21"/>
                <w:highlight w:val="none"/>
              </w:rPr>
              <w:t>示</w:t>
            </w:r>
            <w:r>
              <w:rPr>
                <w:rFonts w:hint="eastAsia"/>
                <w:color w:val="auto"/>
                <w:sz w:val="21"/>
                <w:szCs w:val="21"/>
                <w:highlight w:val="none"/>
              </w:rPr>
              <w:t>媒介：同发布招标公告媒介</w:t>
            </w:r>
          </w:p>
          <w:p>
            <w:pPr>
              <w:adjustRightInd w:val="0"/>
              <w:snapToGrid w:val="0"/>
              <w:spacing w:line="360" w:lineRule="auto"/>
              <w:rPr>
                <w:color w:val="auto"/>
                <w:sz w:val="21"/>
                <w:szCs w:val="21"/>
                <w:highlight w:val="none"/>
              </w:rPr>
            </w:pPr>
            <w:r>
              <w:rPr>
                <w:rFonts w:hint="eastAsia"/>
                <w:color w:val="auto"/>
                <w:sz w:val="21"/>
                <w:szCs w:val="21"/>
                <w:highlight w:val="none"/>
              </w:rPr>
              <w:t>公示期限： 3 日</w:t>
            </w:r>
          </w:p>
          <w:p>
            <w:pPr>
              <w:adjustRightInd w:val="0"/>
              <w:snapToGrid w:val="0"/>
              <w:spacing w:line="360" w:lineRule="auto"/>
              <w:rPr>
                <w:color w:val="auto"/>
                <w:sz w:val="21"/>
                <w:szCs w:val="21"/>
                <w:highlight w:val="none"/>
              </w:rPr>
            </w:pPr>
            <w:r>
              <w:rPr>
                <w:rFonts w:hint="eastAsia"/>
                <w:color w:val="auto"/>
                <w:sz w:val="21"/>
                <w:szCs w:val="21"/>
                <w:highlight w:val="none"/>
              </w:rPr>
              <w:t>公示的其他内容：无</w:t>
            </w:r>
          </w:p>
          <w:p>
            <w:pPr>
              <w:adjustRightInd w:val="0"/>
              <w:snapToGrid w:val="0"/>
              <w:spacing w:line="360" w:lineRule="auto"/>
              <w:jc w:val="both"/>
              <w:rPr>
                <w:color w:val="auto"/>
                <w:sz w:val="21"/>
                <w:szCs w:val="21"/>
                <w:highlight w:val="none"/>
              </w:rPr>
            </w:pPr>
            <w:r>
              <w:rPr>
                <w:rFonts w:hint="eastAsia"/>
                <w:color w:val="auto"/>
                <w:sz w:val="21"/>
                <w:szCs w:val="21"/>
                <w:highlight w:val="none"/>
              </w:rPr>
              <w:t>如发现投标人存在弄虚作假行为，招标人将取消其中标候选人资格，并上报省级交通主管部门，作为不良记录纳入公路建设市场信用信息管理系统。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7.4</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是否授权评标委员会确定中标人</w:t>
            </w:r>
          </w:p>
        </w:tc>
        <w:tc>
          <w:tcPr>
            <w:tcW w:w="5198" w:type="dxa"/>
            <w:vAlign w:val="center"/>
          </w:tcPr>
          <w:p>
            <w:pPr>
              <w:pStyle w:val="87"/>
              <w:spacing w:line="361" w:lineRule="exact"/>
              <w:rPr>
                <w:color w:val="auto"/>
                <w:sz w:val="21"/>
                <w:highlight w:val="none"/>
              </w:rPr>
            </w:pPr>
            <w:r>
              <w:rPr>
                <w:rFonts w:ascii="Times New Roman" w:hAnsi="Times New Roman" w:eastAsia="Times New Roman"/>
                <w:color w:val="auto"/>
                <w:sz w:val="32"/>
                <w:highlight w:val="none"/>
              </w:rPr>
              <w:sym w:font="Wingdings 2" w:char="0052"/>
            </w:r>
            <w:r>
              <w:rPr>
                <w:color w:val="auto"/>
                <w:sz w:val="21"/>
                <w:highlight w:val="none"/>
              </w:rPr>
              <w:t>是</w:t>
            </w:r>
          </w:p>
          <w:p>
            <w:pPr>
              <w:adjustRightInd w:val="0"/>
              <w:snapToGrid w:val="0"/>
              <w:spacing w:line="360" w:lineRule="auto"/>
              <w:jc w:val="both"/>
              <w:rPr>
                <w:color w:val="auto"/>
                <w:sz w:val="21"/>
                <w:szCs w:val="21"/>
                <w:highlight w:val="none"/>
              </w:rPr>
            </w:pPr>
            <w:r>
              <w:rPr>
                <w:rFonts w:ascii="Times New Roman" w:hAnsi="Times New Roman" w:eastAsia="Times New Roman"/>
                <w:color w:val="auto"/>
                <w:sz w:val="32"/>
                <w:highlight w:val="none"/>
              </w:rPr>
              <w:t>□</w:t>
            </w:r>
            <w:r>
              <w:rPr>
                <w:color w:val="auto"/>
                <w:sz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7.5</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中标通知书和中标结果通知发出的形式</w:t>
            </w:r>
          </w:p>
        </w:tc>
        <w:tc>
          <w:tcPr>
            <w:tcW w:w="5198" w:type="dxa"/>
            <w:vAlign w:val="center"/>
          </w:tcPr>
          <w:p>
            <w:pPr>
              <w:adjustRightInd w:val="0"/>
              <w:snapToGrid w:val="0"/>
              <w:spacing w:line="360" w:lineRule="auto"/>
              <w:jc w:val="both"/>
              <w:rPr>
                <w:color w:val="auto"/>
                <w:sz w:val="21"/>
                <w:szCs w:val="21"/>
                <w:highlight w:val="none"/>
              </w:rPr>
            </w:pPr>
            <w:r>
              <w:rPr>
                <w:rFonts w:hint="eastAsia"/>
                <w:color w:val="auto"/>
                <w:sz w:val="21"/>
                <w:szCs w:val="21"/>
                <w:highlight w:val="none"/>
                <w:lang w:val="en-US"/>
              </w:rPr>
              <w:t>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7.6</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中标结果公告媒介及期限</w:t>
            </w:r>
          </w:p>
        </w:tc>
        <w:tc>
          <w:tcPr>
            <w:tcW w:w="5198" w:type="dxa"/>
            <w:vAlign w:val="center"/>
          </w:tcPr>
          <w:p>
            <w:pPr>
              <w:adjustRightInd w:val="0"/>
              <w:snapToGrid w:val="0"/>
              <w:spacing w:line="360" w:lineRule="auto"/>
              <w:jc w:val="both"/>
              <w:rPr>
                <w:color w:val="auto"/>
                <w:sz w:val="21"/>
                <w:szCs w:val="21"/>
                <w:highlight w:val="none"/>
              </w:rPr>
            </w:pPr>
            <w:r>
              <w:rPr>
                <w:rFonts w:hint="eastAsia"/>
                <w:color w:val="auto"/>
                <w:sz w:val="21"/>
                <w:szCs w:val="21"/>
                <w:highlight w:val="none"/>
              </w:rPr>
              <w:t>公示媒介：同发布招标公告媒介</w:t>
            </w:r>
          </w:p>
          <w:p>
            <w:pPr>
              <w:adjustRightInd w:val="0"/>
              <w:snapToGrid w:val="0"/>
              <w:spacing w:line="360" w:lineRule="auto"/>
              <w:jc w:val="both"/>
              <w:rPr>
                <w:color w:val="auto"/>
                <w:sz w:val="21"/>
                <w:szCs w:val="21"/>
                <w:highlight w:val="none"/>
              </w:rPr>
            </w:pPr>
            <w:r>
              <w:rPr>
                <w:rFonts w:hint="eastAsia"/>
                <w:color w:val="auto"/>
                <w:sz w:val="21"/>
                <w:szCs w:val="21"/>
                <w:highlight w:val="none"/>
              </w:rPr>
              <w:t>公告期限：</w:t>
            </w:r>
            <w:r>
              <w:rPr>
                <w:rFonts w:hint="eastAsia"/>
                <w:color w:val="auto"/>
                <w:sz w:val="21"/>
                <w:szCs w:val="21"/>
                <w:highlight w:val="none"/>
                <w:lang w:val="en-US" w:eastAsia="zh-CN"/>
              </w:rPr>
              <w:t>3</w:t>
            </w:r>
            <w:r>
              <w:rPr>
                <w:rFonts w:hint="eastAsia"/>
                <w:color w:val="auto"/>
                <w:sz w:val="21"/>
                <w:szCs w:val="21"/>
                <w:highlight w:val="none"/>
              </w:rPr>
              <w:t xml:space="preserve">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7.7.1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履约担保</w:t>
            </w:r>
          </w:p>
        </w:tc>
        <w:tc>
          <w:tcPr>
            <w:tcW w:w="5198" w:type="dxa"/>
            <w:vAlign w:val="center"/>
          </w:tcPr>
          <w:p>
            <w:pPr>
              <w:pStyle w:val="87"/>
              <w:adjustRightInd w:val="0"/>
              <w:snapToGrid w:val="0"/>
              <w:spacing w:line="360" w:lineRule="auto"/>
              <w:ind w:left="107"/>
              <w:rPr>
                <w:color w:val="auto"/>
                <w:sz w:val="21"/>
                <w:highlight w:val="none"/>
              </w:rPr>
            </w:pPr>
            <w:r>
              <w:rPr>
                <w:color w:val="auto"/>
                <w:sz w:val="21"/>
                <w:highlight w:val="none"/>
              </w:rPr>
              <w:t>是否要求中标人提交履约保证金：</w:t>
            </w:r>
          </w:p>
          <w:p>
            <w:pPr>
              <w:pStyle w:val="87"/>
              <w:adjustRightInd w:val="0"/>
              <w:snapToGrid w:val="0"/>
              <w:spacing w:line="360" w:lineRule="auto"/>
              <w:ind w:left="107"/>
              <w:rPr>
                <w:color w:val="auto"/>
                <w:sz w:val="21"/>
                <w:highlight w:val="none"/>
              </w:rPr>
            </w:pPr>
            <w:r>
              <w:rPr>
                <w:rFonts w:ascii="Times New Roman" w:hAnsi="Times New Roman" w:eastAsia="Times New Roman"/>
                <w:color w:val="auto"/>
                <w:sz w:val="32"/>
                <w:highlight w:val="none"/>
              </w:rPr>
              <w:sym w:font="Wingdings 2" w:char="0052"/>
            </w:r>
            <w:r>
              <w:rPr>
                <w:color w:val="auto"/>
                <w:sz w:val="21"/>
                <w:highlight w:val="none"/>
              </w:rPr>
              <w:t>要求，</w:t>
            </w:r>
          </w:p>
          <w:p>
            <w:pPr>
              <w:pStyle w:val="87"/>
              <w:adjustRightInd w:val="0"/>
              <w:snapToGrid w:val="0"/>
              <w:spacing w:line="360" w:lineRule="auto"/>
              <w:ind w:left="107" w:firstLine="420" w:firstLineChars="200"/>
              <w:rPr>
                <w:color w:val="auto"/>
                <w:szCs w:val="21"/>
                <w:highlight w:val="none"/>
              </w:rPr>
            </w:pPr>
            <w:r>
              <w:rPr>
                <w:color w:val="auto"/>
                <w:sz w:val="21"/>
                <w:highlight w:val="none"/>
              </w:rPr>
              <w:t>履约保证金的形式：</w:t>
            </w:r>
            <w:r>
              <w:rPr>
                <w:rFonts w:hint="eastAsia"/>
                <w:color w:val="auto"/>
                <w:szCs w:val="21"/>
                <w:highlight w:val="none"/>
              </w:rPr>
              <w:t>由中标人自主选择银行保函或者现金、支票等招标人可接受的支付形式。</w:t>
            </w:r>
          </w:p>
          <w:p>
            <w:pPr>
              <w:pStyle w:val="87"/>
              <w:adjustRightInd w:val="0"/>
              <w:snapToGrid w:val="0"/>
              <w:spacing w:line="360" w:lineRule="auto"/>
              <w:ind w:left="107" w:firstLine="404" w:firstLineChars="200"/>
              <w:rPr>
                <w:color w:val="auto"/>
                <w:spacing w:val="-4"/>
                <w:sz w:val="21"/>
                <w:highlight w:val="none"/>
                <w:lang w:val="en-US"/>
              </w:rPr>
            </w:pPr>
            <w:r>
              <w:rPr>
                <w:color w:val="auto"/>
                <w:spacing w:val="-4"/>
                <w:sz w:val="21"/>
                <w:highlight w:val="none"/>
              </w:rPr>
              <w:t>履约保证金的金额：</w:t>
            </w:r>
            <w:r>
              <w:rPr>
                <w:rFonts w:hint="eastAsia"/>
                <w:color w:val="auto"/>
                <w:spacing w:val="-4"/>
                <w:sz w:val="21"/>
                <w:highlight w:val="none"/>
                <w:u w:val="single"/>
                <w:lang w:val="en-US"/>
              </w:rPr>
              <w:t xml:space="preserve"> 3 </w:t>
            </w:r>
            <w:r>
              <w:rPr>
                <w:color w:val="auto"/>
                <w:spacing w:val="-4"/>
                <w:sz w:val="21"/>
                <w:highlight w:val="none"/>
              </w:rPr>
              <w:t>％签约合同价</w:t>
            </w:r>
            <w:r>
              <w:rPr>
                <w:rFonts w:hint="eastAsia"/>
                <w:color w:val="auto"/>
                <w:spacing w:val="-4"/>
                <w:sz w:val="21"/>
                <w:highlight w:val="none"/>
                <w:lang w:val="en-US"/>
              </w:rPr>
              <w:t>。</w:t>
            </w:r>
          </w:p>
          <w:p>
            <w:pPr>
              <w:pStyle w:val="87"/>
              <w:tabs>
                <w:tab w:val="left" w:pos="4955"/>
              </w:tabs>
              <w:adjustRightInd w:val="0"/>
              <w:snapToGrid w:val="0"/>
              <w:spacing w:line="360" w:lineRule="auto"/>
              <w:ind w:firstLine="440" w:firstLineChars="200"/>
              <w:rPr>
                <w:rFonts w:ascii="Times New Roman"/>
                <w:color w:val="auto"/>
                <w:sz w:val="21"/>
                <w:highlight w:val="none"/>
              </w:rPr>
            </w:pPr>
            <w:r>
              <w:rPr>
                <w:rFonts w:hint="eastAsia"/>
                <w:color w:val="auto"/>
                <w:szCs w:val="21"/>
                <w:highlight w:val="none"/>
              </w:rPr>
              <w:t>采用银行保函时，出具保函的银行级别：国有商业银行或股份制商业银行的支行及其以上银行。</w:t>
            </w:r>
          </w:p>
          <w:p>
            <w:pPr>
              <w:adjustRightInd w:val="0"/>
              <w:snapToGrid w:val="0"/>
              <w:spacing w:line="360" w:lineRule="auto"/>
              <w:jc w:val="both"/>
              <w:rPr>
                <w:color w:val="auto"/>
                <w:sz w:val="21"/>
                <w:szCs w:val="21"/>
                <w:highlight w:val="none"/>
                <w:lang w:val="en-US"/>
              </w:rPr>
            </w:pPr>
            <w:r>
              <w:rPr>
                <w:rFonts w:ascii="Times New Roman" w:hAnsi="Times New Roman" w:eastAsia="Times New Roman"/>
                <w:color w:val="auto"/>
                <w:sz w:val="32"/>
                <w:highlight w:val="none"/>
              </w:rPr>
              <w:t>□</w:t>
            </w:r>
            <w:r>
              <w:rPr>
                <w:color w:val="auto"/>
                <w:sz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8.5.1</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监督部门</w:t>
            </w:r>
          </w:p>
        </w:tc>
        <w:tc>
          <w:tcPr>
            <w:tcW w:w="5198" w:type="dxa"/>
            <w:vAlign w:val="center"/>
          </w:tcPr>
          <w:p>
            <w:pPr>
              <w:adjustRightInd w:val="0"/>
              <w:snapToGrid w:val="0"/>
              <w:spacing w:line="360" w:lineRule="auto"/>
              <w:jc w:val="both"/>
              <w:rPr>
                <w:color w:val="auto"/>
                <w:sz w:val="21"/>
                <w:szCs w:val="21"/>
                <w:highlight w:val="none"/>
                <w:lang w:val="en-US"/>
              </w:rPr>
            </w:pPr>
            <w:r>
              <w:rPr>
                <w:rFonts w:hint="eastAsia"/>
                <w:color w:val="auto"/>
                <w:sz w:val="21"/>
                <w:szCs w:val="21"/>
                <w:highlight w:val="none"/>
                <w:lang w:val="en-US"/>
              </w:rPr>
              <w:t>监督部门：鞍山市发改委、鞍山市交通运输局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 w:val="21"/>
                <w:szCs w:val="21"/>
                <w:highlight w:val="none"/>
              </w:rPr>
            </w:pPr>
            <w:r>
              <w:rPr>
                <w:rFonts w:hint="eastAsia"/>
                <w:color w:val="auto"/>
                <w:sz w:val="21"/>
                <w:szCs w:val="21"/>
                <w:highlight w:val="none"/>
              </w:rPr>
              <w:t>9</w:t>
            </w:r>
          </w:p>
        </w:tc>
        <w:tc>
          <w:tcPr>
            <w:tcW w:w="3107" w:type="dxa"/>
            <w:vAlign w:val="center"/>
          </w:tcPr>
          <w:p>
            <w:pPr>
              <w:spacing w:line="360" w:lineRule="auto"/>
              <w:jc w:val="center"/>
              <w:rPr>
                <w:color w:val="auto"/>
                <w:sz w:val="21"/>
                <w:szCs w:val="21"/>
                <w:highlight w:val="none"/>
              </w:rPr>
            </w:pPr>
            <w:r>
              <w:rPr>
                <w:rFonts w:hint="eastAsia"/>
                <w:color w:val="auto"/>
                <w:sz w:val="21"/>
                <w:szCs w:val="21"/>
                <w:highlight w:val="none"/>
              </w:rPr>
              <w:t>是否采用电子招标投标</w:t>
            </w:r>
          </w:p>
        </w:tc>
        <w:tc>
          <w:tcPr>
            <w:tcW w:w="5198" w:type="dxa"/>
            <w:vAlign w:val="center"/>
          </w:tcPr>
          <w:p>
            <w:pPr>
              <w:adjustRightInd w:val="0"/>
              <w:snapToGrid w:val="0"/>
              <w:spacing w:line="360" w:lineRule="auto"/>
              <w:rPr>
                <w:color w:val="auto"/>
                <w:sz w:val="21"/>
                <w:highlight w:val="none"/>
              </w:rPr>
            </w:pPr>
            <w:r>
              <w:rPr>
                <w:rFonts w:ascii="Times New Roman" w:hAnsi="Times New Roman" w:eastAsia="Times New Roman"/>
                <w:color w:val="auto"/>
                <w:sz w:val="32"/>
                <w:highlight w:val="none"/>
              </w:rPr>
              <w:sym w:font="Wingdings 2" w:char="0052"/>
            </w:r>
            <w:r>
              <w:rPr>
                <w:color w:val="auto"/>
                <w:sz w:val="21"/>
                <w:highlight w:val="none"/>
              </w:rPr>
              <w:t>否</w:t>
            </w:r>
          </w:p>
          <w:p>
            <w:pPr>
              <w:adjustRightInd w:val="0"/>
              <w:snapToGrid w:val="0"/>
              <w:spacing w:line="360" w:lineRule="auto"/>
              <w:rPr>
                <w:color w:val="auto"/>
                <w:sz w:val="21"/>
                <w:highlight w:val="none"/>
                <w:lang w:val="en-US"/>
              </w:rPr>
            </w:pPr>
            <w:r>
              <w:rPr>
                <w:rFonts w:ascii="Times New Roman" w:hAnsi="Times New Roman" w:eastAsia="Times New Roman"/>
                <w:color w:val="auto"/>
                <w:sz w:val="32"/>
                <w:highlight w:val="none"/>
              </w:rPr>
              <w:t>□</w:t>
            </w:r>
            <w:r>
              <w:rPr>
                <w:color w:val="auto"/>
                <w:sz w:val="21"/>
                <w:highlight w:val="none"/>
              </w:rPr>
              <w:t>是，具体要求：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9342" w:type="dxa"/>
            <w:gridSpan w:val="3"/>
            <w:vAlign w:val="center"/>
          </w:tcPr>
          <w:p>
            <w:pPr>
              <w:spacing w:line="360" w:lineRule="auto"/>
              <w:rPr>
                <w:color w:val="auto"/>
                <w:sz w:val="21"/>
                <w:szCs w:val="21"/>
                <w:highlight w:val="none"/>
              </w:rPr>
            </w:pPr>
            <w:r>
              <w:rPr>
                <w:rFonts w:hint="eastAsia"/>
                <w:b/>
                <w:bCs/>
                <w:color w:val="auto"/>
                <w:sz w:val="21"/>
                <w:szCs w:val="21"/>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exact"/>
              <w:jc w:val="center"/>
              <w:rPr>
                <w:color w:val="auto"/>
                <w:sz w:val="21"/>
                <w:szCs w:val="21"/>
                <w:highlight w:val="none"/>
              </w:rPr>
            </w:pPr>
            <w:r>
              <w:rPr>
                <w:color w:val="auto"/>
                <w:szCs w:val="21"/>
                <w:highlight w:val="none"/>
              </w:rPr>
              <w:t>2.1</w:t>
            </w:r>
          </w:p>
        </w:tc>
        <w:tc>
          <w:tcPr>
            <w:tcW w:w="8305" w:type="dxa"/>
            <w:gridSpan w:val="2"/>
            <w:vAlign w:val="center"/>
          </w:tcPr>
          <w:p>
            <w:pPr>
              <w:spacing w:line="360" w:lineRule="exact"/>
              <w:rPr>
                <w:color w:val="auto"/>
                <w:szCs w:val="21"/>
                <w:highlight w:val="none"/>
              </w:rPr>
            </w:pPr>
            <w:r>
              <w:rPr>
                <w:color w:val="auto"/>
                <w:szCs w:val="21"/>
                <w:highlight w:val="none"/>
              </w:rPr>
              <w:t>2.1项补充：</w:t>
            </w:r>
          </w:p>
          <w:p>
            <w:pPr>
              <w:spacing w:line="360" w:lineRule="exact"/>
              <w:rPr>
                <w:color w:val="auto"/>
                <w:sz w:val="21"/>
                <w:szCs w:val="21"/>
                <w:highlight w:val="none"/>
              </w:rPr>
            </w:pPr>
            <w:r>
              <w:rPr>
                <w:color w:val="auto"/>
                <w:szCs w:val="21"/>
                <w:highlight w:val="none"/>
              </w:rPr>
              <w:t>澄清和修改内容将以编号的补遗书形式发布给投标人。补遗书作为招标文件的组成部分，对所有投标人均具有约束力。当招标文件、招标文件的澄清或修改等在同一内容的表述上不一致时，以最后发出的书面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00" w:lineRule="exact"/>
              <w:jc w:val="center"/>
              <w:rPr>
                <w:color w:val="auto"/>
                <w:sz w:val="21"/>
                <w:szCs w:val="21"/>
                <w:highlight w:val="none"/>
              </w:rPr>
            </w:pPr>
            <w:r>
              <w:rPr>
                <w:color w:val="auto"/>
                <w:szCs w:val="21"/>
                <w:highlight w:val="none"/>
              </w:rPr>
              <w:t>3.2</w:t>
            </w:r>
          </w:p>
        </w:tc>
        <w:tc>
          <w:tcPr>
            <w:tcW w:w="8305" w:type="dxa"/>
            <w:gridSpan w:val="2"/>
            <w:vAlign w:val="center"/>
          </w:tcPr>
          <w:p>
            <w:pPr>
              <w:spacing w:line="400" w:lineRule="exact"/>
              <w:ind w:firstLine="440" w:firstLineChars="200"/>
              <w:rPr>
                <w:color w:val="auto"/>
                <w:szCs w:val="21"/>
                <w:highlight w:val="none"/>
              </w:rPr>
            </w:pPr>
            <w:r>
              <w:rPr>
                <w:color w:val="auto"/>
                <w:szCs w:val="21"/>
                <w:highlight w:val="none"/>
              </w:rPr>
              <w:t>3.2.</w:t>
            </w:r>
            <w:r>
              <w:rPr>
                <w:rFonts w:hint="eastAsia"/>
                <w:color w:val="auto"/>
                <w:szCs w:val="21"/>
                <w:highlight w:val="none"/>
              </w:rPr>
              <w:t>5投标报价</w:t>
            </w:r>
          </w:p>
          <w:p>
            <w:pPr>
              <w:spacing w:line="400" w:lineRule="exact"/>
              <w:ind w:firstLine="440" w:firstLineChars="200"/>
              <w:rPr>
                <w:color w:val="auto"/>
                <w:szCs w:val="21"/>
                <w:highlight w:val="none"/>
              </w:rPr>
            </w:pPr>
            <w:r>
              <w:rPr>
                <w:rFonts w:hint="eastAsia"/>
                <w:color w:val="auto"/>
                <w:szCs w:val="21"/>
                <w:highlight w:val="none"/>
              </w:rPr>
              <w:t>第3.2.5项补充：</w:t>
            </w:r>
          </w:p>
          <w:p>
            <w:pPr>
              <w:spacing w:line="400" w:lineRule="exact"/>
              <w:ind w:firstLine="440" w:firstLineChars="200"/>
              <w:rPr>
                <w:color w:val="auto"/>
                <w:szCs w:val="21"/>
                <w:highlight w:val="none"/>
              </w:rPr>
            </w:pPr>
            <w:r>
              <w:rPr>
                <w:rFonts w:hint="eastAsia"/>
                <w:color w:val="auto"/>
                <w:szCs w:val="21"/>
                <w:highlight w:val="none"/>
              </w:rPr>
              <w:t>投标人应</w:t>
            </w:r>
            <w:r>
              <w:rPr>
                <w:color w:val="auto"/>
                <w:szCs w:val="21"/>
                <w:highlight w:val="none"/>
              </w:rPr>
              <w:t>根据《公路水运工程安全生产监督管理办法》</w:t>
            </w:r>
            <w:r>
              <w:rPr>
                <w:rFonts w:hint="eastAsia"/>
                <w:color w:val="auto"/>
                <w:szCs w:val="21"/>
                <w:highlight w:val="none"/>
              </w:rPr>
              <w:t>（｛2007｝第1号）以及《关于印发〈企业安全生产费用提取和使用管理办法〉的通知》（财企【2012】16号）的规定</w:t>
            </w:r>
            <w:r>
              <w:rPr>
                <w:color w:val="auto"/>
                <w:szCs w:val="21"/>
                <w:highlight w:val="none"/>
              </w:rPr>
              <w:t>，投标人在投标总价中应计入施工安全生产费用，</w:t>
            </w:r>
            <w:r>
              <w:rPr>
                <w:rFonts w:hint="eastAsia"/>
                <w:color w:val="auto"/>
                <w:szCs w:val="21"/>
                <w:highlight w:val="none"/>
              </w:rPr>
              <w:t>安全生产费用以固定金额形式计入工程量清单第100章中（安全生产费</w:t>
            </w:r>
            <w:r>
              <w:rPr>
                <w:color w:val="auto"/>
                <w:szCs w:val="21"/>
                <w:highlight w:val="none"/>
              </w:rPr>
              <w:t>为</w:t>
            </w:r>
            <w:r>
              <w:rPr>
                <w:rFonts w:hint="eastAsia"/>
                <w:color w:val="auto"/>
                <w:szCs w:val="21"/>
                <w:highlight w:val="none"/>
              </w:rPr>
              <w:t>招标人公布的最高投标限价</w:t>
            </w:r>
            <w:r>
              <w:rPr>
                <w:color w:val="auto"/>
                <w:szCs w:val="21"/>
                <w:highlight w:val="none"/>
              </w:rPr>
              <w:t>的1</w:t>
            </w:r>
            <w:r>
              <w:rPr>
                <w:rFonts w:hint="eastAsia"/>
                <w:color w:val="auto"/>
                <w:szCs w:val="21"/>
                <w:highlight w:val="none"/>
              </w:rPr>
              <w:t>.5</w:t>
            </w:r>
            <w:r>
              <w:rPr>
                <w:color w:val="auto"/>
                <w:szCs w:val="21"/>
                <w:highlight w:val="none"/>
              </w:rPr>
              <w:t>%</w:t>
            </w:r>
            <w:r>
              <w:rPr>
                <w:rFonts w:hint="eastAsia"/>
                <w:color w:val="auto"/>
                <w:szCs w:val="21"/>
                <w:highlight w:val="none"/>
              </w:rPr>
              <w:t>）</w:t>
            </w:r>
            <w:r>
              <w:rPr>
                <w:color w:val="auto"/>
                <w:szCs w:val="21"/>
                <w:highlight w:val="none"/>
              </w:rPr>
              <w:t>，</w:t>
            </w:r>
            <w:r>
              <w:rPr>
                <w:rFonts w:hint="eastAsia"/>
                <w:color w:val="auto"/>
                <w:szCs w:val="21"/>
                <w:highlight w:val="none"/>
              </w:rPr>
              <w:t>投标人在投标报价时不得对该固定金额进行调整。如投标人须在此基础上增加安全生产费用以满足项目施工需要，则投标人应在本项目工程量清单其它相关子目的单价或总额价中予考虑，发包人不再单独支付。</w:t>
            </w:r>
          </w:p>
          <w:p>
            <w:pPr>
              <w:spacing w:line="400" w:lineRule="exact"/>
              <w:ind w:firstLine="440" w:firstLineChars="200"/>
              <w:rPr>
                <w:color w:val="auto"/>
                <w:szCs w:val="21"/>
                <w:highlight w:val="none"/>
              </w:rPr>
            </w:pPr>
            <w:r>
              <w:rPr>
                <w:rFonts w:hint="eastAsia"/>
                <w:color w:val="auto"/>
                <w:szCs w:val="21"/>
                <w:highlight w:val="none"/>
              </w:rPr>
              <w:t>承包人的施工安全生产费用，应当用于施工安全防护用具及设施的采购和更新、安全施工措施的落实、安全生产条件的改善，不得挪作他用。</w:t>
            </w:r>
          </w:p>
          <w:p>
            <w:pPr>
              <w:spacing w:line="400" w:lineRule="exact"/>
              <w:ind w:firstLine="440" w:firstLineChars="200"/>
              <w:rPr>
                <w:color w:val="auto"/>
                <w:szCs w:val="21"/>
                <w:highlight w:val="none"/>
              </w:rPr>
            </w:pPr>
            <w:r>
              <w:rPr>
                <w:rFonts w:hint="eastAsia"/>
                <w:color w:val="auto"/>
                <w:szCs w:val="21"/>
                <w:highlight w:val="none"/>
              </w:rPr>
              <w:t>第3.2.8项细化：</w:t>
            </w:r>
          </w:p>
          <w:p>
            <w:pPr>
              <w:spacing w:line="400" w:lineRule="exact"/>
              <w:ind w:firstLine="440" w:firstLineChars="200"/>
              <w:rPr>
                <w:color w:val="auto"/>
                <w:szCs w:val="21"/>
                <w:highlight w:val="none"/>
              </w:rPr>
            </w:pPr>
            <w:r>
              <w:rPr>
                <w:rFonts w:hint="eastAsia"/>
                <w:color w:val="auto"/>
                <w:szCs w:val="21"/>
                <w:highlight w:val="none"/>
              </w:rPr>
              <w:t>本工程招标采用限价招标，招标人设有最高投标限价，最高投标限价编制依据为《公路工程基本建设项目概算预算编制办法》（JTG3830-2018）及《公路工程预算定额》（JTG/T3882-2018）、《公路工程机械台班费用定额》（JTG/T3833-2018）、《公路工程造价管理暂行办法》等。投标人的投标报价不得超过最高投标限价，也不得在报价文件中改动招标人给定的相关费用，否则评标委员会将否决其投标。</w:t>
            </w:r>
          </w:p>
          <w:p>
            <w:pPr>
              <w:spacing w:line="400" w:lineRule="exact"/>
              <w:ind w:right="152" w:rightChars="69" w:firstLine="410"/>
              <w:rPr>
                <w:color w:val="auto"/>
                <w:szCs w:val="21"/>
                <w:highlight w:val="none"/>
              </w:rPr>
            </w:pPr>
            <w:r>
              <w:rPr>
                <w:rFonts w:hint="eastAsia"/>
                <w:color w:val="auto"/>
                <w:szCs w:val="21"/>
                <w:highlight w:val="none"/>
              </w:rPr>
              <w:t>3.2.9投标报价的其他要求：</w:t>
            </w:r>
          </w:p>
          <w:p>
            <w:pPr>
              <w:spacing w:line="400" w:lineRule="exact"/>
              <w:ind w:right="152" w:rightChars="69" w:firstLine="410"/>
              <w:rPr>
                <w:color w:val="auto"/>
                <w:szCs w:val="21"/>
                <w:highlight w:val="none"/>
              </w:rPr>
            </w:pPr>
            <w:r>
              <w:rPr>
                <w:rFonts w:hint="eastAsia"/>
                <w:color w:val="auto"/>
                <w:szCs w:val="21"/>
                <w:highlight w:val="none"/>
              </w:rPr>
              <w:t>（1）施工用电和水应由投标人自行调查解决，所需费用均应已含入工程量清单各支付子目的单价或总额价中，并计入签约合同价中的“承包人工程施工价款”，招标人将不另行支付。</w:t>
            </w:r>
          </w:p>
          <w:p>
            <w:pPr>
              <w:spacing w:line="400" w:lineRule="exact"/>
              <w:ind w:right="152" w:rightChars="69" w:firstLine="410"/>
              <w:rPr>
                <w:color w:val="auto"/>
                <w:szCs w:val="21"/>
                <w:highlight w:val="none"/>
              </w:rPr>
            </w:pPr>
            <w:r>
              <w:rPr>
                <w:rFonts w:hint="eastAsia"/>
                <w:color w:val="auto"/>
                <w:szCs w:val="21"/>
                <w:highlight w:val="none"/>
              </w:rPr>
              <w:t>（2）中标人应根据工程实际情况确定临时占地最长使用期限，占地费用参考项目所在地县区政府公布的区片综合地价标准，建设项目施工和地质勘查等需要临时使用农村集体土地或国有土地，使用期为1年的补偿参考标准为征地片区综合地价的15%。除项目专用合同条款另有约定外，临时占地的租地费用实行总额包干，并计入签约合同价中的“承包人工程施工价款”，招标人将不另行支付。</w:t>
            </w:r>
          </w:p>
          <w:p>
            <w:pPr>
              <w:spacing w:line="400" w:lineRule="exact"/>
              <w:ind w:right="152" w:rightChars="69" w:firstLine="410"/>
              <w:rPr>
                <w:color w:val="auto"/>
                <w:szCs w:val="21"/>
                <w:highlight w:val="none"/>
              </w:rPr>
            </w:pPr>
            <w:r>
              <w:rPr>
                <w:rFonts w:hint="eastAsia"/>
                <w:color w:val="auto"/>
                <w:szCs w:val="21"/>
                <w:highlight w:val="none"/>
              </w:rPr>
              <w:t>（3）投标人的投标报价中应含的保险费按如下规定办理；</w:t>
            </w:r>
          </w:p>
          <w:p>
            <w:pPr>
              <w:spacing w:line="400" w:lineRule="exact"/>
              <w:ind w:right="152" w:rightChars="69" w:firstLine="410"/>
              <w:rPr>
                <w:color w:val="auto"/>
                <w:szCs w:val="21"/>
                <w:highlight w:val="none"/>
              </w:rPr>
            </w:pPr>
            <w:r>
              <w:rPr>
                <w:rFonts w:hint="eastAsia"/>
                <w:color w:val="auto"/>
                <w:szCs w:val="21"/>
                <w:highlight w:val="none"/>
              </w:rPr>
              <w:t>建筑工程一切险和第三者责任险由承包人投保，保险费由承包人承担。投保的范围与条件和保险费率按合同条款第20.1款和第20.4款的规定办理。</w:t>
            </w:r>
          </w:p>
          <w:p>
            <w:pPr>
              <w:spacing w:line="400" w:lineRule="exact"/>
              <w:ind w:right="152" w:rightChars="69" w:firstLine="410"/>
              <w:rPr>
                <w:color w:val="auto"/>
                <w:szCs w:val="21"/>
                <w:highlight w:val="none"/>
              </w:rPr>
            </w:pPr>
            <w:r>
              <w:rPr>
                <w:rFonts w:hint="eastAsia"/>
                <w:color w:val="auto"/>
                <w:szCs w:val="21"/>
                <w:highlight w:val="none"/>
              </w:rPr>
              <w:t>建筑工程一切险的投保金额为工程量清单第100章（不含工程一切险及第三者责任险的保险费）至第600章的合计金额，保险费率由承包人与保险服务商自行商定；第三者责任险的投保金额为100万元/次，保险费率由承包人与保险服务商自行商定，事故次数由承包人自行确定。承包人应充分考虑对本项目进行投保，如出现保险事故金不足以补偿损失的，应由承包人负责补偿。</w:t>
            </w:r>
          </w:p>
          <w:p>
            <w:pPr>
              <w:spacing w:line="400" w:lineRule="exact"/>
              <w:ind w:right="152" w:rightChars="69" w:firstLine="410"/>
              <w:rPr>
                <w:color w:val="auto"/>
                <w:szCs w:val="21"/>
                <w:highlight w:val="none"/>
              </w:rPr>
            </w:pPr>
            <w:r>
              <w:rPr>
                <w:rFonts w:hint="eastAsia"/>
                <w:color w:val="auto"/>
                <w:szCs w:val="21"/>
                <w:highlight w:val="none"/>
              </w:rPr>
              <w:t>上述保险费在工程量清单中列有一个单独的支付子目，由投标人按招标文件中的规定填写总价，中标后发包人将按照保单的实际费用直接向承包人支付保险费。</w:t>
            </w:r>
          </w:p>
          <w:p>
            <w:pPr>
              <w:spacing w:line="400" w:lineRule="exact"/>
              <w:ind w:right="152" w:rightChars="69" w:firstLine="410"/>
              <w:rPr>
                <w:color w:val="auto"/>
                <w:szCs w:val="21"/>
                <w:highlight w:val="none"/>
              </w:rPr>
            </w:pPr>
            <w:r>
              <w:rPr>
                <w:rFonts w:hint="eastAsia"/>
                <w:color w:val="auto"/>
                <w:szCs w:val="21"/>
                <w:highlight w:val="none"/>
              </w:rPr>
              <w:t>承包人必须为其雇用的全部人员办理工伤事故险、人身意外伤害险和为其施工设备办理保险及合同条款规定的其他必要的险种，保险费由承包人承担并支付，所需费用均已含入工程量清单各支付子目的单价或总额价中，并计入签约合同价中的“承包人工程施工价款”，招标人将不另行支付。</w:t>
            </w:r>
          </w:p>
          <w:p>
            <w:pPr>
              <w:spacing w:line="400" w:lineRule="exact"/>
              <w:ind w:right="152" w:rightChars="69" w:firstLine="410"/>
              <w:rPr>
                <w:color w:val="auto"/>
                <w:szCs w:val="21"/>
                <w:highlight w:val="none"/>
              </w:rPr>
            </w:pPr>
            <w:r>
              <w:rPr>
                <w:rFonts w:hint="eastAsia"/>
                <w:color w:val="auto"/>
                <w:szCs w:val="21"/>
                <w:highlight w:val="none"/>
              </w:rPr>
              <w:t>（4）投标人投标时的投标总价是完成施工图纸范围的全部施工内容、并按合同约定履行缺陷责任期内全部义务的价格，其中包含了所需的人工费、材料费、机械费、措施费、管理费、利润、按规定缴纳的规费等全部费用的含税价格，并考虑了合同履行过程中的所有风险。除合同明确约定引起的变更和调整外，该价格不因物价波动而调整、不因招标提供工程量清单有误或漏项而调整、不因除不可抗力因素以外的任何原因而调整，该价格为固定总价。</w:t>
            </w:r>
          </w:p>
          <w:p>
            <w:pPr>
              <w:spacing w:line="400" w:lineRule="exact"/>
              <w:ind w:right="152" w:rightChars="69" w:firstLine="410"/>
              <w:rPr>
                <w:color w:val="auto"/>
                <w:szCs w:val="21"/>
                <w:highlight w:val="none"/>
              </w:rPr>
            </w:pPr>
            <w:r>
              <w:rPr>
                <w:rFonts w:hint="eastAsia"/>
                <w:color w:val="auto"/>
                <w:szCs w:val="21"/>
                <w:highlight w:val="none"/>
              </w:rPr>
              <w:t>（5）投标人应自行踏勘现场以充分了解工地位置、情况、道路、储存空间、装卸限制及任何其他足以影响投标报价的情况，任何因忽视或误解工地情况而导致的索赔或工期延长申请将不补批准。</w:t>
            </w:r>
          </w:p>
          <w:p>
            <w:pPr>
              <w:spacing w:line="400" w:lineRule="exact"/>
              <w:ind w:right="152" w:rightChars="69" w:firstLine="410"/>
              <w:rPr>
                <w:color w:val="auto"/>
                <w:szCs w:val="21"/>
                <w:highlight w:val="none"/>
              </w:rPr>
            </w:pPr>
            <w:r>
              <w:rPr>
                <w:rFonts w:hint="eastAsia"/>
                <w:color w:val="auto"/>
                <w:szCs w:val="21"/>
                <w:highlight w:val="none"/>
              </w:rPr>
              <w:t>（6）施工期间承包人必须严格执行国家、地方政府有关施工安全管理方面的法律、法规及规章制度，同时严格执行发包人制订的本项目安全生产管理方面的规章制度、安全检查程序及施工安全管理要求，所需费用均已含入工程量清单各支付子目的单价或总额价中，并计入签约合同价中的“承包人工程施工价款”，招标人将不另行支付。</w:t>
            </w:r>
          </w:p>
          <w:p>
            <w:pPr>
              <w:spacing w:line="400" w:lineRule="exact"/>
              <w:ind w:right="152" w:rightChars="69" w:firstLine="410"/>
              <w:rPr>
                <w:color w:val="auto"/>
                <w:szCs w:val="21"/>
                <w:highlight w:val="none"/>
              </w:rPr>
            </w:pPr>
            <w:r>
              <w:rPr>
                <w:rFonts w:hint="eastAsia"/>
                <w:color w:val="auto"/>
                <w:szCs w:val="21"/>
                <w:highlight w:val="none"/>
              </w:rPr>
              <w:t>（7）投标人应充分考虑采购满足招标人要求的材料所需的一切费用，所需费用均应已含入工程量清单各支付子目的单价或总额价中，并计入签约合同价中的“承包人工程施工价款”，招标人不将另行支付。</w:t>
            </w:r>
          </w:p>
          <w:p>
            <w:pPr>
              <w:spacing w:line="400" w:lineRule="exact"/>
              <w:ind w:right="152" w:rightChars="69" w:firstLine="410"/>
              <w:rPr>
                <w:color w:val="auto"/>
                <w:szCs w:val="21"/>
                <w:highlight w:val="none"/>
              </w:rPr>
            </w:pPr>
            <w:r>
              <w:rPr>
                <w:rFonts w:hint="eastAsia"/>
                <w:color w:val="auto"/>
                <w:szCs w:val="21"/>
                <w:highlight w:val="none"/>
              </w:rPr>
              <w:t>（8）投标人应充分考虑本项目施工过程中为保证道路通行所采取的各项必要措施，所需费用均已含入工程量清单各支付子目的单价或总额价中，并计入签约合同价中的“承包人工程施工价款”，招标人不将另行支付。</w:t>
            </w:r>
          </w:p>
          <w:p>
            <w:pPr>
              <w:spacing w:line="400" w:lineRule="atLeast"/>
              <w:ind w:left="46" w:leftChars="21" w:firstLine="440" w:firstLineChars="200"/>
              <w:rPr>
                <w:color w:val="auto"/>
                <w:szCs w:val="21"/>
                <w:highlight w:val="none"/>
              </w:rPr>
            </w:pPr>
            <w:r>
              <w:rPr>
                <w:rFonts w:hint="eastAsia"/>
                <w:color w:val="auto"/>
                <w:szCs w:val="21"/>
                <w:highlight w:val="none"/>
              </w:rPr>
              <w:t>（9）投标人应充分考虑不间断施工所需的生产生活相关费用，所需费用均已含入工程量清单各支付子目的单价或总额价中，并计入签约合同价中的“承包人工程施工价款”，招标人不将另行支付。</w:t>
            </w:r>
          </w:p>
          <w:p>
            <w:pPr>
              <w:spacing w:line="400" w:lineRule="atLeast"/>
              <w:ind w:left="46" w:leftChars="21" w:firstLine="440" w:firstLineChars="200"/>
              <w:rPr>
                <w:color w:val="auto"/>
                <w:szCs w:val="21"/>
                <w:highlight w:val="none"/>
              </w:rPr>
            </w:pPr>
            <w:r>
              <w:rPr>
                <w:rFonts w:hint="eastAsia"/>
                <w:color w:val="auto"/>
                <w:szCs w:val="21"/>
                <w:highlight w:val="none"/>
              </w:rPr>
              <w:t>（10）本项目承包人的临时用地选址应由投标人自行调查解决，各投标人应对临时用地位置和面积合理设置施工所需的生产生活设施，所需费用均已含量入工程量清单各支付子目的单价或总额价中，并计入签约合同价中的“承包人工程施工价款”，招标人不将另行支付。</w:t>
            </w:r>
          </w:p>
          <w:p>
            <w:pPr>
              <w:spacing w:line="400" w:lineRule="atLeast"/>
              <w:ind w:left="46" w:leftChars="21" w:firstLine="440" w:firstLineChars="200"/>
              <w:rPr>
                <w:color w:val="auto"/>
                <w:szCs w:val="21"/>
                <w:highlight w:val="none"/>
              </w:rPr>
            </w:pPr>
            <w:r>
              <w:rPr>
                <w:rFonts w:hint="eastAsia"/>
                <w:color w:val="auto"/>
                <w:szCs w:val="21"/>
                <w:highlight w:val="none"/>
              </w:rPr>
              <w:t>（11）投标人应充分考虑本项目施工可以与其他工程等发生的干扰与交叉，并将因此带来的费用含入工程量清单各支付子目的单价或总额价中，并计入签约合同价中的“承包人工程施工价款”，招标人不将另行支付。</w:t>
            </w:r>
          </w:p>
          <w:p>
            <w:pPr>
              <w:spacing w:line="400" w:lineRule="atLeast"/>
              <w:ind w:left="46" w:leftChars="21" w:firstLine="440" w:firstLineChars="200"/>
              <w:rPr>
                <w:color w:val="auto"/>
                <w:szCs w:val="21"/>
                <w:highlight w:val="none"/>
              </w:rPr>
            </w:pPr>
            <w:r>
              <w:rPr>
                <w:rFonts w:hint="eastAsia"/>
                <w:color w:val="auto"/>
                <w:szCs w:val="21"/>
                <w:highlight w:val="none"/>
              </w:rPr>
              <w:t>（12）投标人中标后，须向鞍山市公共资源交易中心缴纳交易服务费，收费标准按辽宁省物价局“辽价函【2018】1号”文件规定收费标准执行，同时约定招标人及中标人应缴纳的交易服务费全部由中标人承担。</w:t>
            </w:r>
          </w:p>
          <w:p>
            <w:pPr>
              <w:spacing w:line="400" w:lineRule="exact"/>
              <w:ind w:firstLine="440" w:firstLineChars="200"/>
              <w:rPr>
                <w:color w:val="auto"/>
                <w:szCs w:val="21"/>
                <w:highlight w:val="none"/>
              </w:rPr>
            </w:pPr>
            <w:r>
              <w:rPr>
                <w:rFonts w:hint="eastAsia"/>
                <w:color w:val="auto"/>
                <w:szCs w:val="21"/>
                <w:highlight w:val="none"/>
              </w:rPr>
              <w:t>（13）除招标文件另有规定外，根据国家和辽宁省有关的法律、法规的规定，以投标人作为征收对象的所有税费，包括因国家实际营业税改增值税征收税费而引起的费用的变化，均包含在投标人的工程量清单各子目的综合单价中，并计入签约合同价中的“承包人工程施工价款”，招标人不将另行支付（增加或扣减），中标人按照国家相关税收法律、法规向招标人出具各支付款项的增值税专用（或普通）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exact"/>
              <w:jc w:val="center"/>
              <w:rPr>
                <w:color w:val="auto"/>
                <w:sz w:val="21"/>
                <w:szCs w:val="21"/>
                <w:highlight w:val="none"/>
              </w:rPr>
            </w:pPr>
            <w:r>
              <w:rPr>
                <w:rFonts w:hint="eastAsia"/>
                <w:color w:val="auto"/>
                <w:szCs w:val="21"/>
                <w:highlight w:val="none"/>
              </w:rPr>
              <w:t>3.7</w:t>
            </w:r>
          </w:p>
        </w:tc>
        <w:tc>
          <w:tcPr>
            <w:tcW w:w="8305" w:type="dxa"/>
            <w:gridSpan w:val="2"/>
            <w:vAlign w:val="center"/>
          </w:tcPr>
          <w:p>
            <w:pPr>
              <w:spacing w:line="360" w:lineRule="exact"/>
              <w:ind w:firstLine="468" w:firstLineChars="213"/>
              <w:rPr>
                <w:color w:val="auto"/>
                <w:szCs w:val="21"/>
                <w:highlight w:val="none"/>
              </w:rPr>
            </w:pPr>
            <w:r>
              <w:rPr>
                <w:rFonts w:hint="eastAsia"/>
                <w:color w:val="auto"/>
                <w:szCs w:val="21"/>
                <w:highlight w:val="none"/>
              </w:rPr>
              <w:t>3.7 投标文件的编制</w:t>
            </w:r>
          </w:p>
          <w:p>
            <w:pPr>
              <w:spacing w:line="360" w:lineRule="exact"/>
              <w:ind w:firstLine="468" w:firstLineChars="213"/>
              <w:rPr>
                <w:color w:val="auto"/>
                <w:szCs w:val="21"/>
                <w:highlight w:val="none"/>
              </w:rPr>
            </w:pPr>
            <w:r>
              <w:rPr>
                <w:rFonts w:hint="eastAsia"/>
                <w:color w:val="auto"/>
                <w:szCs w:val="21"/>
                <w:highlight w:val="none"/>
              </w:rPr>
              <w:t>本款增加第3.7.6项：</w:t>
            </w:r>
          </w:p>
          <w:p>
            <w:pPr>
              <w:spacing w:line="360" w:lineRule="exact"/>
              <w:ind w:firstLine="468" w:firstLineChars="213"/>
              <w:rPr>
                <w:color w:val="auto"/>
                <w:sz w:val="21"/>
                <w:szCs w:val="21"/>
                <w:highlight w:val="none"/>
              </w:rPr>
            </w:pPr>
            <w:r>
              <w:rPr>
                <w:rFonts w:hint="eastAsia"/>
                <w:color w:val="auto"/>
                <w:szCs w:val="21"/>
                <w:highlight w:val="none"/>
              </w:rPr>
              <w:t>3.7.6投标文件第一个信封（商务及技术文件）不应出现有关投标报价的内容。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00" w:lineRule="exact"/>
              <w:jc w:val="center"/>
              <w:rPr>
                <w:color w:val="auto"/>
                <w:sz w:val="21"/>
                <w:szCs w:val="21"/>
                <w:highlight w:val="none"/>
              </w:rPr>
            </w:pPr>
            <w:r>
              <w:rPr>
                <w:rFonts w:hint="eastAsia"/>
                <w:color w:val="auto"/>
                <w:szCs w:val="21"/>
                <w:highlight w:val="none"/>
              </w:rPr>
              <w:t>7</w:t>
            </w:r>
          </w:p>
        </w:tc>
        <w:tc>
          <w:tcPr>
            <w:tcW w:w="8305" w:type="dxa"/>
            <w:gridSpan w:val="2"/>
            <w:vAlign w:val="center"/>
          </w:tcPr>
          <w:p>
            <w:pPr>
              <w:adjustRightInd w:val="0"/>
              <w:snapToGrid w:val="0"/>
              <w:spacing w:line="336" w:lineRule="auto"/>
              <w:rPr>
                <w:color w:val="auto"/>
                <w:sz w:val="21"/>
                <w:szCs w:val="21"/>
                <w:highlight w:val="none"/>
              </w:rPr>
            </w:pPr>
            <w:r>
              <w:rPr>
                <w:rFonts w:hint="eastAsia"/>
                <w:color w:val="auto"/>
                <w:sz w:val="21"/>
                <w:szCs w:val="21"/>
                <w:highlight w:val="none"/>
              </w:rPr>
              <w:t>7.合同授予</w:t>
            </w:r>
          </w:p>
          <w:p>
            <w:pPr>
              <w:adjustRightInd w:val="0"/>
              <w:snapToGrid w:val="0"/>
              <w:spacing w:line="336" w:lineRule="auto"/>
              <w:rPr>
                <w:color w:val="auto"/>
                <w:sz w:val="21"/>
                <w:szCs w:val="21"/>
                <w:highlight w:val="none"/>
              </w:rPr>
            </w:pPr>
            <w:r>
              <w:rPr>
                <w:color w:val="auto"/>
                <w:sz w:val="21"/>
                <w:szCs w:val="21"/>
                <w:highlight w:val="none"/>
              </w:rPr>
              <w:t>7.</w:t>
            </w:r>
            <w:r>
              <w:rPr>
                <w:rFonts w:hint="eastAsia"/>
                <w:color w:val="auto"/>
                <w:sz w:val="21"/>
                <w:szCs w:val="21"/>
                <w:highlight w:val="none"/>
              </w:rPr>
              <w:t>8</w:t>
            </w:r>
            <w:r>
              <w:rPr>
                <w:color w:val="auto"/>
                <w:sz w:val="21"/>
                <w:szCs w:val="21"/>
                <w:highlight w:val="none"/>
              </w:rPr>
              <w:t xml:space="preserve"> 签订合同</w:t>
            </w:r>
          </w:p>
          <w:p>
            <w:pPr>
              <w:adjustRightInd w:val="0"/>
              <w:snapToGrid w:val="0"/>
              <w:spacing w:line="336" w:lineRule="auto"/>
              <w:rPr>
                <w:color w:val="auto"/>
                <w:sz w:val="21"/>
                <w:szCs w:val="21"/>
                <w:highlight w:val="none"/>
              </w:rPr>
            </w:pPr>
            <w:r>
              <w:rPr>
                <w:rFonts w:hint="eastAsia"/>
                <w:color w:val="auto"/>
                <w:sz w:val="21"/>
                <w:szCs w:val="21"/>
                <w:highlight w:val="none"/>
              </w:rPr>
              <w:t>补充第7.8.6项：</w:t>
            </w:r>
          </w:p>
          <w:p>
            <w:pPr>
              <w:adjustRightInd w:val="0"/>
              <w:snapToGrid w:val="0"/>
              <w:spacing w:line="336" w:lineRule="auto"/>
              <w:rPr>
                <w:color w:val="auto"/>
                <w:sz w:val="21"/>
                <w:szCs w:val="21"/>
                <w:highlight w:val="none"/>
              </w:rPr>
            </w:pPr>
            <w:r>
              <w:rPr>
                <w:rFonts w:hint="eastAsia"/>
                <w:color w:val="auto"/>
                <w:sz w:val="21"/>
                <w:szCs w:val="21"/>
                <w:highlight w:val="none"/>
              </w:rPr>
              <w:t>7.8.6人员、设备履约要求</w:t>
            </w:r>
          </w:p>
          <w:p>
            <w:pPr>
              <w:adjustRightInd w:val="0"/>
              <w:snapToGrid w:val="0"/>
              <w:spacing w:line="336" w:lineRule="auto"/>
              <w:ind w:firstLine="441"/>
              <w:rPr>
                <w:color w:val="auto"/>
                <w:sz w:val="21"/>
                <w:szCs w:val="21"/>
                <w:highlight w:val="none"/>
              </w:rPr>
            </w:pPr>
            <w:r>
              <w:rPr>
                <w:rFonts w:hint="eastAsia"/>
                <w:color w:val="auto"/>
                <w:sz w:val="21"/>
                <w:szCs w:val="21"/>
                <w:highlight w:val="none"/>
              </w:rPr>
              <w:t>中标人在收到中标通知书后，应及时向招标人报送满足要求的其他管理和技术人员、其他设备的详细资料【详见合同附件格式《附件四：其他管理和技术人员最低要求》《附件五：主要机械及试验测量设备最低要求》】，如中标人报送的人员或机械设备不满足招标文件要求，招标人有权取消其中标资格。</w:t>
            </w:r>
          </w:p>
          <w:p>
            <w:pPr>
              <w:adjustRightInd w:val="0"/>
              <w:snapToGrid w:val="0"/>
              <w:spacing w:line="336" w:lineRule="auto"/>
              <w:ind w:firstLine="441"/>
              <w:rPr>
                <w:color w:val="auto"/>
                <w:szCs w:val="21"/>
                <w:highlight w:val="none"/>
              </w:rPr>
            </w:pPr>
            <w:r>
              <w:rPr>
                <w:rFonts w:hint="eastAsia"/>
                <w:color w:val="auto"/>
                <w:sz w:val="21"/>
                <w:szCs w:val="21"/>
                <w:highlight w:val="none"/>
              </w:rPr>
              <w:t>中标人进场时，如果所提供的人员、设备低于投标阶段以及中标后合同谈判阶段所承诺的人员或机械设备最低标准，即被认为未按合同文件规定履约，发包人将有权与中标人解除合同，另行安排其他单位进行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jc w:val="center"/>
              <w:rPr>
                <w:color w:val="auto"/>
                <w:sz w:val="21"/>
                <w:szCs w:val="21"/>
                <w:highlight w:val="none"/>
              </w:rPr>
            </w:pPr>
            <w:r>
              <w:rPr>
                <w:rFonts w:hint="eastAsia"/>
                <w:color w:val="auto"/>
                <w:szCs w:val="21"/>
                <w:highlight w:val="none"/>
              </w:rPr>
              <w:t>10.2</w:t>
            </w:r>
          </w:p>
        </w:tc>
        <w:tc>
          <w:tcPr>
            <w:tcW w:w="8305" w:type="dxa"/>
            <w:gridSpan w:val="2"/>
            <w:vAlign w:val="center"/>
          </w:tcPr>
          <w:p>
            <w:pPr>
              <w:spacing w:line="440" w:lineRule="exact"/>
              <w:rPr>
                <w:color w:val="auto"/>
                <w:szCs w:val="21"/>
                <w:highlight w:val="none"/>
              </w:rPr>
            </w:pPr>
            <w:r>
              <w:rPr>
                <w:rFonts w:hint="eastAsia"/>
                <w:color w:val="auto"/>
                <w:szCs w:val="21"/>
                <w:highlight w:val="none"/>
              </w:rPr>
              <w:t>补充第10.2款</w:t>
            </w:r>
          </w:p>
          <w:p>
            <w:pPr>
              <w:spacing w:line="440" w:lineRule="exact"/>
              <w:ind w:firstLine="444" w:firstLineChars="202"/>
              <w:rPr>
                <w:color w:val="auto"/>
                <w:szCs w:val="21"/>
                <w:highlight w:val="none"/>
              </w:rPr>
            </w:pPr>
            <w:r>
              <w:rPr>
                <w:rFonts w:hint="eastAsia"/>
                <w:color w:val="auto"/>
                <w:szCs w:val="21"/>
                <w:highlight w:val="none"/>
              </w:rPr>
              <w:t>存在下列情形之一的，招标人重新招标：</w:t>
            </w:r>
          </w:p>
          <w:p>
            <w:pPr>
              <w:spacing w:line="440" w:lineRule="exact"/>
              <w:ind w:firstLine="444" w:firstLineChars="202"/>
              <w:rPr>
                <w:color w:val="auto"/>
                <w:szCs w:val="21"/>
                <w:highlight w:val="none"/>
              </w:rPr>
            </w:pPr>
            <w:r>
              <w:rPr>
                <w:rFonts w:hint="eastAsia"/>
                <w:color w:val="auto"/>
                <w:szCs w:val="21"/>
                <w:highlight w:val="none"/>
              </w:rPr>
              <w:t>（1）投标截止时间止，投标人少于3个的；</w:t>
            </w:r>
          </w:p>
          <w:p>
            <w:pPr>
              <w:spacing w:line="440" w:lineRule="exact"/>
              <w:ind w:firstLine="444" w:firstLineChars="202"/>
              <w:rPr>
                <w:color w:val="auto"/>
                <w:szCs w:val="21"/>
                <w:highlight w:val="none"/>
              </w:rPr>
            </w:pPr>
            <w:r>
              <w:rPr>
                <w:rFonts w:hint="eastAsia"/>
                <w:color w:val="auto"/>
                <w:szCs w:val="21"/>
                <w:highlight w:val="none"/>
              </w:rPr>
              <w:t>（2）经评标委员会评审后否决所有投标的；</w:t>
            </w:r>
          </w:p>
          <w:p>
            <w:pPr>
              <w:spacing w:line="440" w:lineRule="exact"/>
              <w:ind w:firstLine="444" w:firstLineChars="202"/>
              <w:rPr>
                <w:color w:val="auto"/>
                <w:szCs w:val="21"/>
                <w:highlight w:val="none"/>
              </w:rPr>
            </w:pPr>
            <w:r>
              <w:rPr>
                <w:rFonts w:hint="eastAsia"/>
                <w:color w:val="auto"/>
                <w:szCs w:val="21"/>
                <w:highlight w:val="none"/>
              </w:rPr>
              <w:t>（3）经评标委员会评审后未推荐中标候选人的；</w:t>
            </w:r>
          </w:p>
          <w:p>
            <w:pPr>
              <w:spacing w:line="440" w:lineRule="exact"/>
              <w:ind w:firstLine="444" w:firstLineChars="202"/>
              <w:rPr>
                <w:color w:val="auto"/>
                <w:szCs w:val="21"/>
                <w:highlight w:val="none"/>
              </w:rPr>
            </w:pPr>
            <w:r>
              <w:rPr>
                <w:rFonts w:hint="eastAsia"/>
                <w:color w:val="auto"/>
                <w:szCs w:val="21"/>
                <w:highlight w:val="none"/>
              </w:rPr>
              <w:t>（4）中标候选人均未与招标人签订合同的；</w:t>
            </w:r>
          </w:p>
          <w:p>
            <w:pPr>
              <w:spacing w:line="440" w:lineRule="exact"/>
              <w:ind w:firstLine="444" w:firstLineChars="202"/>
              <w:rPr>
                <w:color w:val="auto"/>
                <w:sz w:val="21"/>
                <w:szCs w:val="21"/>
                <w:highlight w:val="none"/>
              </w:rPr>
            </w:pPr>
            <w:r>
              <w:rPr>
                <w:rFonts w:hint="eastAsia"/>
                <w:color w:val="auto"/>
                <w:szCs w:val="21"/>
                <w:highlight w:val="none"/>
              </w:rPr>
              <w:t>（5）法律规定的其他情形。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jc w:val="center"/>
              <w:rPr>
                <w:color w:val="auto"/>
                <w:sz w:val="21"/>
                <w:szCs w:val="21"/>
                <w:highlight w:val="none"/>
              </w:rPr>
            </w:pPr>
            <w:r>
              <w:rPr>
                <w:rFonts w:hint="eastAsia"/>
                <w:color w:val="auto"/>
                <w:szCs w:val="21"/>
                <w:highlight w:val="none"/>
              </w:rPr>
              <w:t>10.3</w:t>
            </w:r>
          </w:p>
        </w:tc>
        <w:tc>
          <w:tcPr>
            <w:tcW w:w="8305" w:type="dxa"/>
            <w:gridSpan w:val="2"/>
            <w:vAlign w:val="center"/>
          </w:tcPr>
          <w:p>
            <w:pPr>
              <w:spacing w:line="440" w:lineRule="exact"/>
              <w:rPr>
                <w:color w:val="auto"/>
                <w:szCs w:val="21"/>
                <w:highlight w:val="none"/>
              </w:rPr>
            </w:pPr>
            <w:r>
              <w:rPr>
                <w:rFonts w:hint="eastAsia"/>
                <w:color w:val="auto"/>
                <w:szCs w:val="21"/>
                <w:highlight w:val="none"/>
              </w:rPr>
              <w:t>补充第10.3款：</w:t>
            </w:r>
          </w:p>
          <w:p>
            <w:pPr>
              <w:spacing w:line="440" w:lineRule="exact"/>
              <w:rPr>
                <w:color w:val="auto"/>
                <w:sz w:val="21"/>
                <w:szCs w:val="21"/>
                <w:highlight w:val="none"/>
              </w:rPr>
            </w:pPr>
            <w:r>
              <w:rPr>
                <w:rFonts w:hint="eastAsia"/>
                <w:color w:val="auto"/>
                <w:szCs w:val="21"/>
                <w:highlight w:val="none"/>
              </w:rPr>
              <w:t>构成本招标文件各个组成部分的文件，未经招标人书面同意，投标人不得擅自复印和用于非本招标项目所需的其他目的。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jc w:val="center"/>
              <w:rPr>
                <w:color w:val="auto"/>
                <w:sz w:val="21"/>
                <w:szCs w:val="21"/>
                <w:highlight w:val="none"/>
              </w:rPr>
            </w:pPr>
            <w:r>
              <w:rPr>
                <w:rFonts w:hint="eastAsia"/>
                <w:color w:val="auto"/>
                <w:szCs w:val="21"/>
                <w:highlight w:val="none"/>
              </w:rPr>
              <w:t>10.4</w:t>
            </w:r>
          </w:p>
        </w:tc>
        <w:tc>
          <w:tcPr>
            <w:tcW w:w="8305" w:type="dxa"/>
            <w:gridSpan w:val="2"/>
            <w:vAlign w:val="center"/>
          </w:tcPr>
          <w:p>
            <w:pPr>
              <w:spacing w:line="420" w:lineRule="exact"/>
              <w:rPr>
                <w:color w:val="auto"/>
                <w:szCs w:val="21"/>
                <w:highlight w:val="none"/>
              </w:rPr>
            </w:pPr>
            <w:r>
              <w:rPr>
                <w:rFonts w:hint="eastAsia"/>
                <w:color w:val="auto"/>
                <w:szCs w:val="21"/>
                <w:highlight w:val="none"/>
              </w:rPr>
              <w:t>补充第10.4款：</w:t>
            </w:r>
          </w:p>
          <w:p>
            <w:pPr>
              <w:spacing w:line="420" w:lineRule="exact"/>
              <w:rPr>
                <w:color w:val="auto"/>
                <w:sz w:val="21"/>
                <w:szCs w:val="21"/>
                <w:highlight w:val="none"/>
              </w:rPr>
            </w:pPr>
            <w:r>
              <w:rPr>
                <w:rFonts w:hint="eastAsia"/>
                <w:color w:val="auto"/>
                <w:szCs w:val="21"/>
                <w:highlight w:val="none"/>
              </w:rPr>
              <w:t>构成招标文件组成部分的第二章、第四章～第八章中出现的措辞“发包人”和“承包人”，在招标投标阶段应当分别按“招标人”和“投标人（或中标人）”进行理解；构成招标文件组成部分的第二章中出现的措辞“招标人”和“投标人（或中标人）”，且与合同文件相关的条款，在合同履约阶段应当分别按“发包人”和“承包人”进行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jc w:val="center"/>
              <w:rPr>
                <w:color w:val="auto"/>
                <w:sz w:val="21"/>
                <w:szCs w:val="21"/>
                <w:highlight w:val="none"/>
              </w:rPr>
            </w:pPr>
            <w:r>
              <w:rPr>
                <w:rFonts w:hint="eastAsia"/>
                <w:color w:val="auto"/>
                <w:szCs w:val="21"/>
                <w:highlight w:val="none"/>
              </w:rPr>
              <w:t>10.5</w:t>
            </w:r>
          </w:p>
        </w:tc>
        <w:tc>
          <w:tcPr>
            <w:tcW w:w="8305" w:type="dxa"/>
            <w:gridSpan w:val="2"/>
            <w:vAlign w:val="center"/>
          </w:tcPr>
          <w:p>
            <w:pPr>
              <w:spacing w:line="420" w:lineRule="exact"/>
              <w:rPr>
                <w:color w:val="auto"/>
                <w:szCs w:val="21"/>
                <w:highlight w:val="none"/>
              </w:rPr>
            </w:pPr>
            <w:r>
              <w:rPr>
                <w:rFonts w:hint="eastAsia"/>
                <w:color w:val="auto"/>
                <w:szCs w:val="21"/>
                <w:highlight w:val="none"/>
              </w:rPr>
              <w:t>补充第10.5款：</w:t>
            </w:r>
          </w:p>
          <w:p>
            <w:pPr>
              <w:spacing w:line="420" w:lineRule="exact"/>
              <w:rPr>
                <w:color w:val="auto"/>
                <w:sz w:val="21"/>
                <w:szCs w:val="21"/>
                <w:highlight w:val="none"/>
              </w:rPr>
            </w:pPr>
            <w:r>
              <w:rPr>
                <w:rFonts w:hint="eastAsia"/>
                <w:color w:val="auto"/>
                <w:szCs w:val="21"/>
                <w:highlight w:val="none"/>
              </w:rPr>
              <w:t>构成本招标文件的各个组成文件应互为解释，互为说明；如有不明确或不一致，构成合同文件组成内容的，以合同文件约定内容为准，且以合同协议书约定的合同优先顺序解释；除招标文件中有特别规定外，仅适用于招标投标阶段的规定，按招标公告、投标人须知、评标办法、投标文件格式的先后顺序解释；同一组成文件中就同一事项的规定或约定不一致的，以编制顺序在后者为准；同一组成文件不同版本之间有不一致的，以形成时间在后者为准。按本款前述规定仍不能形成结论的，由招标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ind w:firstLine="110" w:firstLineChars="50"/>
              <w:jc w:val="center"/>
              <w:rPr>
                <w:color w:val="auto"/>
                <w:sz w:val="21"/>
                <w:szCs w:val="21"/>
                <w:highlight w:val="none"/>
              </w:rPr>
            </w:pPr>
            <w:r>
              <w:rPr>
                <w:rFonts w:hint="eastAsia"/>
                <w:color w:val="auto"/>
                <w:szCs w:val="21"/>
                <w:highlight w:val="none"/>
              </w:rPr>
              <w:t>10.6</w:t>
            </w:r>
          </w:p>
        </w:tc>
        <w:tc>
          <w:tcPr>
            <w:tcW w:w="8305" w:type="dxa"/>
            <w:gridSpan w:val="2"/>
          </w:tcPr>
          <w:p>
            <w:pPr>
              <w:spacing w:line="420" w:lineRule="exact"/>
              <w:rPr>
                <w:color w:val="auto"/>
                <w:sz w:val="21"/>
                <w:szCs w:val="21"/>
                <w:highlight w:val="none"/>
              </w:rPr>
            </w:pPr>
            <w:r>
              <w:rPr>
                <w:rFonts w:hint="eastAsia"/>
                <w:color w:val="auto"/>
                <w:szCs w:val="21"/>
                <w:highlight w:val="none"/>
              </w:rPr>
              <w:t>补充第10.6款：改性沥青加工承包单位对于生产厂家的选择原则：改性沥青生产厂家应具有专业性、规模性，应能保证生产的联续性，中标人中标后，对于生产厂家的选定应征得招标人同意，该项应列入承包合同签定前的合同谈判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jc w:val="center"/>
              <w:rPr>
                <w:color w:val="auto"/>
                <w:sz w:val="21"/>
                <w:szCs w:val="21"/>
                <w:highlight w:val="none"/>
              </w:rPr>
            </w:pPr>
            <w:r>
              <w:rPr>
                <w:rFonts w:hint="eastAsia"/>
                <w:color w:val="auto"/>
                <w:szCs w:val="21"/>
                <w:highlight w:val="none"/>
              </w:rPr>
              <w:t>10.</w:t>
            </w:r>
            <w:r>
              <w:rPr>
                <w:rFonts w:hint="eastAsia"/>
                <w:color w:val="auto"/>
                <w:szCs w:val="21"/>
                <w:highlight w:val="none"/>
                <w:lang w:val="en-US"/>
              </w:rPr>
              <w:t>7</w:t>
            </w:r>
          </w:p>
        </w:tc>
        <w:tc>
          <w:tcPr>
            <w:tcW w:w="8305" w:type="dxa"/>
            <w:gridSpan w:val="2"/>
          </w:tcPr>
          <w:p>
            <w:pPr>
              <w:spacing w:line="420" w:lineRule="exact"/>
              <w:rPr>
                <w:color w:val="auto"/>
                <w:highlight w:val="none"/>
              </w:rPr>
            </w:pPr>
            <w:r>
              <w:rPr>
                <w:rFonts w:hint="eastAsia"/>
                <w:color w:val="auto"/>
                <w:szCs w:val="21"/>
                <w:highlight w:val="none"/>
              </w:rPr>
              <w:t>补充第10.7款：</w:t>
            </w:r>
            <w:r>
              <w:rPr>
                <w:rFonts w:hint="eastAsia"/>
                <w:color w:val="auto"/>
                <w:highlight w:val="none"/>
              </w:rPr>
              <w:t>本项目招标代理服务费由</w:t>
            </w:r>
            <w:r>
              <w:rPr>
                <w:rFonts w:hint="eastAsia"/>
                <w:color w:val="auto"/>
                <w:highlight w:val="none"/>
                <w:lang w:val="en-US"/>
              </w:rPr>
              <w:t>代建单位</w:t>
            </w:r>
            <w:r>
              <w:rPr>
                <w:rFonts w:hint="eastAsia"/>
                <w:color w:val="auto"/>
                <w:highlight w:val="none"/>
              </w:rPr>
              <w:t>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440" w:lineRule="exact"/>
              <w:ind w:firstLine="110" w:firstLineChars="50"/>
              <w:jc w:val="center"/>
              <w:rPr>
                <w:color w:val="auto"/>
                <w:sz w:val="21"/>
                <w:szCs w:val="21"/>
                <w:highlight w:val="none"/>
              </w:rPr>
            </w:pPr>
            <w:r>
              <w:rPr>
                <w:rFonts w:hint="eastAsia"/>
                <w:color w:val="auto"/>
                <w:szCs w:val="21"/>
                <w:highlight w:val="none"/>
              </w:rPr>
              <w:t>10.8</w:t>
            </w:r>
          </w:p>
        </w:tc>
        <w:tc>
          <w:tcPr>
            <w:tcW w:w="8305" w:type="dxa"/>
            <w:gridSpan w:val="2"/>
            <w:vAlign w:val="center"/>
          </w:tcPr>
          <w:p>
            <w:pPr>
              <w:snapToGrid w:val="0"/>
              <w:spacing w:line="360" w:lineRule="exact"/>
              <w:rPr>
                <w:color w:val="auto"/>
                <w:szCs w:val="21"/>
                <w:highlight w:val="none"/>
              </w:rPr>
            </w:pPr>
            <w:r>
              <w:rPr>
                <w:rFonts w:hint="eastAsia"/>
                <w:color w:val="auto"/>
                <w:szCs w:val="21"/>
                <w:highlight w:val="none"/>
              </w:rPr>
              <w:t>补充第10.8款：</w:t>
            </w:r>
          </w:p>
          <w:p>
            <w:pPr>
              <w:snapToGrid w:val="0"/>
              <w:spacing w:line="360" w:lineRule="exact"/>
              <w:rPr>
                <w:color w:val="auto"/>
                <w:szCs w:val="21"/>
                <w:highlight w:val="none"/>
              </w:rPr>
            </w:pPr>
            <w:r>
              <w:rPr>
                <w:rFonts w:hint="eastAsia"/>
                <w:color w:val="auto"/>
                <w:szCs w:val="21"/>
                <w:highlight w:val="none"/>
              </w:rPr>
              <w:t xml:space="preserve">10.8.1投标人拟派本项目的注册建造师须为投标人本企业注册职工，且保证在施工期间不间断的在现场履行职责，并具有“项目经理安全生产考核合格证书”。 </w:t>
            </w:r>
          </w:p>
          <w:p>
            <w:pPr>
              <w:snapToGrid w:val="0"/>
              <w:spacing w:line="360" w:lineRule="exact"/>
              <w:rPr>
                <w:color w:val="auto"/>
                <w:szCs w:val="21"/>
                <w:highlight w:val="none"/>
              </w:rPr>
            </w:pPr>
            <w:r>
              <w:rPr>
                <w:rFonts w:hint="eastAsia"/>
                <w:color w:val="auto"/>
                <w:szCs w:val="21"/>
                <w:highlight w:val="none"/>
              </w:rPr>
              <w:t xml:space="preserve">10.8.2投标人须承诺：在没有得到招标人同意的情况下不得更换注册建造师及技术负责人等主要施工人员。投标人如需要更换注册建造师，应至少提前7天以书面形式通知招标人，并征得招标人同意。后任注册建造师的资格、资历、业务水平应不得低于前任注册建造师，否则招标人将要求中标人调换注册建造师直至招标人满意为止。 </w:t>
            </w:r>
          </w:p>
          <w:p>
            <w:pPr>
              <w:snapToGrid w:val="0"/>
              <w:spacing w:line="360" w:lineRule="exact"/>
              <w:rPr>
                <w:color w:val="auto"/>
                <w:sz w:val="21"/>
                <w:szCs w:val="21"/>
                <w:highlight w:val="none"/>
              </w:rPr>
            </w:pPr>
            <w:r>
              <w:rPr>
                <w:rFonts w:hint="eastAsia"/>
                <w:color w:val="auto"/>
                <w:szCs w:val="21"/>
                <w:highlight w:val="none"/>
              </w:rPr>
              <w:t>1</w:t>
            </w:r>
            <w:r>
              <w:rPr>
                <w:rFonts w:hint="eastAsia" w:cs="Times New Roman"/>
                <w:color w:val="auto"/>
                <w:szCs w:val="21"/>
                <w:highlight w:val="none"/>
              </w:rPr>
              <w:t xml:space="preserve">0.8.3投标单位投标时可执行建办市函[2016]462号文《住房城乡建设部办公厅关于规范使用建筑业企业资质证书的通知》。《住房城乡建设部关于印发〈建筑业企业资质管理规定和资质标准实施意见〉的通知》（建市〔2015〕20 号）规定，每套新版建筑业企业资质证书包括1个正本和1个副本，每本证书上均印制二维码标识。为切实减轻企业负担，各有关部门和单位在对企业跨地区承揽业务监督管理、招标活动中，企业资质情况也可通过扫描建筑业企业资质证书复印件（加盖公章）的二维码查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spacing w:line="360" w:lineRule="auto"/>
              <w:jc w:val="center"/>
              <w:rPr>
                <w:color w:val="auto"/>
                <w:szCs w:val="21"/>
                <w:highlight w:val="none"/>
                <w:lang w:val="en-US"/>
              </w:rPr>
            </w:pPr>
            <w:r>
              <w:rPr>
                <w:rFonts w:hint="eastAsia"/>
                <w:color w:val="auto"/>
                <w:sz w:val="21"/>
                <w:szCs w:val="21"/>
                <w:highlight w:val="none"/>
              </w:rPr>
              <w:t>10.</w:t>
            </w:r>
            <w:r>
              <w:rPr>
                <w:rFonts w:hint="eastAsia"/>
                <w:color w:val="auto"/>
                <w:sz w:val="21"/>
                <w:szCs w:val="21"/>
                <w:highlight w:val="none"/>
                <w:lang w:val="en-US"/>
              </w:rPr>
              <w:t>9</w:t>
            </w:r>
          </w:p>
        </w:tc>
        <w:tc>
          <w:tcPr>
            <w:tcW w:w="8305" w:type="dxa"/>
            <w:gridSpan w:val="2"/>
            <w:vAlign w:val="center"/>
          </w:tcPr>
          <w:p>
            <w:pPr>
              <w:spacing w:line="360" w:lineRule="auto"/>
              <w:jc w:val="both"/>
              <w:rPr>
                <w:rFonts w:ascii="黑体" w:hAnsi="黑体" w:eastAsia="黑体" w:cs="黑体"/>
                <w:color w:val="auto"/>
                <w:sz w:val="24"/>
                <w:szCs w:val="24"/>
                <w:highlight w:val="none"/>
              </w:rPr>
            </w:pPr>
            <w:r>
              <w:rPr>
                <w:rFonts w:hint="eastAsia"/>
                <w:color w:val="auto"/>
                <w:sz w:val="21"/>
                <w:szCs w:val="21"/>
                <w:highlight w:val="none"/>
              </w:rPr>
              <w:t>投标单位须确保在招标代理机构登记的联系人姓名、电话、邮箱和传真号码的准确性及在招标期间的通畅性。否则，由此引起的答疑文件、补遗文件和其他相关信息无法收到，投标单位须行承担全部责任。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7" w:type="dxa"/>
            <w:vAlign w:val="center"/>
          </w:tcPr>
          <w:p>
            <w:pPr>
              <w:widowControl/>
              <w:spacing w:line="420" w:lineRule="atLeast"/>
              <w:jc w:val="center"/>
              <w:rPr>
                <w:color w:val="auto"/>
                <w:sz w:val="21"/>
                <w:szCs w:val="21"/>
                <w:highlight w:val="none"/>
                <w:lang w:val="en-US"/>
              </w:rPr>
            </w:pPr>
            <w:r>
              <w:rPr>
                <w:rFonts w:hint="eastAsia"/>
                <w:color w:val="auto"/>
                <w:szCs w:val="21"/>
                <w:highlight w:val="none"/>
                <w:lang w:val="en-US"/>
              </w:rPr>
              <w:t>10.10</w:t>
            </w:r>
          </w:p>
        </w:tc>
        <w:tc>
          <w:tcPr>
            <w:tcW w:w="8305" w:type="dxa"/>
            <w:gridSpan w:val="2"/>
            <w:vAlign w:val="center"/>
          </w:tcPr>
          <w:p>
            <w:pPr>
              <w:widowControl/>
              <w:spacing w:line="360" w:lineRule="exact"/>
              <w:ind w:firstLine="480" w:firstLineChars="2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本次开标采用“腾讯会议”形式开标，投标单位可自行下载APP“腾讯会议”，并在开标时间前20分钟进入会议同时修改名称为投标单位名称。具体内容如下：</w:t>
            </w:r>
          </w:p>
          <w:p>
            <w:pPr>
              <w:widowControl/>
              <w:spacing w:line="360" w:lineRule="exact"/>
              <w:ind w:firstLine="480" w:firstLineChars="200"/>
              <w:rPr>
                <w:rFonts w:hint="eastAsia" w:ascii="黑体" w:hAnsi="黑体" w:eastAsia="黑体" w:cs="黑体"/>
                <w:color w:val="auto"/>
                <w:sz w:val="24"/>
                <w:szCs w:val="24"/>
                <w:highlight w:val="none"/>
                <w:u w:val="single"/>
                <w:lang w:eastAsia="zh-CN"/>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u w:val="single"/>
                <w:lang w:eastAsia="zh-CN"/>
              </w:rPr>
              <w:t>鞍山市库盘线张荒地辽河大桥维修加固工程</w:t>
            </w:r>
          </w:p>
          <w:p>
            <w:pPr>
              <w:widowControl/>
              <w:spacing w:line="420" w:lineRule="atLeast"/>
              <w:rPr>
                <w:rFonts w:hint="default" w:eastAsia="黑体"/>
                <w:color w:val="auto"/>
                <w:sz w:val="21"/>
                <w:szCs w:val="21"/>
                <w:highlight w:val="none"/>
                <w:lang w:val="en-US" w:eastAsia="zh-CN"/>
              </w:rPr>
            </w:pPr>
            <w:r>
              <w:rPr>
                <w:rFonts w:hint="eastAsia" w:ascii="黑体" w:hAnsi="黑体" w:eastAsia="黑体" w:cs="黑体"/>
                <w:color w:val="auto"/>
                <w:sz w:val="24"/>
                <w:szCs w:val="24"/>
                <w:highlight w:val="none"/>
              </w:rPr>
              <w:t>会议号：</w:t>
            </w:r>
            <w:r>
              <w:rPr>
                <w:rFonts w:hint="eastAsia" w:ascii="黑体" w:hAnsi="黑体" w:eastAsia="黑体" w:cs="黑体"/>
                <w:color w:val="auto"/>
                <w:sz w:val="24"/>
                <w:szCs w:val="24"/>
                <w:highlight w:val="none"/>
                <w:lang w:val="en-US" w:eastAsia="zh-CN"/>
              </w:rPr>
              <w:t>459 328 799</w:t>
            </w:r>
            <w:r>
              <w:rPr>
                <w:rFonts w:hint="eastAsia" w:ascii="黑体" w:hAnsi="黑体" w:eastAsia="黑体" w:cs="黑体"/>
                <w:color w:val="auto"/>
                <w:sz w:val="24"/>
                <w:szCs w:val="24"/>
                <w:highlight w:val="none"/>
                <w:lang w:val="en-US"/>
              </w:rPr>
              <w:t xml:space="preserve">       </w:t>
            </w:r>
            <w:r>
              <w:rPr>
                <w:rFonts w:hint="eastAsia" w:ascii="黑体" w:hAnsi="黑体" w:eastAsia="黑体" w:cs="黑体"/>
                <w:color w:val="auto"/>
                <w:sz w:val="24"/>
                <w:szCs w:val="24"/>
                <w:highlight w:val="none"/>
              </w:rPr>
              <w:t xml:space="preserve">   会议密码：</w:t>
            </w:r>
            <w:r>
              <w:rPr>
                <w:rFonts w:hint="eastAsia" w:ascii="黑体" w:hAnsi="黑体" w:eastAsia="黑体" w:cs="黑体"/>
                <w:color w:val="auto"/>
                <w:sz w:val="24"/>
                <w:szCs w:val="24"/>
                <w:highlight w:val="none"/>
                <w:lang w:val="en-US" w:eastAsia="zh-CN"/>
              </w:rPr>
              <w:t>233892</w:t>
            </w:r>
          </w:p>
        </w:tc>
      </w:tr>
    </w:tbl>
    <w:p>
      <w:pPr>
        <w:adjustRightInd w:val="0"/>
        <w:ind w:firstLine="280" w:firstLineChars="100"/>
        <w:outlineLvl w:val="2"/>
        <w:rPr>
          <w:rFonts w:ascii="Times New Roman" w:hAnsi="Times New Roman" w:eastAsia="黑体"/>
          <w:color w:val="auto"/>
          <w:sz w:val="32"/>
          <w:szCs w:val="32"/>
          <w:highlight w:val="none"/>
        </w:rPr>
      </w:pPr>
      <w:r>
        <w:rPr>
          <w:rFonts w:hint="eastAsia" w:ascii="黑体" w:hAnsi="Times New Roman" w:eastAsia="黑体" w:cs="黑体"/>
          <w:color w:val="auto"/>
          <w:sz w:val="28"/>
          <w:szCs w:val="28"/>
          <w:highlight w:val="none"/>
        </w:rPr>
        <w:br w:type="page"/>
      </w:r>
      <w:bookmarkStart w:id="159" w:name="_Toc16626"/>
      <w:r>
        <w:rPr>
          <w:rFonts w:hint="eastAsia" w:ascii="黑体" w:hAnsi="Times New Roman" w:eastAsia="黑体" w:cs="黑体"/>
          <w:color w:val="auto"/>
          <w:sz w:val="28"/>
          <w:szCs w:val="28"/>
          <w:highlight w:val="none"/>
        </w:rPr>
        <w:t>附录</w:t>
      </w:r>
      <w:r>
        <w:rPr>
          <w:rFonts w:ascii="Times New Roman" w:hAnsi="Times New Roman" w:eastAsia="黑体"/>
          <w:color w:val="auto"/>
          <w:sz w:val="28"/>
          <w:szCs w:val="28"/>
          <w:highlight w:val="none"/>
        </w:rPr>
        <w:t xml:space="preserve">1  </w:t>
      </w:r>
      <w:r>
        <w:rPr>
          <w:rFonts w:hint="eastAsia" w:ascii="黑体" w:hAnsi="Times New Roman" w:eastAsia="黑体" w:cs="黑体"/>
          <w:color w:val="auto"/>
          <w:sz w:val="28"/>
          <w:szCs w:val="28"/>
          <w:highlight w:val="none"/>
        </w:rPr>
        <w:t>资格审查条件</w:t>
      </w:r>
      <w:r>
        <w:rPr>
          <w:rFonts w:ascii="Times New Roman" w:hAnsi="Times New Roman" w:eastAsia="黑体"/>
          <w:color w:val="auto"/>
          <w:sz w:val="28"/>
          <w:szCs w:val="28"/>
          <w:highlight w:val="none"/>
        </w:rPr>
        <w:t>(</w:t>
      </w:r>
      <w:r>
        <w:rPr>
          <w:rFonts w:hint="eastAsia" w:ascii="黑体" w:hAnsi="Times New Roman" w:eastAsia="黑体" w:cs="黑体"/>
          <w:color w:val="auto"/>
          <w:sz w:val="28"/>
          <w:szCs w:val="28"/>
          <w:highlight w:val="none"/>
        </w:rPr>
        <w:t>资质最低条件</w:t>
      </w:r>
      <w:r>
        <w:rPr>
          <w:rFonts w:ascii="Times New Roman" w:hAnsi="Times New Roman" w:eastAsia="黑体"/>
          <w:color w:val="auto"/>
          <w:sz w:val="28"/>
          <w:szCs w:val="28"/>
          <w:highlight w:val="none"/>
        </w:rPr>
        <w:t>)</w:t>
      </w:r>
      <w:bookmarkEnd w:id="159"/>
    </w:p>
    <w:tbl>
      <w:tblPr>
        <w:tblStyle w:val="4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56" w:type="dxa"/>
            <w:tcBorders>
              <w:top w:val="single" w:color="auto" w:sz="12" w:space="0"/>
              <w:left w:val="single" w:color="auto" w:sz="12" w:space="0"/>
              <w:right w:val="single" w:color="auto" w:sz="12" w:space="0"/>
            </w:tcBorders>
            <w:vAlign w:val="center"/>
          </w:tcPr>
          <w:p>
            <w:pPr>
              <w:adjustRightInd w:val="0"/>
              <w:jc w:val="center"/>
              <w:rPr>
                <w:rFonts w:ascii="Times New Roman" w:hAnsi="Times New Roman"/>
                <w:color w:val="auto"/>
                <w:sz w:val="21"/>
                <w:szCs w:val="21"/>
                <w:highlight w:val="none"/>
              </w:rPr>
            </w:pPr>
            <w:r>
              <w:rPr>
                <w:rFonts w:hint="eastAsia" w:hAnsi="Times New Roman"/>
                <w:color w:val="auto"/>
                <w:sz w:val="21"/>
                <w:szCs w:val="21"/>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6" w:type="dxa"/>
            <w:tcBorders>
              <w:left w:val="single" w:color="auto" w:sz="12" w:space="0"/>
              <w:right w:val="single" w:color="auto" w:sz="12" w:space="0"/>
            </w:tcBorders>
            <w:vAlign w:val="center"/>
          </w:tcPr>
          <w:p>
            <w:pPr>
              <w:adjustRightInd w:val="0"/>
              <w:snapToGrid w:val="0"/>
              <w:spacing w:line="360" w:lineRule="auto"/>
              <w:rPr>
                <w:rFonts w:hAnsi="Times New Roman"/>
                <w:color w:val="auto"/>
                <w:sz w:val="21"/>
                <w:szCs w:val="21"/>
                <w:highlight w:val="none"/>
              </w:rPr>
            </w:pPr>
            <w:r>
              <w:rPr>
                <w:rFonts w:hint="eastAsia"/>
                <w:color w:val="auto"/>
                <w:sz w:val="21"/>
                <w:szCs w:val="21"/>
                <w:highlight w:val="none"/>
              </w:rPr>
              <w:t>（1）投标人必须为</w:t>
            </w:r>
            <w:r>
              <w:rPr>
                <w:color w:val="auto"/>
                <w:sz w:val="21"/>
                <w:szCs w:val="21"/>
                <w:highlight w:val="none"/>
              </w:rPr>
              <w:t>独立的企业或事业法人，持有效营业执照</w:t>
            </w:r>
            <w:r>
              <w:rPr>
                <w:rFonts w:hint="eastAsia" w:hAnsi="Times New Roman"/>
                <w:color w:val="auto"/>
                <w:sz w:val="21"/>
                <w:szCs w:val="21"/>
                <w:highlight w:val="none"/>
              </w:rPr>
              <w:t>；</w:t>
            </w:r>
          </w:p>
          <w:p>
            <w:pPr>
              <w:adjustRightInd w:val="0"/>
              <w:snapToGrid w:val="0"/>
              <w:spacing w:line="360" w:lineRule="auto"/>
              <w:rPr>
                <w:rFonts w:hAnsi="Times New Roman"/>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）投标人须具备公路工程施工总承包</w:t>
            </w:r>
            <w:r>
              <w:rPr>
                <w:rFonts w:hint="eastAsia"/>
                <w:color w:val="auto"/>
                <w:sz w:val="21"/>
                <w:szCs w:val="21"/>
                <w:highlight w:val="none"/>
                <w:lang w:val="en-US"/>
              </w:rPr>
              <w:t>一</w:t>
            </w:r>
            <w:r>
              <w:rPr>
                <w:rFonts w:hint="eastAsia"/>
                <w:color w:val="auto"/>
                <w:sz w:val="21"/>
                <w:szCs w:val="21"/>
                <w:highlight w:val="none"/>
              </w:rPr>
              <w:t>级</w:t>
            </w:r>
            <w:r>
              <w:rPr>
                <w:rFonts w:hint="eastAsia"/>
                <w:color w:val="auto"/>
                <w:sz w:val="21"/>
                <w:szCs w:val="21"/>
                <w:highlight w:val="none"/>
                <w:lang w:val="en-US"/>
              </w:rPr>
              <w:t>以上</w:t>
            </w:r>
            <w:r>
              <w:rPr>
                <w:rFonts w:hint="eastAsia"/>
                <w:color w:val="auto"/>
                <w:sz w:val="21"/>
                <w:szCs w:val="21"/>
                <w:highlight w:val="none"/>
              </w:rPr>
              <w:t>（含</w:t>
            </w:r>
            <w:r>
              <w:rPr>
                <w:rFonts w:hint="eastAsia"/>
                <w:color w:val="auto"/>
                <w:sz w:val="21"/>
                <w:szCs w:val="21"/>
                <w:highlight w:val="none"/>
                <w:lang w:val="en-US"/>
              </w:rPr>
              <w:t>一</w:t>
            </w:r>
            <w:r>
              <w:rPr>
                <w:rFonts w:hint="eastAsia"/>
                <w:color w:val="auto"/>
                <w:sz w:val="21"/>
                <w:szCs w:val="21"/>
                <w:highlight w:val="none"/>
              </w:rPr>
              <w:t>级）</w:t>
            </w:r>
            <w:r>
              <w:rPr>
                <w:rFonts w:hint="eastAsia"/>
                <w:color w:val="auto"/>
                <w:sz w:val="21"/>
                <w:szCs w:val="21"/>
                <w:highlight w:val="none"/>
                <w:lang w:val="en-US"/>
              </w:rPr>
              <w:t>资质</w:t>
            </w:r>
            <w:r>
              <w:rPr>
                <w:rFonts w:hint="eastAsia"/>
                <w:color w:val="auto"/>
                <w:sz w:val="21"/>
                <w:szCs w:val="21"/>
                <w:highlight w:val="none"/>
              </w:rPr>
              <w:t>或桥梁专业承包</w:t>
            </w:r>
            <w:r>
              <w:rPr>
                <w:rFonts w:hint="eastAsia"/>
                <w:color w:val="auto"/>
                <w:sz w:val="21"/>
                <w:szCs w:val="21"/>
                <w:highlight w:val="none"/>
                <w:lang w:val="en-US"/>
              </w:rPr>
              <w:t>一</w:t>
            </w:r>
            <w:r>
              <w:rPr>
                <w:rFonts w:hint="eastAsia"/>
                <w:color w:val="auto"/>
                <w:sz w:val="21"/>
                <w:szCs w:val="21"/>
                <w:highlight w:val="none"/>
              </w:rPr>
              <w:t>级</w:t>
            </w:r>
            <w:r>
              <w:rPr>
                <w:rFonts w:hint="eastAsia"/>
                <w:color w:val="auto"/>
                <w:sz w:val="21"/>
                <w:szCs w:val="21"/>
                <w:highlight w:val="none"/>
                <w:lang w:val="en-US"/>
              </w:rPr>
              <w:t>资质</w:t>
            </w:r>
            <w:r>
              <w:rPr>
                <w:rFonts w:hint="eastAsia" w:hAnsi="Times New Roman"/>
                <w:color w:val="auto"/>
                <w:sz w:val="21"/>
                <w:szCs w:val="21"/>
                <w:highlight w:val="none"/>
              </w:rPr>
              <w:t>；</w:t>
            </w:r>
          </w:p>
          <w:p>
            <w:pPr>
              <w:adjustRightInd w:val="0"/>
              <w:snapToGrid w:val="0"/>
              <w:spacing w:line="360" w:lineRule="auto"/>
              <w:rPr>
                <w:rFonts w:ascii="Times New Roman" w:hAnsi="Times New Roman"/>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）投标人必须具有相关行政主管部门颁发的有效安全生产许可证</w:t>
            </w:r>
            <w:r>
              <w:rPr>
                <w:rFonts w:hint="eastAsia" w:hAnsi="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6" w:type="dxa"/>
            <w:tcBorders>
              <w:left w:val="single" w:color="auto" w:sz="12" w:space="0"/>
              <w:bottom w:val="single" w:color="auto" w:sz="12" w:space="0"/>
              <w:right w:val="single" w:color="auto" w:sz="12" w:space="0"/>
            </w:tcBorders>
            <w:vAlign w:val="center"/>
          </w:tcPr>
          <w:p>
            <w:pPr>
              <w:pStyle w:val="17"/>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注：</w:t>
            </w:r>
          </w:p>
          <w:p>
            <w:pPr>
              <w:pStyle w:val="17"/>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1、“投标人基本情况表”后应附企业法人营业执照副本和组织机构代码证副本（按照“三证合一”或“五证合一“登记制度进行登记的，可仅提供营业执照副本，下同）、施工资质证书副本、安全生产许可证副本、基本账户开户许可证的彩色影印件，投标人在交通运输部“全国公路建设市场信用信息管理系统”公路工程施工资质企业名录中的网页截图彩色影印件，投标人在全国企业信用信息公示系统中基础信息（体现股东及出资详细信息）的网页</w:t>
            </w:r>
            <w:r>
              <w:rPr>
                <w:rFonts w:hint="eastAsia"/>
                <w:color w:val="auto"/>
                <w:szCs w:val="21"/>
                <w:highlight w:val="none"/>
              </w:rPr>
              <w:t>截图</w:t>
            </w:r>
            <w:r>
              <w:rPr>
                <w:rFonts w:hint="eastAsia" w:ascii="宋体" w:hAnsi="宋体"/>
                <w:color w:val="auto"/>
                <w:szCs w:val="21"/>
                <w:highlight w:val="none"/>
              </w:rPr>
              <w:t>或由法定的社会验资机构出具的验资报告或注册地工商部门出具的股东出资情况证明彩色影印件。</w:t>
            </w:r>
          </w:p>
          <w:p>
            <w:pPr>
              <w:adjustRightInd w:val="0"/>
              <w:snapToGrid w:val="0"/>
              <w:spacing w:line="300" w:lineRule="auto"/>
              <w:rPr>
                <w:rFonts w:hAnsi="Times New Roman"/>
                <w:color w:val="auto"/>
                <w:sz w:val="21"/>
                <w:szCs w:val="21"/>
                <w:highlight w:val="none"/>
              </w:rPr>
            </w:pPr>
            <w:r>
              <w:rPr>
                <w:rFonts w:hint="eastAsia"/>
                <w:color w:val="auto"/>
                <w:sz w:val="21"/>
                <w:szCs w:val="21"/>
                <w:highlight w:val="none"/>
              </w:rPr>
              <w:t>2、企业法人营业执照副本和组织机构代码证副本、施工资质证书副本、企业安全生产许可证副本、基本账户开户许可证的彩色影印件应提供全本（证书封面、封底、空白页除外），应包括投标人的名称、投标人其他信息、颁发机构名称、投标人信息变更情况等关键页在内，并逐页加盖投标人单位章。</w:t>
            </w:r>
          </w:p>
          <w:p>
            <w:pPr>
              <w:adjustRightInd w:val="0"/>
              <w:snapToGrid w:val="0"/>
              <w:spacing w:line="300" w:lineRule="auto"/>
              <w:rPr>
                <w:rFonts w:hAnsi="Times New Roman"/>
                <w:color w:val="auto"/>
                <w:sz w:val="21"/>
                <w:szCs w:val="21"/>
                <w:highlight w:val="none"/>
              </w:rPr>
            </w:pPr>
          </w:p>
        </w:tc>
      </w:tr>
    </w:tbl>
    <w:p>
      <w:pPr>
        <w:adjustRightInd w:val="0"/>
        <w:rPr>
          <w:rFonts w:ascii="Times New Roman" w:hAnsi="Times New Roman"/>
          <w:color w:val="auto"/>
          <w:sz w:val="24"/>
          <w:szCs w:val="24"/>
          <w:highlight w:val="none"/>
        </w:rPr>
      </w:pPr>
    </w:p>
    <w:p>
      <w:pPr>
        <w:adjustRightInd w:val="0"/>
        <w:ind w:firstLine="280" w:firstLineChars="100"/>
        <w:outlineLvl w:val="2"/>
        <w:rPr>
          <w:rFonts w:ascii="黑体" w:hAnsi="Times New Roman" w:eastAsia="黑体" w:cs="黑体"/>
          <w:color w:val="auto"/>
          <w:sz w:val="28"/>
          <w:szCs w:val="28"/>
          <w:highlight w:val="none"/>
        </w:rPr>
        <w:sectPr>
          <w:footerReference r:id="rId18" w:type="default"/>
          <w:headerReference r:id="rId17" w:type="even"/>
          <w:footerReference r:id="rId19" w:type="even"/>
          <w:pgSz w:w="11907" w:h="16840"/>
          <w:pgMar w:top="1418" w:right="1191" w:bottom="1418" w:left="1191" w:header="1134" w:footer="1134" w:gutter="0"/>
          <w:cols w:space="720" w:num="1"/>
        </w:sectPr>
      </w:pPr>
    </w:p>
    <w:p>
      <w:pPr>
        <w:adjustRightInd w:val="0"/>
        <w:ind w:firstLine="280" w:firstLineChars="100"/>
        <w:outlineLvl w:val="2"/>
        <w:rPr>
          <w:rFonts w:ascii="Times New Roman" w:hAnsi="Times New Roman"/>
          <w:color w:val="auto"/>
          <w:sz w:val="21"/>
          <w:szCs w:val="21"/>
          <w:highlight w:val="none"/>
        </w:rPr>
      </w:pPr>
      <w:bookmarkStart w:id="160" w:name="_Toc8300"/>
      <w:r>
        <w:rPr>
          <w:rFonts w:hint="eastAsia" w:ascii="黑体" w:hAnsi="Times New Roman" w:eastAsia="黑体" w:cs="黑体"/>
          <w:color w:val="auto"/>
          <w:sz w:val="28"/>
          <w:szCs w:val="28"/>
          <w:highlight w:val="none"/>
        </w:rPr>
        <w:t>附录</w:t>
      </w:r>
      <w:r>
        <w:rPr>
          <w:rFonts w:ascii="Times New Roman" w:hAnsi="Times New Roman" w:eastAsia="黑体"/>
          <w:color w:val="auto"/>
          <w:sz w:val="28"/>
          <w:szCs w:val="28"/>
          <w:highlight w:val="none"/>
        </w:rPr>
        <w:t xml:space="preserve">2 </w:t>
      </w:r>
      <w:r>
        <w:rPr>
          <w:rFonts w:hint="eastAsia" w:ascii="黑体" w:hAnsi="Times New Roman" w:eastAsia="黑体" w:cs="黑体"/>
          <w:color w:val="auto"/>
          <w:sz w:val="28"/>
          <w:szCs w:val="28"/>
          <w:highlight w:val="none"/>
        </w:rPr>
        <w:t>资格审查条件</w:t>
      </w:r>
      <w:r>
        <w:rPr>
          <w:rFonts w:ascii="Times New Roman" w:hAnsi="Times New Roman" w:eastAsia="黑体"/>
          <w:color w:val="auto"/>
          <w:sz w:val="28"/>
          <w:szCs w:val="28"/>
          <w:highlight w:val="none"/>
        </w:rPr>
        <w:t>(</w:t>
      </w:r>
      <w:r>
        <w:rPr>
          <w:rFonts w:hint="eastAsia" w:ascii="黑体" w:hAnsi="Times New Roman" w:eastAsia="黑体" w:cs="黑体"/>
          <w:color w:val="auto"/>
          <w:sz w:val="28"/>
          <w:szCs w:val="28"/>
          <w:highlight w:val="none"/>
        </w:rPr>
        <w:t>财务状况要求</w:t>
      </w:r>
      <w:r>
        <w:rPr>
          <w:rFonts w:ascii="Times New Roman" w:hAnsi="Times New Roman" w:eastAsia="黑体"/>
          <w:color w:val="auto"/>
          <w:sz w:val="28"/>
          <w:szCs w:val="28"/>
          <w:highlight w:val="none"/>
        </w:rPr>
        <w:t>)</w:t>
      </w:r>
      <w:bookmarkEnd w:id="160"/>
    </w:p>
    <w:tbl>
      <w:tblPr>
        <w:tblStyle w:val="4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9356" w:type="dxa"/>
            <w:tcBorders>
              <w:top w:val="single" w:color="auto" w:sz="12" w:space="0"/>
              <w:left w:val="single" w:color="auto" w:sz="12" w:space="0"/>
              <w:right w:val="single" w:color="auto" w:sz="12" w:space="0"/>
            </w:tcBorders>
            <w:vAlign w:val="center"/>
          </w:tcPr>
          <w:p>
            <w:pPr>
              <w:adjustRightInd w:val="0"/>
              <w:jc w:val="center"/>
              <w:rPr>
                <w:rFonts w:ascii="Times New Roman" w:hAnsi="Times New Roman"/>
                <w:color w:val="auto"/>
                <w:sz w:val="21"/>
                <w:szCs w:val="21"/>
                <w:highlight w:val="none"/>
              </w:rPr>
            </w:pPr>
            <w:r>
              <w:rPr>
                <w:rFonts w:hint="eastAsia" w:hAnsi="Times New Roman"/>
                <w:color w:val="auto"/>
                <w:sz w:val="23"/>
                <w:szCs w:val="23"/>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9356" w:type="dxa"/>
            <w:tcBorders>
              <w:left w:val="single" w:color="auto" w:sz="12" w:space="0"/>
              <w:bottom w:val="single" w:color="auto" w:sz="12" w:space="0"/>
              <w:right w:val="single" w:color="auto" w:sz="12" w:space="0"/>
            </w:tcBorders>
            <w:vAlign w:val="center"/>
          </w:tcPr>
          <w:p>
            <w:pPr>
              <w:adjustRightInd w:val="0"/>
              <w:snapToGrid w:val="0"/>
              <w:spacing w:line="360" w:lineRule="auto"/>
              <w:jc w:val="center"/>
              <w:rPr>
                <w:rFonts w:hAnsi="Times New Roman"/>
                <w:color w:val="auto"/>
                <w:sz w:val="21"/>
                <w:szCs w:val="21"/>
                <w:highlight w:val="none"/>
              </w:rPr>
            </w:pPr>
            <w:r>
              <w:rPr>
                <w:rFonts w:hint="eastAsia" w:ascii="黑体" w:eastAsia="黑体"/>
                <w:color w:val="auto"/>
                <w:szCs w:val="21"/>
                <w:highlight w:val="none"/>
              </w:rPr>
              <w:t>无</w:t>
            </w:r>
          </w:p>
        </w:tc>
      </w:tr>
    </w:tbl>
    <w:p>
      <w:pPr>
        <w:adjustRightInd w:val="0"/>
        <w:rPr>
          <w:rFonts w:ascii="Times New Roman" w:hAnsi="Times New Roman"/>
          <w:color w:val="auto"/>
          <w:sz w:val="24"/>
          <w:szCs w:val="24"/>
          <w:highlight w:val="none"/>
        </w:rPr>
      </w:pPr>
    </w:p>
    <w:p>
      <w:pPr>
        <w:adjustRightInd w:val="0"/>
        <w:ind w:firstLine="280" w:firstLineChars="100"/>
        <w:outlineLvl w:val="2"/>
        <w:rPr>
          <w:rFonts w:ascii="黑体" w:hAnsi="Times New Roman" w:eastAsia="黑体" w:cs="黑体"/>
          <w:color w:val="auto"/>
          <w:sz w:val="28"/>
          <w:szCs w:val="28"/>
          <w:highlight w:val="none"/>
        </w:rPr>
        <w:sectPr>
          <w:pgSz w:w="11907" w:h="16840"/>
          <w:pgMar w:top="1418" w:right="1191" w:bottom="1418" w:left="1191" w:header="1134" w:footer="1134" w:gutter="0"/>
          <w:cols w:space="720" w:num="1"/>
        </w:sectPr>
      </w:pPr>
    </w:p>
    <w:p>
      <w:pPr>
        <w:adjustRightInd w:val="0"/>
        <w:ind w:firstLine="280" w:firstLineChars="100"/>
        <w:outlineLvl w:val="2"/>
        <w:rPr>
          <w:rFonts w:ascii="Times New Roman" w:hAnsi="Times New Roman"/>
          <w:color w:val="auto"/>
          <w:sz w:val="21"/>
          <w:szCs w:val="21"/>
          <w:highlight w:val="none"/>
        </w:rPr>
      </w:pPr>
      <w:bookmarkStart w:id="161" w:name="_Toc15192"/>
      <w:r>
        <w:rPr>
          <w:rFonts w:hint="eastAsia" w:ascii="黑体" w:hAnsi="Times New Roman" w:eastAsia="黑体" w:cs="黑体"/>
          <w:color w:val="auto"/>
          <w:sz w:val="28"/>
          <w:szCs w:val="28"/>
          <w:highlight w:val="none"/>
        </w:rPr>
        <w:t>附录</w:t>
      </w:r>
      <w:r>
        <w:rPr>
          <w:rFonts w:hint="eastAsia" w:ascii="Times New Roman" w:hAnsi="Times New Roman" w:eastAsia="黑体"/>
          <w:color w:val="auto"/>
          <w:sz w:val="28"/>
          <w:szCs w:val="28"/>
          <w:highlight w:val="none"/>
        </w:rPr>
        <w:t>3</w:t>
      </w:r>
      <w:r>
        <w:rPr>
          <w:rFonts w:hint="eastAsia" w:ascii="黑体" w:hAnsi="Times New Roman" w:eastAsia="黑体" w:cs="黑体"/>
          <w:color w:val="auto"/>
          <w:sz w:val="28"/>
          <w:szCs w:val="28"/>
          <w:highlight w:val="none"/>
        </w:rPr>
        <w:t>资格审查条件</w:t>
      </w:r>
      <w:r>
        <w:rPr>
          <w:rFonts w:ascii="Times New Roman" w:hAnsi="Times New Roman" w:eastAsia="黑体"/>
          <w:color w:val="auto"/>
          <w:sz w:val="28"/>
          <w:szCs w:val="28"/>
          <w:highlight w:val="none"/>
        </w:rPr>
        <w:t>(</w:t>
      </w:r>
      <w:r>
        <w:rPr>
          <w:rFonts w:hint="eastAsia" w:ascii="黑体" w:hAnsi="Times New Roman" w:eastAsia="黑体" w:cs="黑体"/>
          <w:color w:val="auto"/>
          <w:sz w:val="28"/>
          <w:szCs w:val="28"/>
          <w:highlight w:val="none"/>
        </w:rPr>
        <w:t>业绩最低要求</w:t>
      </w:r>
      <w:r>
        <w:rPr>
          <w:rFonts w:ascii="Times New Roman" w:hAnsi="Times New Roman" w:eastAsia="黑体"/>
          <w:color w:val="auto"/>
          <w:sz w:val="28"/>
          <w:szCs w:val="28"/>
          <w:highlight w:val="none"/>
        </w:rPr>
        <w:t>)</w:t>
      </w:r>
      <w:bookmarkEnd w:id="161"/>
    </w:p>
    <w:tbl>
      <w:tblPr>
        <w:tblStyle w:val="4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56" w:type="dxa"/>
            <w:tcBorders>
              <w:top w:val="single" w:color="auto" w:sz="12" w:space="0"/>
              <w:left w:val="single" w:color="auto" w:sz="12" w:space="0"/>
              <w:right w:val="single" w:color="auto" w:sz="12" w:space="0"/>
            </w:tcBorders>
            <w:vAlign w:val="center"/>
          </w:tcPr>
          <w:p>
            <w:pPr>
              <w:adjustRightInd w:val="0"/>
              <w:jc w:val="center"/>
              <w:rPr>
                <w:rFonts w:ascii="Times New Roman" w:hAnsi="Times New Roman"/>
                <w:color w:val="auto"/>
                <w:sz w:val="21"/>
                <w:szCs w:val="21"/>
                <w:highlight w:val="none"/>
              </w:rPr>
            </w:pPr>
            <w:r>
              <w:rPr>
                <w:rFonts w:hint="eastAsia" w:hAnsi="Times New Roman"/>
                <w:color w:val="auto"/>
                <w:sz w:val="23"/>
                <w:szCs w:val="23"/>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jc w:val="center"/>
        </w:trPr>
        <w:tc>
          <w:tcPr>
            <w:tcW w:w="9356" w:type="dxa"/>
            <w:tcBorders>
              <w:left w:val="single" w:color="auto" w:sz="12" w:space="0"/>
              <w:bottom w:val="single" w:color="auto" w:sz="12" w:space="0"/>
              <w:right w:val="single" w:color="auto" w:sz="12" w:space="0"/>
            </w:tcBorders>
            <w:vAlign w:val="center"/>
          </w:tcPr>
          <w:p>
            <w:pPr>
              <w:adjustRightInd w:val="0"/>
              <w:jc w:val="center"/>
              <w:rPr>
                <w:rFonts w:ascii="Times New Roman" w:hAnsi="Times New Roman"/>
                <w:b/>
                <w:bCs/>
                <w:color w:val="auto"/>
                <w:sz w:val="21"/>
                <w:szCs w:val="21"/>
                <w:highlight w:val="none"/>
              </w:rPr>
            </w:pPr>
            <w:r>
              <w:rPr>
                <w:rFonts w:hint="eastAsia"/>
                <w:color w:val="auto"/>
                <w:szCs w:val="21"/>
                <w:highlight w:val="none"/>
              </w:rPr>
              <w:t>无</w:t>
            </w:r>
          </w:p>
        </w:tc>
      </w:tr>
    </w:tbl>
    <w:p>
      <w:pPr>
        <w:adjustRightInd w:val="0"/>
        <w:rPr>
          <w:rFonts w:ascii="Times New Roman" w:hAnsi="Times New Roman"/>
          <w:color w:val="auto"/>
          <w:sz w:val="24"/>
          <w:szCs w:val="24"/>
          <w:highlight w:val="none"/>
        </w:rPr>
      </w:pPr>
    </w:p>
    <w:p>
      <w:pPr>
        <w:adjustRightInd w:val="0"/>
        <w:ind w:firstLine="280" w:firstLineChars="100"/>
        <w:outlineLvl w:val="2"/>
        <w:rPr>
          <w:rFonts w:ascii="黑体" w:hAnsi="Times New Roman" w:eastAsia="黑体" w:cs="黑体"/>
          <w:color w:val="auto"/>
          <w:sz w:val="28"/>
          <w:szCs w:val="28"/>
          <w:highlight w:val="none"/>
        </w:rPr>
        <w:sectPr>
          <w:pgSz w:w="11907" w:h="16840"/>
          <w:pgMar w:top="1418" w:right="1191" w:bottom="1418" w:left="1191" w:header="1134" w:footer="1134" w:gutter="0"/>
          <w:cols w:space="720" w:num="1"/>
        </w:sectPr>
      </w:pPr>
    </w:p>
    <w:p>
      <w:pPr>
        <w:adjustRightInd w:val="0"/>
        <w:ind w:firstLine="280" w:firstLineChars="100"/>
        <w:outlineLvl w:val="2"/>
        <w:rPr>
          <w:rFonts w:ascii="Times New Roman" w:hAnsi="Times New Roman"/>
          <w:color w:val="auto"/>
          <w:sz w:val="24"/>
          <w:szCs w:val="24"/>
          <w:highlight w:val="none"/>
        </w:rPr>
      </w:pPr>
      <w:bookmarkStart w:id="162" w:name="_Toc30506"/>
      <w:r>
        <w:rPr>
          <w:rFonts w:hint="eastAsia" w:ascii="黑体" w:hAnsi="Times New Roman" w:eastAsia="黑体" w:cs="黑体"/>
          <w:color w:val="auto"/>
          <w:sz w:val="28"/>
          <w:szCs w:val="28"/>
          <w:highlight w:val="none"/>
        </w:rPr>
        <w:t>附录</w:t>
      </w:r>
      <w:r>
        <w:rPr>
          <w:rFonts w:hint="eastAsia" w:ascii="Times New Roman" w:hAnsi="Times New Roman" w:eastAsia="黑体"/>
          <w:color w:val="auto"/>
          <w:sz w:val="28"/>
          <w:szCs w:val="28"/>
          <w:highlight w:val="none"/>
        </w:rPr>
        <w:t>4</w:t>
      </w:r>
      <w:r>
        <w:rPr>
          <w:rFonts w:hint="eastAsia" w:ascii="黑体" w:hAnsi="Times New Roman" w:eastAsia="黑体" w:cs="黑体"/>
          <w:color w:val="auto"/>
          <w:sz w:val="28"/>
          <w:szCs w:val="28"/>
          <w:highlight w:val="none"/>
        </w:rPr>
        <w:t>资格审查条件</w:t>
      </w:r>
      <w:r>
        <w:rPr>
          <w:rFonts w:ascii="Times New Roman" w:hAnsi="Times New Roman" w:eastAsia="黑体"/>
          <w:color w:val="auto"/>
          <w:sz w:val="28"/>
          <w:szCs w:val="28"/>
          <w:highlight w:val="none"/>
        </w:rPr>
        <w:t>(</w:t>
      </w:r>
      <w:r>
        <w:rPr>
          <w:rFonts w:hint="eastAsia" w:ascii="黑体" w:hAnsi="Times New Roman" w:eastAsia="黑体" w:cs="黑体"/>
          <w:color w:val="auto"/>
          <w:sz w:val="28"/>
          <w:szCs w:val="28"/>
          <w:highlight w:val="none"/>
        </w:rPr>
        <w:t>信誉最低要求</w:t>
      </w:r>
      <w:r>
        <w:rPr>
          <w:rFonts w:ascii="Times New Roman" w:hAnsi="Times New Roman" w:eastAsia="黑体"/>
          <w:color w:val="auto"/>
          <w:sz w:val="28"/>
          <w:szCs w:val="28"/>
          <w:highlight w:val="none"/>
        </w:rPr>
        <w:t>)</w:t>
      </w:r>
      <w:bookmarkEnd w:id="162"/>
      <w:r>
        <w:rPr>
          <w:rFonts w:ascii="Times New Roman" w:hAnsi="Times New Roman" w:eastAsia="黑体"/>
          <w:color w:val="auto"/>
          <w:sz w:val="28"/>
          <w:szCs w:val="28"/>
          <w:highlight w:val="none"/>
        </w:rPr>
        <w:t xml:space="preserve"> </w:t>
      </w:r>
    </w:p>
    <w:tbl>
      <w:tblPr>
        <w:tblStyle w:val="4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86" w:type="dxa"/>
            <w:tcBorders>
              <w:top w:val="single" w:color="auto" w:sz="12" w:space="0"/>
              <w:left w:val="single" w:color="auto" w:sz="12" w:space="0"/>
              <w:right w:val="single" w:color="auto" w:sz="12" w:space="0"/>
            </w:tcBorders>
            <w:vAlign w:val="center"/>
          </w:tcPr>
          <w:p>
            <w:pPr>
              <w:adjustRightInd w:val="0"/>
              <w:jc w:val="center"/>
              <w:rPr>
                <w:rFonts w:ascii="Times New Roman" w:hAnsi="Times New Roman"/>
                <w:color w:val="auto"/>
                <w:sz w:val="24"/>
                <w:szCs w:val="24"/>
                <w:highlight w:val="none"/>
              </w:rPr>
            </w:pPr>
            <w:r>
              <w:rPr>
                <w:rFonts w:hint="eastAsia" w:hAnsi="Times New Roman"/>
                <w:color w:val="auto"/>
                <w:sz w:val="23"/>
                <w:szCs w:val="23"/>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86" w:type="dxa"/>
            <w:tcBorders>
              <w:left w:val="single" w:color="auto" w:sz="12" w:space="0"/>
              <w:right w:val="single" w:color="auto" w:sz="12" w:space="0"/>
            </w:tcBorders>
            <w:vAlign w:val="center"/>
          </w:tcPr>
          <w:p>
            <w:pPr>
              <w:spacing w:line="360" w:lineRule="auto"/>
              <w:rPr>
                <w:color w:val="auto"/>
                <w:sz w:val="21"/>
                <w:szCs w:val="21"/>
                <w:highlight w:val="none"/>
              </w:rPr>
            </w:pPr>
            <w:r>
              <w:rPr>
                <w:rFonts w:hint="eastAsia"/>
                <w:color w:val="auto"/>
                <w:sz w:val="21"/>
                <w:szCs w:val="21"/>
                <w:highlight w:val="none"/>
              </w:rPr>
              <w:t>（1）未被省级及以上交通运输主管部门取消招标项目所在地的投标资格且处于有效期内的；</w:t>
            </w:r>
          </w:p>
          <w:p>
            <w:pPr>
              <w:spacing w:line="360" w:lineRule="auto"/>
              <w:rPr>
                <w:color w:val="auto"/>
                <w:sz w:val="21"/>
                <w:szCs w:val="21"/>
                <w:highlight w:val="none"/>
              </w:rPr>
            </w:pPr>
            <w:r>
              <w:rPr>
                <w:rFonts w:hint="eastAsia"/>
                <w:color w:val="auto"/>
                <w:sz w:val="21"/>
                <w:szCs w:val="21"/>
                <w:highlight w:val="none"/>
              </w:rPr>
              <w:t>（2）未被责令停业的，暂扣或吊销执照，或吊销资质证书；</w:t>
            </w:r>
          </w:p>
          <w:p>
            <w:pPr>
              <w:spacing w:line="360" w:lineRule="auto"/>
              <w:rPr>
                <w:color w:val="auto"/>
                <w:sz w:val="21"/>
                <w:szCs w:val="21"/>
                <w:highlight w:val="none"/>
              </w:rPr>
            </w:pPr>
            <w:r>
              <w:rPr>
                <w:rFonts w:hint="eastAsia"/>
                <w:color w:val="auto"/>
                <w:sz w:val="21"/>
                <w:szCs w:val="21"/>
                <w:highlight w:val="none"/>
              </w:rPr>
              <w:t>（3）未在国家企业信用信息公示系统（http:/www.gsxt.gov.cn/）中被列入严重违法失信企业名单；</w:t>
            </w:r>
          </w:p>
          <w:p>
            <w:pPr>
              <w:spacing w:line="360" w:lineRule="auto"/>
              <w:rPr>
                <w:color w:val="auto"/>
                <w:sz w:val="21"/>
                <w:szCs w:val="21"/>
                <w:highlight w:val="none"/>
              </w:rPr>
            </w:pPr>
            <w:r>
              <w:rPr>
                <w:rFonts w:hint="eastAsia"/>
                <w:color w:val="auto"/>
                <w:sz w:val="21"/>
                <w:szCs w:val="21"/>
                <w:highlight w:val="none"/>
              </w:rPr>
              <w:t>（4）未在“信用中国”网站（www.creditchina.gov.cn）中被列入失信被执行人名单的；</w:t>
            </w:r>
          </w:p>
          <w:p>
            <w:pPr>
              <w:snapToGrid w:val="0"/>
              <w:spacing w:line="360" w:lineRule="auto"/>
              <w:rPr>
                <w:color w:val="auto"/>
                <w:sz w:val="21"/>
                <w:szCs w:val="21"/>
                <w:highlight w:val="none"/>
              </w:rPr>
            </w:pPr>
            <w:r>
              <w:rPr>
                <w:rFonts w:hint="eastAsia"/>
                <w:color w:val="auto"/>
                <w:sz w:val="21"/>
                <w:szCs w:val="21"/>
                <w:highlight w:val="none"/>
              </w:rPr>
              <w:t>（5）投标单位须</w:t>
            </w:r>
            <w:r>
              <w:rPr>
                <w:rFonts w:hint="eastAsia"/>
                <w:color w:val="auto"/>
                <w:sz w:val="21"/>
                <w:szCs w:val="21"/>
                <w:highlight w:val="none"/>
                <w:lang w:val="en-US"/>
              </w:rPr>
              <w:t>具有</w:t>
            </w:r>
            <w:r>
              <w:rPr>
                <w:color w:val="auto"/>
                <w:sz w:val="21"/>
                <w:szCs w:val="21"/>
                <w:highlight w:val="none"/>
              </w:rPr>
              <w:t>BBB</w:t>
            </w:r>
            <w:r>
              <w:rPr>
                <w:rFonts w:hint="eastAsia"/>
                <w:color w:val="auto"/>
                <w:sz w:val="21"/>
                <w:szCs w:val="21"/>
                <w:highlight w:val="none"/>
              </w:rPr>
              <w:t>级（含）以上的企业信用</w:t>
            </w:r>
            <w:r>
              <w:rPr>
                <w:rFonts w:hint="eastAsia"/>
                <w:color w:val="auto"/>
                <w:sz w:val="21"/>
                <w:szCs w:val="21"/>
                <w:highlight w:val="none"/>
                <w:lang w:val="en-US"/>
              </w:rPr>
              <w:t>等级</w:t>
            </w:r>
            <w:r>
              <w:rPr>
                <w:rFonts w:hint="eastAsia"/>
                <w:color w:val="auto"/>
                <w:sz w:val="21"/>
                <w:szCs w:val="21"/>
                <w:highlight w:val="none"/>
              </w:rPr>
              <w:t>（有效期内）。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86" w:type="dxa"/>
            <w:tcBorders>
              <w:left w:val="single" w:color="auto" w:sz="12" w:space="0"/>
              <w:bottom w:val="single" w:color="auto" w:sz="12" w:space="0"/>
              <w:right w:val="single" w:color="auto" w:sz="12" w:space="0"/>
            </w:tcBorders>
            <w:vAlign w:val="center"/>
          </w:tcPr>
          <w:p>
            <w:pPr>
              <w:snapToGrid w:val="0"/>
              <w:spacing w:line="300" w:lineRule="auto"/>
              <w:rPr>
                <w:color w:val="auto"/>
                <w:sz w:val="21"/>
                <w:szCs w:val="21"/>
                <w:highlight w:val="none"/>
              </w:rPr>
            </w:pPr>
            <w:r>
              <w:rPr>
                <w:rFonts w:hint="eastAsia"/>
                <w:color w:val="auto"/>
                <w:sz w:val="21"/>
                <w:szCs w:val="21"/>
                <w:highlight w:val="none"/>
              </w:rPr>
              <w:t>注：</w:t>
            </w:r>
          </w:p>
          <w:p>
            <w:pPr>
              <w:snapToGrid w:val="0"/>
              <w:spacing w:line="300" w:lineRule="auto"/>
              <w:ind w:firstLine="420" w:firstLineChars="200"/>
              <w:rPr>
                <w:color w:val="auto"/>
                <w:sz w:val="21"/>
                <w:szCs w:val="21"/>
                <w:highlight w:val="none"/>
              </w:rPr>
            </w:pPr>
            <w:r>
              <w:rPr>
                <w:rFonts w:hint="eastAsia"/>
                <w:color w:val="auto"/>
                <w:sz w:val="21"/>
                <w:szCs w:val="21"/>
                <w:highlight w:val="none"/>
              </w:rPr>
              <w:t>1、“投标人的信誉情况”后应附投标人在全国企业信用信息公示系统中未被列入严重违法失信企业名单、在“信用中国”网站中未被列入失信被执行人名单的网页截图彩色影印件。</w:t>
            </w:r>
          </w:p>
          <w:p>
            <w:pPr>
              <w:snapToGrid w:val="0"/>
              <w:spacing w:line="300" w:lineRule="auto"/>
              <w:ind w:firstLine="420"/>
              <w:rPr>
                <w:rFonts w:hAnsi="Times New Roman"/>
                <w:color w:val="auto"/>
                <w:sz w:val="21"/>
                <w:szCs w:val="21"/>
                <w:highlight w:val="none"/>
              </w:rPr>
            </w:pPr>
            <w:r>
              <w:rPr>
                <w:rFonts w:hint="eastAsia"/>
                <w:color w:val="auto"/>
                <w:sz w:val="21"/>
                <w:szCs w:val="21"/>
                <w:highlight w:val="none"/>
              </w:rPr>
              <w:t>2、“投标人的信誉情况”后应附通过辽宁省社会信用体系建设领导小组办公室认定的备案信用中介机构核发的</w:t>
            </w:r>
            <w:r>
              <w:rPr>
                <w:rFonts w:hint="eastAsia"/>
                <w:color w:val="auto"/>
                <w:sz w:val="21"/>
                <w:szCs w:val="21"/>
                <w:highlight w:val="none"/>
                <w:lang w:val="en-US" w:eastAsia="zh-CN"/>
              </w:rPr>
              <w:t>企业</w:t>
            </w:r>
            <w:r>
              <w:rPr>
                <w:rFonts w:hint="eastAsia"/>
                <w:color w:val="auto"/>
                <w:sz w:val="21"/>
                <w:szCs w:val="21"/>
                <w:highlight w:val="none"/>
              </w:rPr>
              <w:t>信用报告</w:t>
            </w:r>
            <w:r>
              <w:rPr>
                <w:rFonts w:hint="eastAsia"/>
                <w:color w:val="auto"/>
                <w:sz w:val="21"/>
                <w:szCs w:val="21"/>
                <w:highlight w:val="none"/>
                <w:lang w:val="en-US" w:eastAsia="zh-CN"/>
              </w:rPr>
              <w:t>概述页的</w:t>
            </w:r>
            <w:r>
              <w:rPr>
                <w:rFonts w:hint="eastAsia"/>
                <w:color w:val="auto"/>
                <w:sz w:val="21"/>
                <w:szCs w:val="21"/>
                <w:highlight w:val="none"/>
              </w:rPr>
              <w:t>彩色影印件或</w:t>
            </w:r>
            <w:r>
              <w:rPr>
                <w:rFonts w:hint="eastAsia"/>
                <w:color w:val="auto"/>
                <w:sz w:val="21"/>
                <w:szCs w:val="21"/>
                <w:highlight w:val="none"/>
                <w:lang w:val="en-US"/>
              </w:rPr>
              <w:t>通过</w:t>
            </w:r>
            <w:r>
              <w:rPr>
                <w:rFonts w:hint="eastAsia"/>
                <w:color w:val="auto"/>
                <w:sz w:val="21"/>
                <w:szCs w:val="21"/>
                <w:highlight w:val="none"/>
              </w:rPr>
              <w:t>“信用中国（辽宁）” （</w:t>
            </w:r>
            <w:r>
              <w:rPr>
                <w:color w:val="auto"/>
                <w:highlight w:val="none"/>
              </w:rPr>
              <w:fldChar w:fldCharType="begin"/>
            </w:r>
            <w:r>
              <w:rPr>
                <w:color w:val="auto"/>
                <w:highlight w:val="none"/>
              </w:rPr>
              <w:instrText xml:space="preserve"> HYPERLINK "http://www.xyln.net/" </w:instrText>
            </w:r>
            <w:r>
              <w:rPr>
                <w:color w:val="auto"/>
                <w:highlight w:val="none"/>
              </w:rPr>
              <w:fldChar w:fldCharType="separate"/>
            </w:r>
            <w:r>
              <w:rPr>
                <w:rFonts w:hint="eastAsia"/>
                <w:color w:val="auto"/>
                <w:sz w:val="21"/>
                <w:szCs w:val="21"/>
                <w:highlight w:val="none"/>
              </w:rPr>
              <w:t>www.xyln.net/</w:t>
            </w:r>
            <w:r>
              <w:rPr>
                <w:rFonts w:hint="eastAsia"/>
                <w:color w:val="auto"/>
                <w:sz w:val="21"/>
                <w:szCs w:val="21"/>
                <w:highlight w:val="none"/>
              </w:rPr>
              <w:fldChar w:fldCharType="end"/>
            </w:r>
            <w:r>
              <w:rPr>
                <w:rFonts w:hint="eastAsia"/>
                <w:color w:val="auto"/>
                <w:sz w:val="21"/>
                <w:szCs w:val="21"/>
                <w:highlight w:val="none"/>
              </w:rPr>
              <w:t>）</w:t>
            </w:r>
            <w:r>
              <w:rPr>
                <w:rFonts w:hint="eastAsia"/>
                <w:color w:val="auto"/>
                <w:sz w:val="21"/>
                <w:szCs w:val="21"/>
                <w:highlight w:val="none"/>
                <w:lang w:val="en-US" w:eastAsia="zh-CN"/>
              </w:rPr>
              <w:t>及</w:t>
            </w:r>
            <w:r>
              <w:rPr>
                <w:rFonts w:hint="eastAsia"/>
                <w:color w:val="auto"/>
                <w:sz w:val="21"/>
                <w:szCs w:val="21"/>
                <w:highlight w:val="none"/>
              </w:rPr>
              <w:t>相关网站公示</w:t>
            </w:r>
            <w:r>
              <w:rPr>
                <w:rFonts w:hint="eastAsia"/>
                <w:color w:val="auto"/>
                <w:sz w:val="21"/>
                <w:szCs w:val="21"/>
                <w:highlight w:val="none"/>
                <w:lang w:val="en-US" w:eastAsia="zh-CN"/>
              </w:rPr>
              <w:t>后</w:t>
            </w:r>
            <w:r>
              <w:rPr>
                <w:rFonts w:hint="eastAsia"/>
                <w:color w:val="auto"/>
                <w:sz w:val="21"/>
                <w:szCs w:val="21"/>
                <w:highlight w:val="none"/>
              </w:rPr>
              <w:t>的企业信用报告</w:t>
            </w:r>
            <w:r>
              <w:rPr>
                <w:rFonts w:hint="eastAsia"/>
                <w:color w:val="auto"/>
                <w:sz w:val="21"/>
                <w:szCs w:val="21"/>
                <w:highlight w:val="none"/>
                <w:lang w:val="en-US" w:eastAsia="zh-CN"/>
              </w:rPr>
              <w:t>概述页的</w:t>
            </w:r>
            <w:r>
              <w:rPr>
                <w:rFonts w:hint="eastAsia"/>
                <w:color w:val="auto"/>
                <w:sz w:val="21"/>
                <w:szCs w:val="21"/>
                <w:highlight w:val="none"/>
              </w:rPr>
              <w:t>彩色影印件（</w:t>
            </w:r>
            <w:r>
              <w:rPr>
                <w:rFonts w:hint="eastAsia"/>
                <w:color w:val="auto"/>
                <w:sz w:val="21"/>
                <w:szCs w:val="21"/>
                <w:highlight w:val="none"/>
                <w:lang w:val="en-US"/>
              </w:rPr>
              <w:t>应包括企业名称、企业信用等级、有效期、核发机构等关键页在内</w:t>
            </w:r>
            <w:r>
              <w:rPr>
                <w:rFonts w:hint="eastAsia"/>
                <w:color w:val="auto"/>
                <w:sz w:val="21"/>
                <w:szCs w:val="21"/>
                <w:highlight w:val="none"/>
              </w:rPr>
              <w:t>）。</w:t>
            </w:r>
          </w:p>
        </w:tc>
      </w:tr>
    </w:tbl>
    <w:p>
      <w:pPr>
        <w:adjustRightInd w:val="0"/>
        <w:rPr>
          <w:rFonts w:ascii="Times New Roman" w:hAnsi="Times New Roman"/>
          <w:color w:val="auto"/>
          <w:sz w:val="24"/>
          <w:szCs w:val="24"/>
          <w:highlight w:val="none"/>
        </w:rPr>
      </w:pPr>
    </w:p>
    <w:p>
      <w:pPr>
        <w:adjustRightInd w:val="0"/>
        <w:rPr>
          <w:rFonts w:ascii="Times New Roman" w:hAnsi="Times New Roman"/>
          <w:color w:val="auto"/>
          <w:sz w:val="24"/>
          <w:szCs w:val="24"/>
          <w:highlight w:val="none"/>
        </w:rPr>
      </w:pPr>
    </w:p>
    <w:p>
      <w:pPr>
        <w:adjustRightInd w:val="0"/>
        <w:rPr>
          <w:rFonts w:ascii="Times New Roman" w:hAnsi="Times New Roman"/>
          <w:color w:val="auto"/>
          <w:sz w:val="24"/>
          <w:szCs w:val="24"/>
          <w:highlight w:val="none"/>
        </w:rPr>
      </w:pPr>
    </w:p>
    <w:p>
      <w:pPr>
        <w:adjustRightInd w:val="0"/>
        <w:rPr>
          <w:rFonts w:ascii="Times New Roman" w:hAnsi="Times New Roman"/>
          <w:color w:val="auto"/>
          <w:sz w:val="24"/>
          <w:szCs w:val="24"/>
          <w:highlight w:val="none"/>
        </w:rPr>
      </w:pPr>
    </w:p>
    <w:p>
      <w:pPr>
        <w:adjustRightInd w:val="0"/>
        <w:ind w:firstLine="280" w:firstLineChars="100"/>
        <w:outlineLvl w:val="2"/>
        <w:rPr>
          <w:rFonts w:ascii="黑体" w:hAnsi="Times New Roman" w:eastAsia="黑体" w:cs="黑体"/>
          <w:color w:val="auto"/>
          <w:sz w:val="28"/>
          <w:szCs w:val="28"/>
          <w:highlight w:val="none"/>
        </w:rPr>
        <w:sectPr>
          <w:pgSz w:w="11907" w:h="16840"/>
          <w:pgMar w:top="1418" w:right="1191" w:bottom="1418" w:left="1191" w:header="1134" w:footer="1134" w:gutter="0"/>
          <w:cols w:space="720" w:num="1"/>
        </w:sectPr>
      </w:pPr>
      <w:bookmarkStart w:id="163" w:name="_Hlk514184785"/>
    </w:p>
    <w:p>
      <w:pPr>
        <w:adjustRightInd w:val="0"/>
        <w:ind w:firstLine="280" w:firstLineChars="100"/>
        <w:outlineLvl w:val="2"/>
        <w:rPr>
          <w:rFonts w:ascii="Times New Roman" w:hAnsi="Times New Roman" w:eastAsia="黑体"/>
          <w:color w:val="auto"/>
          <w:sz w:val="16"/>
          <w:szCs w:val="16"/>
          <w:highlight w:val="none"/>
        </w:rPr>
      </w:pPr>
      <w:bookmarkStart w:id="164" w:name="_Toc2086"/>
      <w:r>
        <w:rPr>
          <w:rFonts w:hint="eastAsia" w:ascii="黑体" w:hAnsi="Times New Roman" w:eastAsia="黑体" w:cs="黑体"/>
          <w:color w:val="auto"/>
          <w:sz w:val="28"/>
          <w:szCs w:val="28"/>
          <w:highlight w:val="none"/>
        </w:rPr>
        <w:t>附录5资格审查条件</w:t>
      </w:r>
      <w:r>
        <w:rPr>
          <w:rFonts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rPr>
        <w:t>项目经理和项目总工</w:t>
      </w:r>
      <w:r>
        <w:rPr>
          <w:rFonts w:hint="eastAsia" w:ascii="黑体" w:hAnsi="Times New Roman" w:eastAsia="黑体" w:cs="黑体"/>
          <w:color w:val="auto"/>
          <w:sz w:val="28"/>
          <w:szCs w:val="28"/>
          <w:highlight w:val="none"/>
        </w:rPr>
        <w:t>最低要求</w:t>
      </w:r>
      <w:r>
        <w:rPr>
          <w:rFonts w:ascii="Times New Roman" w:hAnsi="Times New Roman" w:eastAsia="黑体"/>
          <w:color w:val="auto"/>
          <w:sz w:val="28"/>
          <w:szCs w:val="28"/>
          <w:highlight w:val="none"/>
        </w:rPr>
        <w:t>)</w:t>
      </w:r>
      <w:bookmarkEnd w:id="164"/>
    </w:p>
    <w:bookmarkEnd w:id="163"/>
    <w:tbl>
      <w:tblPr>
        <w:tblStyle w:val="47"/>
        <w:tblW w:w="85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5"/>
        <w:gridCol w:w="7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25" w:type="dxa"/>
            <w:vAlign w:val="center"/>
          </w:tcPr>
          <w:p>
            <w:pPr>
              <w:spacing w:beforeLines="50" w:line="360" w:lineRule="auto"/>
              <w:jc w:val="center"/>
              <w:rPr>
                <w:color w:val="auto"/>
                <w:sz w:val="21"/>
                <w:szCs w:val="21"/>
                <w:highlight w:val="none"/>
              </w:rPr>
            </w:pPr>
            <w:r>
              <w:rPr>
                <w:rFonts w:hint="eastAsia"/>
                <w:color w:val="auto"/>
                <w:sz w:val="21"/>
                <w:szCs w:val="21"/>
                <w:highlight w:val="none"/>
              </w:rPr>
              <w:t>人员</w:t>
            </w:r>
          </w:p>
        </w:tc>
        <w:tc>
          <w:tcPr>
            <w:tcW w:w="7391" w:type="dxa"/>
            <w:vAlign w:val="center"/>
          </w:tcPr>
          <w:p>
            <w:pPr>
              <w:spacing w:beforeLines="50" w:line="360" w:lineRule="auto"/>
              <w:jc w:val="center"/>
              <w:rPr>
                <w:color w:val="auto"/>
                <w:sz w:val="21"/>
                <w:szCs w:val="21"/>
                <w:highlight w:val="none"/>
              </w:rPr>
            </w:pPr>
            <w:r>
              <w:rPr>
                <w:rFonts w:hint="eastAsia"/>
                <w:color w:val="auto"/>
                <w:sz w:val="21"/>
                <w:szCs w:val="21"/>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02" w:hRule="exact"/>
          <w:jc w:val="center"/>
        </w:trPr>
        <w:tc>
          <w:tcPr>
            <w:tcW w:w="1125" w:type="dxa"/>
            <w:vAlign w:val="center"/>
          </w:tcPr>
          <w:p>
            <w:pPr>
              <w:snapToGrid w:val="0"/>
              <w:spacing w:line="360" w:lineRule="auto"/>
              <w:jc w:val="center"/>
              <w:rPr>
                <w:color w:val="auto"/>
                <w:sz w:val="21"/>
                <w:szCs w:val="21"/>
                <w:highlight w:val="none"/>
              </w:rPr>
            </w:pPr>
            <w:r>
              <w:rPr>
                <w:rFonts w:hint="eastAsia"/>
                <w:color w:val="auto"/>
                <w:sz w:val="21"/>
                <w:szCs w:val="21"/>
                <w:highlight w:val="none"/>
              </w:rPr>
              <w:t>项目经理（1名）</w:t>
            </w:r>
          </w:p>
        </w:tc>
        <w:tc>
          <w:tcPr>
            <w:tcW w:w="7391" w:type="dxa"/>
            <w:vAlign w:val="center"/>
          </w:tcPr>
          <w:p>
            <w:pPr>
              <w:snapToGrid w:val="0"/>
              <w:spacing w:line="380" w:lineRule="exact"/>
              <w:ind w:firstLine="420" w:firstLineChars="200"/>
              <w:rPr>
                <w:color w:val="auto"/>
                <w:sz w:val="21"/>
                <w:szCs w:val="21"/>
                <w:highlight w:val="none"/>
              </w:rPr>
            </w:pPr>
            <w:r>
              <w:rPr>
                <w:rFonts w:hint="eastAsia"/>
                <w:color w:val="auto"/>
                <w:sz w:val="21"/>
                <w:szCs w:val="21"/>
                <w:highlight w:val="none"/>
              </w:rPr>
              <w:t>项目经理1名，公路工程相关专业中级及以上技术职称，具有一级注册建造师（公路工程专业）证书，且证书目前必须注册在投标人单位，具有交通部或省级交通主管部颁发的安全生产考核“B类”合格证书并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70" w:hRule="exact"/>
          <w:jc w:val="center"/>
        </w:trPr>
        <w:tc>
          <w:tcPr>
            <w:tcW w:w="1125" w:type="dxa"/>
            <w:vAlign w:val="center"/>
          </w:tcPr>
          <w:p>
            <w:pPr>
              <w:snapToGrid w:val="0"/>
              <w:spacing w:line="360" w:lineRule="auto"/>
              <w:jc w:val="center"/>
              <w:rPr>
                <w:color w:val="auto"/>
                <w:sz w:val="21"/>
                <w:szCs w:val="21"/>
                <w:highlight w:val="none"/>
              </w:rPr>
            </w:pPr>
            <w:r>
              <w:rPr>
                <w:rFonts w:hint="eastAsia"/>
                <w:color w:val="auto"/>
                <w:sz w:val="21"/>
                <w:szCs w:val="21"/>
                <w:highlight w:val="none"/>
              </w:rPr>
              <w:t>项目总工（1名）</w:t>
            </w:r>
          </w:p>
        </w:tc>
        <w:tc>
          <w:tcPr>
            <w:tcW w:w="7391" w:type="dxa"/>
            <w:vAlign w:val="center"/>
          </w:tcPr>
          <w:p>
            <w:pPr>
              <w:snapToGrid w:val="0"/>
              <w:spacing w:line="380" w:lineRule="exact"/>
              <w:ind w:firstLine="420" w:firstLineChars="200"/>
              <w:rPr>
                <w:color w:val="auto"/>
                <w:sz w:val="21"/>
                <w:szCs w:val="21"/>
                <w:highlight w:val="none"/>
              </w:rPr>
            </w:pPr>
            <w:r>
              <w:rPr>
                <w:rFonts w:hint="eastAsia"/>
                <w:color w:val="auto"/>
                <w:sz w:val="21"/>
                <w:szCs w:val="21"/>
                <w:highlight w:val="none"/>
              </w:rPr>
              <w:t>项目总工1名，公路工程相关专业中级及以上技术职称，具有交通部或省级交通主管部颁发的安全生产考核“B类”合格证书并在有效期内。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33" w:hRule="exact"/>
          <w:jc w:val="center"/>
        </w:trPr>
        <w:tc>
          <w:tcPr>
            <w:tcW w:w="8516" w:type="dxa"/>
            <w:gridSpan w:val="2"/>
            <w:vAlign w:val="center"/>
          </w:tcPr>
          <w:p>
            <w:pPr>
              <w:snapToGrid w:val="0"/>
              <w:spacing w:line="300" w:lineRule="auto"/>
              <w:rPr>
                <w:color w:val="auto"/>
                <w:sz w:val="21"/>
                <w:szCs w:val="21"/>
                <w:highlight w:val="none"/>
              </w:rPr>
            </w:pPr>
            <w:r>
              <w:rPr>
                <w:rFonts w:hint="eastAsia"/>
                <w:color w:val="auto"/>
                <w:sz w:val="21"/>
                <w:szCs w:val="21"/>
                <w:highlight w:val="none"/>
              </w:rPr>
              <w:t>注：</w:t>
            </w:r>
          </w:p>
          <w:p>
            <w:pPr>
              <w:snapToGrid w:val="0"/>
              <w:spacing w:line="300" w:lineRule="auto"/>
              <w:ind w:firstLine="420"/>
              <w:rPr>
                <w:color w:val="auto"/>
                <w:sz w:val="21"/>
                <w:szCs w:val="21"/>
                <w:highlight w:val="none"/>
              </w:rPr>
            </w:pPr>
            <w:r>
              <w:rPr>
                <w:rFonts w:hint="eastAsia"/>
                <w:color w:val="auto"/>
                <w:sz w:val="21"/>
                <w:szCs w:val="21"/>
                <w:highlight w:val="none"/>
              </w:rPr>
              <w:t>1、投标人需提供所属社保机构出具的上述所有人员的社保缴费证明（并加盖缴费证明专用章）或其他能够证明以上主要人员参加社保的有效证明材料（并加盖社保机构单位章），用以证明以上人员为投标人单位员工。</w:t>
            </w:r>
          </w:p>
          <w:p>
            <w:pPr>
              <w:snapToGrid w:val="0"/>
              <w:spacing w:line="300" w:lineRule="auto"/>
              <w:ind w:firstLine="420"/>
              <w:rPr>
                <w:color w:val="auto"/>
                <w:sz w:val="21"/>
                <w:szCs w:val="21"/>
                <w:highlight w:val="none"/>
              </w:rPr>
            </w:pPr>
            <w:r>
              <w:rPr>
                <w:rFonts w:hint="eastAsia"/>
                <w:color w:val="auto"/>
                <w:sz w:val="21"/>
                <w:szCs w:val="21"/>
                <w:highlight w:val="none"/>
              </w:rPr>
              <w:t>2、投标人需提供上述所有人员的有效身份证、毕业证、职称资格证书以及资格审查条件所要求的其他相关证书的彩色影印件。</w:t>
            </w:r>
          </w:p>
          <w:p>
            <w:pPr>
              <w:snapToGrid w:val="0"/>
              <w:spacing w:line="300" w:lineRule="auto"/>
              <w:ind w:firstLine="420"/>
              <w:rPr>
                <w:color w:val="auto"/>
                <w:sz w:val="21"/>
                <w:szCs w:val="21"/>
                <w:highlight w:val="none"/>
              </w:rPr>
            </w:pPr>
            <w:r>
              <w:rPr>
                <w:rFonts w:hint="eastAsia"/>
                <w:color w:val="auto"/>
                <w:sz w:val="21"/>
                <w:szCs w:val="21"/>
                <w:highlight w:val="none"/>
              </w:rPr>
              <w:t>3、投标文件中提供的项目经理的“注册建造师证书”、“安全生产考核合格B类证书”以及项目总工的“安全生产考核合格B类证书”，须附证书彩色影印件。</w:t>
            </w:r>
          </w:p>
          <w:p>
            <w:pPr>
              <w:snapToGrid w:val="0"/>
              <w:spacing w:line="300" w:lineRule="auto"/>
              <w:ind w:firstLine="420"/>
              <w:rPr>
                <w:color w:val="auto"/>
                <w:sz w:val="21"/>
                <w:szCs w:val="21"/>
                <w:highlight w:val="none"/>
              </w:rPr>
            </w:pPr>
            <w:r>
              <w:rPr>
                <w:rFonts w:hint="eastAsia"/>
                <w:color w:val="auto"/>
                <w:sz w:val="21"/>
                <w:szCs w:val="21"/>
                <w:highlight w:val="none"/>
              </w:rPr>
              <w:t>4、投标人应按本项目招标文件投标人须知正文3.5.5项要求提供人员业绩证明，项目业绩及其考核指标均以交通运输部或省级交通运输主管部门主办的“公路建设市场信用信息管理系统”中录入并通过审核的信息为准，其余业绩证明材料体现的但系统网站中未载明的主要人员项目业绩信息在评审时均不予采信；对于提供的所有证明材料均不能体现考核指标（姓名、职务、任职时段、合同金额、合同内容、交工时间等）的个人业绩将不予认定。</w:t>
            </w:r>
          </w:p>
          <w:p>
            <w:pPr>
              <w:snapToGrid w:val="0"/>
              <w:spacing w:line="300" w:lineRule="auto"/>
              <w:ind w:firstLine="420"/>
              <w:rPr>
                <w:b/>
                <w:color w:val="auto"/>
                <w:sz w:val="21"/>
                <w:szCs w:val="21"/>
                <w:highlight w:val="none"/>
              </w:rPr>
            </w:pPr>
            <w:r>
              <w:rPr>
                <w:rFonts w:hint="eastAsia"/>
                <w:color w:val="auto"/>
                <w:sz w:val="21"/>
                <w:szCs w:val="21"/>
                <w:highlight w:val="none"/>
              </w:rPr>
              <w:t>5、项目经理、项目总工应无在岗项目（指目前未在其他项目上任职，或虽在其他项目上任职但本项目中标后能够从该项目撤离）。如目前仍在其他项目上任职，则投标人应提供由该项目发包人的、承诺上述人员能够从该项目撤离的书面证明材料原件，证明材料原件应加盖出具者公章并装订在投标文件正本中。</w:t>
            </w:r>
          </w:p>
        </w:tc>
      </w:tr>
    </w:tbl>
    <w:p>
      <w:pPr>
        <w:pStyle w:val="20"/>
        <w:rPr>
          <w:rFonts w:ascii="黑体"/>
          <w:b/>
          <w:color w:val="auto"/>
          <w:sz w:val="20"/>
          <w:highlight w:val="none"/>
        </w:rPr>
      </w:pPr>
    </w:p>
    <w:p>
      <w:pPr>
        <w:adjustRightInd w:val="0"/>
        <w:ind w:firstLine="280" w:firstLineChars="100"/>
        <w:outlineLvl w:val="2"/>
        <w:rPr>
          <w:rFonts w:ascii="黑体" w:hAnsi="Times New Roman" w:eastAsia="黑体" w:cs="黑体"/>
          <w:color w:val="auto"/>
          <w:sz w:val="28"/>
          <w:szCs w:val="28"/>
          <w:highlight w:val="none"/>
        </w:rPr>
        <w:sectPr>
          <w:pgSz w:w="11907" w:h="16840"/>
          <w:pgMar w:top="1418" w:right="1191" w:bottom="1418" w:left="1191" w:header="1134" w:footer="1134" w:gutter="0"/>
          <w:cols w:space="720" w:num="1"/>
        </w:sectPr>
      </w:pPr>
    </w:p>
    <w:p>
      <w:pPr>
        <w:keepNext w:val="0"/>
        <w:keepLines w:val="0"/>
        <w:pageBreakBefore w:val="0"/>
        <w:widowControl w:val="0"/>
        <w:numPr>
          <w:ilvl w:val="0"/>
          <w:numId w:val="2"/>
        </w:numPr>
        <w:tabs>
          <w:tab w:val="left" w:pos="790"/>
        </w:tabs>
        <w:kinsoku/>
        <w:wordWrap/>
        <w:overflowPunct/>
        <w:topLinePunct w:val="0"/>
        <w:autoSpaceDE w:val="0"/>
        <w:autoSpaceDN w:val="0"/>
        <w:bidi w:val="0"/>
        <w:adjustRightInd w:val="0"/>
        <w:snapToGrid w:val="0"/>
        <w:spacing w:line="360" w:lineRule="auto"/>
        <w:textAlignment w:val="auto"/>
        <w:outlineLvl w:val="2"/>
        <w:rPr>
          <w:rFonts w:ascii="黑体" w:eastAsia="黑体"/>
          <w:color w:val="auto"/>
          <w:sz w:val="28"/>
          <w:highlight w:val="none"/>
        </w:rPr>
      </w:pPr>
      <w:bookmarkStart w:id="165" w:name="_bookmark28"/>
      <w:bookmarkEnd w:id="165"/>
      <w:bookmarkStart w:id="166" w:name="_Toc3985"/>
      <w:bookmarkStart w:id="167" w:name="_Toc29712"/>
      <w:bookmarkStart w:id="168" w:name="_Toc10989"/>
      <w:bookmarkStart w:id="169" w:name="_Toc5486"/>
      <w:bookmarkStart w:id="170" w:name="_Toc13779"/>
      <w:bookmarkStart w:id="171" w:name="_Toc2310"/>
      <w:bookmarkStart w:id="172" w:name="_Toc12168"/>
      <w:bookmarkStart w:id="173" w:name="_Toc25193"/>
      <w:bookmarkStart w:id="174" w:name="_Toc24031"/>
      <w:bookmarkStart w:id="175" w:name="_Toc15423"/>
      <w:bookmarkStart w:id="176" w:name="_Toc30074"/>
      <w:bookmarkStart w:id="177" w:name="_Toc2381"/>
      <w:bookmarkStart w:id="178" w:name="_Toc3468"/>
      <w:bookmarkStart w:id="179" w:name="_Toc21150"/>
      <w:bookmarkStart w:id="180" w:name="_Toc31752"/>
      <w:bookmarkStart w:id="181" w:name="_Toc13720"/>
      <w:bookmarkStart w:id="182" w:name="_Toc9934"/>
      <w:r>
        <w:rPr>
          <w:rFonts w:hint="eastAsia" w:ascii="黑体" w:eastAsia="黑体"/>
          <w:color w:val="auto"/>
          <w:sz w:val="28"/>
          <w:highlight w:val="none"/>
        </w:rPr>
        <w:t>总则</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86"/>
        <w:keepNext w:val="0"/>
        <w:keepLines w:val="0"/>
        <w:pageBreakBefore w:val="0"/>
        <w:widowControl w:val="0"/>
        <w:numPr>
          <w:ilvl w:val="1"/>
          <w:numId w:val="2"/>
        </w:numPr>
        <w:tabs>
          <w:tab w:val="left" w:pos="850"/>
        </w:tabs>
        <w:kinsoku/>
        <w:wordWrap/>
        <w:overflowPunct/>
        <w:topLinePunct w:val="0"/>
        <w:autoSpaceDE w:val="0"/>
        <w:autoSpaceDN w:val="0"/>
        <w:bidi w:val="0"/>
        <w:adjustRightInd w:val="0"/>
        <w:snapToGrid w:val="0"/>
        <w:spacing w:line="360" w:lineRule="auto"/>
        <w:ind w:left="849" w:hanging="480"/>
        <w:textAlignment w:val="auto"/>
        <w:rPr>
          <w:rFonts w:ascii="黑体" w:eastAsia="黑体"/>
          <w:color w:val="auto"/>
          <w:sz w:val="24"/>
          <w:highlight w:val="none"/>
        </w:rPr>
      </w:pPr>
      <w:bookmarkStart w:id="183" w:name="_bookmark29"/>
      <w:bookmarkEnd w:id="183"/>
      <w:r>
        <w:rPr>
          <w:rFonts w:hint="eastAsia" w:ascii="黑体" w:eastAsia="黑体"/>
          <w:color w:val="auto"/>
          <w:sz w:val="24"/>
          <w:highlight w:val="none"/>
        </w:rPr>
        <w:t>项目概况</w:t>
      </w:r>
    </w:p>
    <w:p>
      <w:pPr>
        <w:keepNext w:val="0"/>
        <w:keepLines w:val="0"/>
        <w:pageBreakBefore w:val="0"/>
        <w:widowControl w:val="0"/>
        <w:tabs>
          <w:tab w:val="left" w:pos="1450"/>
        </w:tabs>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sz w:val="24"/>
          <w:highlight w:val="none"/>
        </w:rPr>
      </w:pPr>
      <w:r>
        <w:rPr>
          <w:rFonts w:ascii="Times New Roman" w:hAnsi="Times New Roman" w:cs="Times New Roman"/>
          <w:color w:val="auto"/>
          <w:spacing w:val="-11"/>
          <w:sz w:val="24"/>
          <w:highlight w:val="none"/>
        </w:rPr>
        <w:t>根据《中华人民共和国招标投标法</w:t>
      </w:r>
      <w:r>
        <w:rPr>
          <w:rFonts w:ascii="Times New Roman" w:hAnsi="Times New Roman" w:cs="Times New Roman"/>
          <w:color w:val="auto"/>
          <w:spacing w:val="-17"/>
          <w:sz w:val="24"/>
          <w:highlight w:val="none"/>
        </w:rPr>
        <w:t>》《中华人民共和国招标投标法实施条例》</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31" w:hanging="120"/>
        <w:textAlignment w:val="auto"/>
        <w:rPr>
          <w:rFonts w:ascii="Times New Roman" w:hAnsi="Times New Roman" w:cs="Times New Roman"/>
          <w:color w:val="auto"/>
          <w:highlight w:val="none"/>
        </w:rPr>
      </w:pPr>
      <w:r>
        <w:rPr>
          <w:rFonts w:ascii="Times New Roman" w:hAnsi="Times New Roman" w:cs="Times New Roman"/>
          <w:color w:val="auto"/>
          <w:highlight w:val="none"/>
        </w:rPr>
        <w:t>《公路工程建设项目招标投标管理办法》等有关法律、法规和规章的规定，本招标项目已具备招标条件，现对本标段施工进行招标。</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hAnsi="Times New Roman" w:cs="Times New Roman"/>
          <w:color w:val="auto"/>
          <w:highlight w:val="none"/>
        </w:rPr>
        <w:t>1.1.2见投标人须知前附表。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hAnsi="Times New Roman" w:cs="Times New Roman"/>
          <w:color w:val="auto"/>
          <w:highlight w:val="none"/>
        </w:rPr>
        <w:t>1.1.3见投标人须知前附表。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hAnsi="Times New Roman" w:cs="Times New Roman"/>
          <w:color w:val="auto"/>
          <w:highlight w:val="none"/>
        </w:rPr>
        <w:t>1.1.4见投标人须知前附表。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hAnsi="Times New Roman" w:cs="Times New Roman"/>
          <w:color w:val="auto"/>
          <w:highlight w:val="none"/>
        </w:rPr>
        <w:t>1.1.5见投标人须知前附表。</w:t>
      </w:r>
    </w:p>
    <w:p>
      <w:pPr>
        <w:pStyle w:val="86"/>
        <w:keepNext w:val="0"/>
        <w:keepLines w:val="0"/>
        <w:pageBreakBefore w:val="0"/>
        <w:widowControl w:val="0"/>
        <w:numPr>
          <w:ilvl w:val="1"/>
          <w:numId w:val="2"/>
        </w:numPr>
        <w:tabs>
          <w:tab w:val="left" w:pos="850"/>
        </w:tabs>
        <w:kinsoku/>
        <w:wordWrap/>
        <w:overflowPunct/>
        <w:topLinePunct w:val="0"/>
        <w:autoSpaceDE w:val="0"/>
        <w:autoSpaceDN w:val="0"/>
        <w:bidi w:val="0"/>
        <w:adjustRightInd w:val="0"/>
        <w:snapToGrid w:val="0"/>
        <w:spacing w:line="360" w:lineRule="auto"/>
        <w:ind w:left="849" w:hanging="480"/>
        <w:textAlignment w:val="auto"/>
        <w:rPr>
          <w:rFonts w:ascii="黑体" w:eastAsia="黑体"/>
          <w:color w:val="auto"/>
          <w:sz w:val="24"/>
          <w:highlight w:val="none"/>
        </w:rPr>
      </w:pPr>
      <w:bookmarkStart w:id="184" w:name="_bookmark30"/>
      <w:bookmarkEnd w:id="184"/>
      <w:r>
        <w:rPr>
          <w:rFonts w:hint="eastAsia" w:ascii="黑体" w:eastAsia="黑体"/>
          <w:color w:val="auto"/>
          <w:sz w:val="24"/>
          <w:highlight w:val="none"/>
        </w:rPr>
        <w:t>招标项目的资金来源和落实情况</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hAnsi="Times New Roman" w:cs="Times New Roman"/>
          <w:color w:val="auto"/>
          <w:highlight w:val="none"/>
        </w:rPr>
        <w:t>1.2.1资金来源及比例：见投标人须知前附表。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              1.2.2资金落实情况：见投标人须知前附表。</w:t>
      </w:r>
    </w:p>
    <w:p>
      <w:pPr>
        <w:pStyle w:val="86"/>
        <w:keepNext w:val="0"/>
        <w:keepLines w:val="0"/>
        <w:pageBreakBefore w:val="0"/>
        <w:widowControl w:val="0"/>
        <w:numPr>
          <w:ilvl w:val="1"/>
          <w:numId w:val="2"/>
        </w:numPr>
        <w:tabs>
          <w:tab w:val="left" w:pos="850"/>
        </w:tabs>
        <w:kinsoku/>
        <w:wordWrap/>
        <w:overflowPunct/>
        <w:topLinePunct w:val="0"/>
        <w:autoSpaceDE w:val="0"/>
        <w:autoSpaceDN w:val="0"/>
        <w:bidi w:val="0"/>
        <w:adjustRightInd w:val="0"/>
        <w:snapToGrid w:val="0"/>
        <w:spacing w:line="360" w:lineRule="auto"/>
        <w:ind w:left="849" w:hanging="480"/>
        <w:textAlignment w:val="auto"/>
        <w:rPr>
          <w:rFonts w:ascii="黑体" w:eastAsia="黑体"/>
          <w:color w:val="auto"/>
          <w:sz w:val="24"/>
          <w:highlight w:val="none"/>
        </w:rPr>
      </w:pPr>
      <w:bookmarkStart w:id="185" w:name="_bookmark31"/>
      <w:bookmarkEnd w:id="185"/>
      <w:r>
        <w:rPr>
          <w:rFonts w:hint="eastAsia" w:ascii="黑体" w:eastAsia="黑体"/>
          <w:color w:val="auto"/>
          <w:sz w:val="24"/>
          <w:highlight w:val="none"/>
        </w:rPr>
        <w:t>招标范围、计划工期、质量要求和安全目标</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hAnsi="Times New Roman" w:cs="Times New Roman"/>
          <w:color w:val="auto"/>
          <w:highlight w:val="none"/>
        </w:rPr>
        <w:t>1.3.1招标范围：见投标人须知前附表。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              1.3.2计划工期：见投标人须知前附表。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              1.3.3质量要求：见投标人须知前附表。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              1.3.4本标段的安全目标：见投标人须知前附表。</w:t>
      </w:r>
    </w:p>
    <w:p>
      <w:pPr>
        <w:pStyle w:val="86"/>
        <w:keepNext w:val="0"/>
        <w:keepLines w:val="0"/>
        <w:pageBreakBefore w:val="0"/>
        <w:widowControl w:val="0"/>
        <w:numPr>
          <w:ilvl w:val="1"/>
          <w:numId w:val="3"/>
        </w:numPr>
        <w:tabs>
          <w:tab w:val="left" w:pos="850"/>
        </w:tabs>
        <w:kinsoku/>
        <w:wordWrap/>
        <w:overflowPunct/>
        <w:topLinePunct w:val="0"/>
        <w:autoSpaceDE w:val="0"/>
        <w:autoSpaceDN w:val="0"/>
        <w:bidi w:val="0"/>
        <w:adjustRightInd w:val="0"/>
        <w:snapToGrid w:val="0"/>
        <w:spacing w:line="360" w:lineRule="auto"/>
        <w:textAlignment w:val="auto"/>
        <w:rPr>
          <w:rFonts w:ascii="黑体" w:eastAsia="黑体"/>
          <w:color w:val="auto"/>
          <w:sz w:val="24"/>
          <w:highlight w:val="none"/>
        </w:rPr>
      </w:pPr>
      <w:bookmarkStart w:id="186" w:name="_bookmark33"/>
      <w:bookmarkEnd w:id="186"/>
      <w:bookmarkStart w:id="187" w:name="_bookmark32"/>
      <w:bookmarkEnd w:id="187"/>
      <w:r>
        <w:rPr>
          <w:rFonts w:hint="eastAsia" w:ascii="黑体" w:eastAsia="黑体"/>
          <w:color w:val="auto"/>
          <w:sz w:val="24"/>
          <w:highlight w:val="none"/>
        </w:rPr>
        <w:t>投标人资格要求（适用于未进行资格预审的）</w:t>
      </w:r>
    </w:p>
    <w:p>
      <w:pPr>
        <w:pStyle w:val="86"/>
        <w:keepNext w:val="0"/>
        <w:keepLines w:val="0"/>
        <w:pageBreakBefore w:val="0"/>
        <w:widowControl w:val="0"/>
        <w:numPr>
          <w:ilvl w:val="2"/>
          <w:numId w:val="3"/>
        </w:numPr>
        <w:tabs>
          <w:tab w:val="left" w:pos="1450"/>
        </w:tabs>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sz w:val="24"/>
          <w:highlight w:val="none"/>
        </w:rPr>
      </w:pPr>
      <w:r>
        <w:rPr>
          <w:rFonts w:ascii="Times New Roman" w:cs="Times New Roman"/>
          <w:color w:val="auto"/>
          <w:sz w:val="24"/>
          <w:highlight w:val="none"/>
        </w:rPr>
        <w:t>投标人应具备承担本标段施工的资质条件、能力和信誉。</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31"/>
        <w:textAlignment w:val="auto"/>
        <w:rPr>
          <w:rFonts w:ascii="Times New Roman" w:hAnsi="Times New Roman" w:cs="Times New Roman"/>
          <w:color w:val="auto"/>
          <w:highlight w:val="none"/>
        </w:rPr>
      </w:pPr>
      <w:r>
        <w:rPr>
          <w:rFonts w:ascii="Times New Roman" w:hAnsi="Times New Roman" w:cs="Times New Roman"/>
          <w:color w:val="auto"/>
          <w:highlight w:val="none"/>
        </w:rPr>
        <w:t>（1）资质要求：见投标人须知前附表；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31"/>
        <w:textAlignment w:val="auto"/>
        <w:rPr>
          <w:rFonts w:ascii="Times New Roman" w:hAnsi="Times New Roman" w:cs="Times New Roman"/>
          <w:color w:val="auto"/>
          <w:highlight w:val="none"/>
        </w:rPr>
      </w:pPr>
      <w:r>
        <w:rPr>
          <w:rFonts w:ascii="Times New Roman" w:hAnsi="Times New Roman" w:cs="Times New Roman"/>
          <w:color w:val="auto"/>
          <w:highlight w:val="none"/>
        </w:rPr>
        <w:t>（2）财务要求：见投标人须知前附表；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31"/>
        <w:textAlignment w:val="auto"/>
        <w:rPr>
          <w:rFonts w:ascii="Times New Roman" w:hAnsi="Times New Roman" w:cs="Times New Roman"/>
          <w:color w:val="auto"/>
          <w:highlight w:val="none"/>
        </w:rPr>
      </w:pPr>
      <w:r>
        <w:rPr>
          <w:rFonts w:ascii="Times New Roman" w:hAnsi="Times New Roman" w:cs="Times New Roman"/>
          <w:color w:val="auto"/>
          <w:highlight w:val="none"/>
        </w:rPr>
        <w:t>（3）业绩要求：见投标人须知前附表；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31"/>
        <w:textAlignment w:val="auto"/>
        <w:rPr>
          <w:rFonts w:ascii="Times New Roman" w:hAnsi="Times New Roman" w:cs="Times New Roman"/>
          <w:color w:val="auto"/>
          <w:highlight w:val="none"/>
        </w:rPr>
      </w:pPr>
      <w:r>
        <w:rPr>
          <w:rFonts w:ascii="Times New Roman" w:hAnsi="Times New Roman" w:cs="Times New Roman"/>
          <w:color w:val="auto"/>
          <w:highlight w:val="none"/>
        </w:rPr>
        <w:t>（4）信誉要求：见投标人须知前附表；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hAnsi="Times New Roman" w:cs="Times New Roman"/>
          <w:color w:val="auto"/>
          <w:highlight w:val="none"/>
        </w:rPr>
        <w:t>（5）项目经理和项目总工资格：见投标人须知前附表；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hAnsi="Times New Roman" w:cs="Times New Roman"/>
          <w:color w:val="auto"/>
          <w:highlight w:val="none"/>
        </w:rPr>
        <w:t>（6）其他管理和技术人员最低要求：见投标人须知前附表；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hAnsi="Times New Roman" w:cs="Times New Roman"/>
          <w:color w:val="auto"/>
          <w:highlight w:val="none"/>
        </w:rPr>
        <w:t>（7）主要机械设备和试验检测设备最低要求：见投标人须知前附表；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hAnsi="Times New Roman" w:cs="Times New Roman"/>
          <w:color w:val="auto"/>
          <w:highlight w:val="none"/>
        </w:rPr>
        <w:t>（8）其他要求：见投标人须知前附表。</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849"/>
        <w:textAlignment w:val="auto"/>
        <w:rPr>
          <w:rFonts w:ascii="Times New Roman" w:hAnsi="Times New Roman" w:cs="Times New Roman"/>
          <w:color w:val="auto"/>
          <w:highlight w:val="none"/>
        </w:rPr>
      </w:pPr>
      <w:r>
        <w:rPr>
          <w:rFonts w:ascii="Times New Roman" w:cs="Times New Roman"/>
          <w:color w:val="auto"/>
          <w:highlight w:val="none"/>
        </w:rPr>
        <w:t>需要提交的相关证明材料见本章第</w:t>
      </w:r>
      <w:r>
        <w:rPr>
          <w:rFonts w:ascii="Times New Roman" w:hAnsi="Times New Roman" w:cs="Times New Roman"/>
          <w:color w:val="auto"/>
          <w:highlight w:val="none"/>
        </w:rPr>
        <w:t xml:space="preserve"> 3.5 </w:t>
      </w:r>
      <w:r>
        <w:rPr>
          <w:rFonts w:ascii="Times New Roman" w:cs="Times New Roman"/>
          <w:color w:val="auto"/>
          <w:highlight w:val="none"/>
        </w:rPr>
        <w:t>款的规定。</w:t>
      </w:r>
    </w:p>
    <w:p>
      <w:pPr>
        <w:pStyle w:val="86"/>
        <w:keepNext w:val="0"/>
        <w:keepLines w:val="0"/>
        <w:pageBreakBefore w:val="0"/>
        <w:widowControl w:val="0"/>
        <w:numPr>
          <w:ilvl w:val="2"/>
          <w:numId w:val="3"/>
        </w:numPr>
        <w:tabs>
          <w:tab w:val="left" w:pos="1454"/>
        </w:tabs>
        <w:kinsoku/>
        <w:wordWrap/>
        <w:overflowPunct/>
        <w:topLinePunct w:val="0"/>
        <w:autoSpaceDE w:val="0"/>
        <w:autoSpaceDN w:val="0"/>
        <w:bidi w:val="0"/>
        <w:adjustRightInd w:val="0"/>
        <w:snapToGrid w:val="0"/>
        <w:spacing w:line="360" w:lineRule="auto"/>
        <w:ind w:left="1454" w:hanging="605"/>
        <w:textAlignment w:val="auto"/>
        <w:rPr>
          <w:rFonts w:ascii="Times New Roman" w:hAnsi="Times New Roman" w:eastAsia="Times New Roman" w:cs="Times New Roman"/>
          <w:color w:val="auto"/>
          <w:sz w:val="24"/>
          <w:highlight w:val="none"/>
        </w:rPr>
      </w:pPr>
      <w:r>
        <w:rPr>
          <w:rFonts w:ascii="Times New Roman" w:cs="Times New Roman"/>
          <w:color w:val="auto"/>
          <w:spacing w:val="1"/>
          <w:sz w:val="24"/>
          <w:highlight w:val="none"/>
        </w:rPr>
        <w:t>投标人须知前附表规定接受联合体投标的，联合体除应符合本章第</w:t>
      </w:r>
      <w:r>
        <w:rPr>
          <w:rFonts w:ascii="Times New Roman" w:hAnsi="Times New Roman" w:eastAsia="Times New Roman" w:cs="Times New Roman"/>
          <w:color w:val="auto"/>
          <w:sz w:val="24"/>
          <w:highlight w:val="none"/>
        </w:rPr>
        <w:t>1.4.1</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textAlignment w:val="auto"/>
        <w:rPr>
          <w:rFonts w:ascii="Times New Roman" w:hAnsi="Times New Roman" w:cs="Times New Roman"/>
          <w:color w:val="auto"/>
          <w:highlight w:val="none"/>
        </w:rPr>
      </w:pPr>
      <w:r>
        <w:rPr>
          <w:rFonts w:ascii="Times New Roman" w:cs="Times New Roman"/>
          <w:color w:val="auto"/>
          <w:highlight w:val="none"/>
        </w:rPr>
        <w:t>项和投标人须知前附表的要求外，还应遵守以下规定：</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26" w:firstLine="360"/>
        <w:textAlignment w:val="auto"/>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1</w:t>
      </w:r>
      <w:r>
        <w:rPr>
          <w:rFonts w:ascii="Times New Roman" w:cs="Times New Roman"/>
          <w:color w:val="auto"/>
          <w:spacing w:val="-16"/>
          <w:highlight w:val="none"/>
        </w:rPr>
        <w:t>）</w:t>
      </w:r>
      <w:r>
        <w:rPr>
          <w:rFonts w:ascii="Times New Roman" w:cs="Times New Roman"/>
          <w:color w:val="auto"/>
          <w:spacing w:val="-2"/>
          <w:highlight w:val="none"/>
        </w:rPr>
        <w:t>联合体各方应按招标文件提供的格式签订联合体协议书，明确联合体牵头人和各方权利义务，并承诺就中标项目向招标人承担连带责任；</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）由同一专业的单位组成的联合体，按照资质等级较低的单位确定资质等级；</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）联合体各方不得再以自己名义单独或参加其他联合体在同一标段中投标；</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26" w:firstLine="360"/>
        <w:jc w:val="both"/>
        <w:textAlignment w:val="auto"/>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4</w:t>
      </w:r>
      <w:r>
        <w:rPr>
          <w:rFonts w:ascii="Times New Roman" w:cs="Times New Roman"/>
          <w:color w:val="auto"/>
          <w:spacing w:val="-11"/>
          <w:highlight w:val="none"/>
        </w:rPr>
        <w:t>）</w:t>
      </w:r>
      <w:r>
        <w:rPr>
          <w:rFonts w:ascii="Times New Roman" w:cs="Times New Roman"/>
          <w:color w:val="auto"/>
          <w:spacing w:val="-3"/>
          <w:highlight w:val="none"/>
        </w:rPr>
        <w:t>联合体各方应分别按照本招标文件的要求，填写投标文件中的相应表格，并</w:t>
      </w:r>
      <w:r>
        <w:rPr>
          <w:rFonts w:ascii="Times New Roman" w:cs="Times New Roman"/>
          <w:color w:val="auto"/>
          <w:spacing w:val="-6"/>
          <w:highlight w:val="none"/>
        </w:rPr>
        <w:t>由联合体牵头人负责对联合体各成员的资料进行统一汇总后一并提交给招标人；联合体牵头人所提交的投标文件应认为已代表了联合体各成员的真实情况；</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27" w:firstLine="360"/>
        <w:textAlignment w:val="auto"/>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5</w:t>
      </w:r>
      <w:r>
        <w:rPr>
          <w:rFonts w:ascii="Times New Roman" w:cs="Times New Roman"/>
          <w:color w:val="auto"/>
          <w:spacing w:val="-11"/>
          <w:highlight w:val="none"/>
        </w:rPr>
        <w:t>）</w:t>
      </w:r>
      <w:r>
        <w:rPr>
          <w:rFonts w:ascii="Times New Roman" w:cs="Times New Roman"/>
          <w:color w:val="auto"/>
          <w:spacing w:val="-5"/>
          <w:highlight w:val="none"/>
        </w:rPr>
        <w:t>尽管委任了联合体牵头人，但联合体各成员在投标、签订合同与履行合同过程中，仍负有连带的和各自的法律责任。</w:t>
      </w:r>
    </w:p>
    <w:p>
      <w:pPr>
        <w:pStyle w:val="86"/>
        <w:keepNext w:val="0"/>
        <w:keepLines w:val="0"/>
        <w:pageBreakBefore w:val="0"/>
        <w:widowControl w:val="0"/>
        <w:numPr>
          <w:ilvl w:val="2"/>
          <w:numId w:val="3"/>
        </w:numPr>
        <w:tabs>
          <w:tab w:val="left" w:pos="1450"/>
        </w:tabs>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sz w:val="24"/>
          <w:highlight w:val="none"/>
        </w:rPr>
      </w:pPr>
      <w:r>
        <w:rPr>
          <w:rFonts w:ascii="Times New Roman" w:cs="Times New Roman"/>
          <w:color w:val="auto"/>
          <w:sz w:val="24"/>
          <w:highlight w:val="none"/>
        </w:rPr>
        <w:t>投标人（包括联合体各成员）不得与本标段相关单位存在下列关联关系：</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spacing w:val="-1"/>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）为招标人不具有独立法人资格的附属机构（单位</w:t>
      </w:r>
      <w:r>
        <w:rPr>
          <w:rFonts w:ascii="Times New Roman" w:cs="Times New Roman"/>
          <w:color w:val="auto"/>
          <w:spacing w:val="-120"/>
          <w:highlight w:val="none"/>
        </w:rPr>
        <w:t>）</w:t>
      </w:r>
      <w:r>
        <w:rPr>
          <w:rFonts w:ascii="Times New Roman" w:cs="Times New Roman"/>
          <w:color w:val="auto"/>
          <w:highlight w:val="none"/>
        </w:rPr>
        <w:t>；</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）与招标人存在利害关系且可能影响招标公正性；</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）与本标段的其他投标人同为一个单位负责人；</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）与本标段的其他投标人存在控股、管理关系；</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spacing w:val="-1"/>
          <w:highlight w:val="none"/>
        </w:rPr>
        <w:t>（</w:t>
      </w:r>
      <w:r>
        <w:rPr>
          <w:rFonts w:ascii="Times New Roman" w:hAnsi="Times New Roman" w:eastAsia="Times New Roman" w:cs="Times New Roman"/>
          <w:color w:val="auto"/>
          <w:highlight w:val="none"/>
        </w:rPr>
        <w:t>5</w:t>
      </w:r>
      <w:r>
        <w:rPr>
          <w:rFonts w:ascii="Times New Roman" w:cs="Times New Roman"/>
          <w:color w:val="auto"/>
          <w:highlight w:val="none"/>
        </w:rPr>
        <w:t>）为本标段前期准备提供设计或咨询服务的法人或其任何附属机构（单位</w:t>
      </w:r>
      <w:r>
        <w:rPr>
          <w:rFonts w:ascii="Times New Roman" w:cs="Times New Roman"/>
          <w:color w:val="auto"/>
          <w:spacing w:val="-120"/>
          <w:highlight w:val="none"/>
        </w:rPr>
        <w:t>）</w:t>
      </w:r>
      <w:r>
        <w:rPr>
          <w:rFonts w:ascii="Times New Roman" w:cs="Times New Roman"/>
          <w:color w:val="auto"/>
          <w:highlight w:val="none"/>
        </w:rPr>
        <w:t>；</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6</w:t>
      </w:r>
      <w:r>
        <w:rPr>
          <w:rFonts w:ascii="Times New Roman" w:cs="Times New Roman"/>
          <w:color w:val="auto"/>
          <w:highlight w:val="none"/>
        </w:rPr>
        <w:t>）为本标段的监理人；</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7</w:t>
      </w:r>
      <w:r>
        <w:rPr>
          <w:rFonts w:ascii="Times New Roman" w:cs="Times New Roman"/>
          <w:color w:val="auto"/>
          <w:highlight w:val="none"/>
        </w:rPr>
        <w:t>）为本标段的代建人；</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8</w:t>
      </w:r>
      <w:r>
        <w:rPr>
          <w:rFonts w:ascii="Times New Roman" w:cs="Times New Roman"/>
          <w:color w:val="auto"/>
          <w:highlight w:val="none"/>
        </w:rPr>
        <w:t>）为本标段的招标代理机构；</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9</w:t>
      </w:r>
      <w:r>
        <w:rPr>
          <w:rFonts w:ascii="Times New Roman" w:cs="Times New Roman"/>
          <w:color w:val="auto"/>
          <w:highlight w:val="none"/>
        </w:rPr>
        <w:t>）与本标段的监理人或代建人或招标代理机构同为一个法定代表人；</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10</w:t>
      </w:r>
      <w:r>
        <w:rPr>
          <w:rFonts w:ascii="Times New Roman" w:cs="Times New Roman"/>
          <w:color w:val="auto"/>
          <w:highlight w:val="none"/>
        </w:rPr>
        <w:t>）与本标段的监理人或代建人或招标代理机构存在控股或参股关系；</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11</w:t>
      </w:r>
      <w:r>
        <w:rPr>
          <w:rFonts w:ascii="Times New Roman" w:cs="Times New Roman"/>
          <w:color w:val="auto"/>
          <w:highlight w:val="none"/>
        </w:rPr>
        <w:t>）法律法规或投标人须知前附表规定的其他情形。</w:t>
      </w:r>
    </w:p>
    <w:p>
      <w:pPr>
        <w:pStyle w:val="86"/>
        <w:keepNext w:val="0"/>
        <w:keepLines w:val="0"/>
        <w:pageBreakBefore w:val="0"/>
        <w:widowControl w:val="0"/>
        <w:numPr>
          <w:ilvl w:val="2"/>
          <w:numId w:val="3"/>
        </w:numPr>
        <w:tabs>
          <w:tab w:val="left" w:pos="1450"/>
        </w:tabs>
        <w:kinsoku/>
        <w:wordWrap/>
        <w:overflowPunct/>
        <w:topLinePunct w:val="0"/>
        <w:autoSpaceDE w:val="0"/>
        <w:autoSpaceDN w:val="0"/>
        <w:bidi w:val="0"/>
        <w:adjustRightInd w:val="0"/>
        <w:snapToGrid w:val="0"/>
        <w:spacing w:line="360" w:lineRule="auto"/>
        <w:textAlignment w:val="auto"/>
        <w:rPr>
          <w:rFonts w:ascii="Times New Roman" w:hAnsi="Times New Roman" w:cs="Times New Roman"/>
          <w:color w:val="auto"/>
          <w:sz w:val="24"/>
          <w:highlight w:val="none"/>
        </w:rPr>
      </w:pPr>
      <w:r>
        <w:rPr>
          <w:rFonts w:ascii="Times New Roman" w:cs="Times New Roman"/>
          <w:color w:val="auto"/>
          <w:sz w:val="24"/>
          <w:highlight w:val="none"/>
        </w:rPr>
        <w:t>投标人（包括联合体各成员）不得存在下列不良状况或不良信用记录：</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26" w:firstLine="360"/>
        <w:textAlignment w:val="auto"/>
        <w:rPr>
          <w:rFonts w:ascii="Times New Roman" w:hAnsi="Times New Roman" w:cs="Times New Roman"/>
          <w:color w:val="auto"/>
          <w:highlight w:val="none"/>
        </w:rPr>
      </w:pPr>
      <w:r>
        <w:rPr>
          <w:rFonts w:ascii="Times New Roman" w:cs="Times New Roman"/>
          <w:color w:val="auto"/>
          <w:spacing w:val="-31"/>
          <w:highlight w:val="none"/>
        </w:rPr>
        <w:t>（</w:t>
      </w:r>
      <w:r>
        <w:rPr>
          <w:rFonts w:ascii="Times New Roman" w:hAnsi="Times New Roman" w:eastAsia="Times New Roman" w:cs="Times New Roman"/>
          <w:color w:val="auto"/>
          <w:spacing w:val="-31"/>
          <w:highlight w:val="none"/>
        </w:rPr>
        <w:t>1</w:t>
      </w:r>
      <w:r>
        <w:rPr>
          <w:rFonts w:ascii="Times New Roman" w:cs="Times New Roman"/>
          <w:color w:val="auto"/>
          <w:spacing w:val="-31"/>
          <w:highlight w:val="none"/>
        </w:rPr>
        <w:t>）</w:t>
      </w:r>
      <w:r>
        <w:rPr>
          <w:rFonts w:ascii="Times New Roman" w:cs="Times New Roman"/>
          <w:color w:val="auto"/>
          <w:highlight w:val="none"/>
        </w:rPr>
        <w:t>被省级及以上交通运输主管部门取消招标项目所在地的投标资格且处于有效期内；</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）被责令停业，暂扣或吊销执照，或吊销资质证书；</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）进入清算程序，或被宣告破产，或其他丧失履约能力的情形；</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280" w:firstLine="360"/>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）在国家企业信用信息公示系统（</w:t>
      </w:r>
      <w:r>
        <w:rPr>
          <w:color w:val="auto"/>
          <w:highlight w:val="none"/>
        </w:rPr>
        <w:fldChar w:fldCharType="begin"/>
      </w:r>
      <w:r>
        <w:rPr>
          <w:color w:val="auto"/>
          <w:highlight w:val="none"/>
        </w:rPr>
        <w:instrText xml:space="preserve"> HYPERLINK "http://www.gsxt.gov.cn/" \h </w:instrText>
      </w:r>
      <w:r>
        <w:rPr>
          <w:color w:val="auto"/>
          <w:highlight w:val="none"/>
        </w:rPr>
        <w:fldChar w:fldCharType="separate"/>
      </w:r>
      <w:r>
        <w:rPr>
          <w:rFonts w:ascii="Times New Roman" w:hAnsi="Times New Roman" w:eastAsia="Times New Roman" w:cs="Times New Roman"/>
          <w:color w:val="auto"/>
          <w:highlight w:val="none"/>
        </w:rPr>
        <w:t>http://www.gsxt.gov.cn/</w:t>
      </w:r>
      <w:r>
        <w:rPr>
          <w:rFonts w:ascii="Times New Roman" w:hAnsi="Times New Roman" w:eastAsia="Times New Roman" w:cs="Times New Roman"/>
          <w:color w:val="auto"/>
          <w:highlight w:val="none"/>
        </w:rPr>
        <w:fldChar w:fldCharType="end"/>
      </w:r>
      <w:r>
        <w:rPr>
          <w:rFonts w:ascii="Times New Roman" w:cs="Times New Roman"/>
          <w:color w:val="auto"/>
          <w:highlight w:val="none"/>
        </w:rPr>
        <w:t>）中被列入严重违法失信企业名单；</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24" w:firstLine="360"/>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5</w:t>
      </w:r>
      <w:r>
        <w:rPr>
          <w:rFonts w:ascii="Times New Roman" w:cs="Times New Roman"/>
          <w:color w:val="auto"/>
          <w:highlight w:val="none"/>
        </w:rPr>
        <w:t>）在</w:t>
      </w:r>
      <w:r>
        <w:rPr>
          <w:rFonts w:ascii="Times New Roman" w:hAnsi="Times New Roman" w:cs="Times New Roman"/>
          <w:color w:val="auto"/>
          <w:highlight w:val="none"/>
        </w:rPr>
        <w:t>“</w:t>
      </w:r>
      <w:r>
        <w:rPr>
          <w:rFonts w:ascii="Times New Roman" w:cs="Times New Roman"/>
          <w:color w:val="auto"/>
          <w:highlight w:val="none"/>
        </w:rPr>
        <w:t>信用中国</w:t>
      </w:r>
      <w:r>
        <w:rPr>
          <w:rFonts w:ascii="Times New Roman" w:hAnsi="Times New Roman" w:cs="Times New Roman"/>
          <w:color w:val="auto"/>
          <w:highlight w:val="none"/>
        </w:rPr>
        <w:t>”</w:t>
      </w:r>
      <w:r>
        <w:rPr>
          <w:rFonts w:ascii="Times New Roman" w:cs="Times New Roman"/>
          <w:color w:val="auto"/>
          <w:highlight w:val="none"/>
        </w:rPr>
        <w:t>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highlight w:val="none"/>
        </w:rPr>
        <w:t>http://www.creditchina.gov.cn/</w:t>
      </w:r>
      <w:r>
        <w:rPr>
          <w:rFonts w:ascii="Times New Roman" w:hAnsi="Times New Roman" w:eastAsia="Times New Roman" w:cs="Times New Roman"/>
          <w:color w:val="auto"/>
          <w:highlight w:val="none"/>
        </w:rPr>
        <w:fldChar w:fldCharType="end"/>
      </w:r>
      <w:r>
        <w:rPr>
          <w:rFonts w:ascii="Times New Roman" w:cs="Times New Roman"/>
          <w:color w:val="auto"/>
          <w:highlight w:val="none"/>
        </w:rPr>
        <w:t>）中被列入失信被执行人名单；</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369" w:right="325" w:firstLine="360"/>
        <w:textAlignment w:val="auto"/>
        <w:rPr>
          <w:rFonts w:ascii="Times New Roman" w:cs="Times New Roman"/>
          <w:color w:val="auto"/>
          <w:highlight w:val="none"/>
        </w:rPr>
      </w:pPr>
      <w:r>
        <w:rPr>
          <w:rFonts w:ascii="Times New Roman" w:cs="Times New Roman"/>
          <w:color w:val="auto"/>
          <w:spacing w:val="-1"/>
          <w:highlight w:val="none"/>
        </w:rPr>
        <w:t>（</w:t>
      </w:r>
      <w:r>
        <w:rPr>
          <w:rFonts w:ascii="Times New Roman" w:hAnsi="Times New Roman" w:eastAsia="Times New Roman" w:cs="Times New Roman"/>
          <w:color w:val="auto"/>
          <w:highlight w:val="none"/>
        </w:rPr>
        <w:t>6</w:t>
      </w:r>
      <w:r>
        <w:rPr>
          <w:rFonts w:ascii="Times New Roman" w:cs="Times New Roman"/>
          <w:color w:val="auto"/>
          <w:spacing w:val="-111"/>
          <w:highlight w:val="none"/>
        </w:rPr>
        <w:t>）</w:t>
      </w:r>
      <w:r>
        <w:rPr>
          <w:rFonts w:ascii="Times New Roman" w:cs="Times New Roman"/>
          <w:color w:val="auto"/>
          <w:highlight w:val="none"/>
        </w:rPr>
        <w:t>法律法规或投标人须知前附表规定的其他情形。</w:t>
      </w:r>
    </w:p>
    <w:p>
      <w:pPr>
        <w:spacing w:line="360" w:lineRule="auto"/>
        <w:ind w:firstLine="715" w:firstLineChars="298"/>
        <w:rPr>
          <w:rFonts w:ascii="宋体" w:hAnsi="宋体"/>
          <w:sz w:val="24"/>
        </w:rPr>
      </w:pPr>
      <w:r>
        <w:rPr>
          <w:rFonts w:ascii="宋体" w:hAnsi="宋体"/>
          <w:sz w:val="24"/>
        </w:rPr>
        <w:t>1.4.5 投标人</w:t>
      </w:r>
      <w:r>
        <w:rPr>
          <w:rFonts w:hint="eastAsia" w:ascii="宋体" w:hAnsi="宋体"/>
          <w:sz w:val="24"/>
        </w:rPr>
        <w:t>（包括联合体各成员）</w:t>
      </w:r>
      <w:r>
        <w:rPr>
          <w:rFonts w:ascii="宋体" w:hAnsi="宋体"/>
          <w:sz w:val="24"/>
        </w:rPr>
        <w:t>应进入交通运输部“全国公路建设市场信用信息管理系统（http：//glxy.mot.gov.cn）”中的公路工程施工资质企业名录，且投标人名称和资质与该名录中的相应企业名称和资质完全一致。投标人不满足本项规定条件的，将被否决投标。</w:t>
      </w:r>
      <w:r>
        <w:rPr>
          <w:rStyle w:val="55"/>
          <w:rFonts w:ascii="宋体" w:hAnsi="宋体"/>
          <w:sz w:val="24"/>
        </w:rPr>
        <w:footnoteReference w:id="0"/>
      </w:r>
    </w:p>
    <w:p>
      <w:pPr>
        <w:pStyle w:val="20"/>
        <w:adjustRightInd w:val="0"/>
        <w:snapToGrid w:val="0"/>
        <w:spacing w:line="324" w:lineRule="auto"/>
        <w:ind w:left="369" w:right="325" w:firstLine="360"/>
        <w:rPr>
          <w:rFonts w:ascii="Times New Roman" w:cs="Times New Roman"/>
          <w:color w:val="auto"/>
          <w:highlight w:val="none"/>
        </w:rPr>
      </w:pPr>
    </w:p>
    <w:p>
      <w:pPr>
        <w:pStyle w:val="86"/>
        <w:numPr>
          <w:ilvl w:val="1"/>
          <w:numId w:val="3"/>
        </w:numPr>
        <w:tabs>
          <w:tab w:val="left" w:pos="850"/>
        </w:tabs>
        <w:adjustRightInd w:val="0"/>
        <w:snapToGrid w:val="0"/>
        <w:spacing w:line="324" w:lineRule="auto"/>
        <w:rPr>
          <w:rFonts w:ascii="黑体" w:eastAsia="黑体"/>
          <w:color w:val="auto"/>
          <w:sz w:val="24"/>
          <w:highlight w:val="none"/>
        </w:rPr>
      </w:pPr>
      <w:bookmarkStart w:id="188" w:name="_bookmark34"/>
      <w:bookmarkEnd w:id="188"/>
      <w:r>
        <w:rPr>
          <w:rFonts w:hint="eastAsia" w:ascii="黑体" w:eastAsia="黑体"/>
          <w:color w:val="auto"/>
          <w:sz w:val="24"/>
          <w:highlight w:val="none"/>
        </w:rPr>
        <w:t>费用承担</w:t>
      </w:r>
    </w:p>
    <w:p>
      <w:pPr>
        <w:pStyle w:val="20"/>
        <w:adjustRightInd w:val="0"/>
        <w:snapToGrid w:val="0"/>
        <w:spacing w:line="324" w:lineRule="auto"/>
        <w:ind w:left="369" w:right="235" w:firstLine="479"/>
        <w:rPr>
          <w:color w:val="auto"/>
          <w:highlight w:val="none"/>
        </w:rPr>
      </w:pPr>
      <w:r>
        <w:rPr>
          <w:rFonts w:hint="eastAsia"/>
          <w:color w:val="auto"/>
          <w:highlight w:val="none"/>
        </w:rPr>
        <w:t>投标人准备和参加投标活动发生的费用自理。</w:t>
      </w:r>
    </w:p>
    <w:p>
      <w:pPr>
        <w:pStyle w:val="86"/>
        <w:numPr>
          <w:ilvl w:val="1"/>
          <w:numId w:val="3"/>
        </w:numPr>
        <w:tabs>
          <w:tab w:val="left" w:pos="850"/>
        </w:tabs>
        <w:adjustRightInd w:val="0"/>
        <w:snapToGrid w:val="0"/>
        <w:spacing w:line="324" w:lineRule="auto"/>
        <w:rPr>
          <w:rFonts w:ascii="黑体" w:eastAsia="黑体"/>
          <w:color w:val="auto"/>
          <w:sz w:val="24"/>
          <w:highlight w:val="none"/>
        </w:rPr>
      </w:pPr>
      <w:bookmarkStart w:id="189" w:name="_bookmark35"/>
      <w:bookmarkEnd w:id="189"/>
      <w:r>
        <w:rPr>
          <w:rFonts w:hint="eastAsia" w:ascii="黑体" w:eastAsia="黑体"/>
          <w:color w:val="auto"/>
          <w:sz w:val="24"/>
          <w:highlight w:val="none"/>
        </w:rPr>
        <w:t>保密</w:t>
      </w:r>
    </w:p>
    <w:p>
      <w:pPr>
        <w:pStyle w:val="20"/>
        <w:adjustRightInd w:val="0"/>
        <w:snapToGrid w:val="0"/>
        <w:spacing w:line="324" w:lineRule="auto"/>
        <w:ind w:left="369" w:right="235" w:firstLine="479"/>
        <w:rPr>
          <w:color w:val="auto"/>
          <w:highlight w:val="none"/>
        </w:rPr>
      </w:pPr>
      <w:r>
        <w:rPr>
          <w:color w:val="auto"/>
          <w:highlight w:val="none"/>
        </w:rPr>
        <w:t>参与招标投标活动的各方应对招标文件和投标文件中的商业和技术等秘密保密， 否则应承担相应的法律责任。</w:t>
      </w:r>
    </w:p>
    <w:p>
      <w:pPr>
        <w:pStyle w:val="86"/>
        <w:numPr>
          <w:ilvl w:val="1"/>
          <w:numId w:val="3"/>
        </w:numPr>
        <w:tabs>
          <w:tab w:val="left" w:pos="850"/>
        </w:tabs>
        <w:adjustRightInd w:val="0"/>
        <w:snapToGrid w:val="0"/>
        <w:spacing w:line="324" w:lineRule="auto"/>
        <w:rPr>
          <w:rFonts w:ascii="黑体" w:eastAsia="黑体"/>
          <w:color w:val="auto"/>
          <w:sz w:val="24"/>
          <w:highlight w:val="none"/>
        </w:rPr>
      </w:pPr>
      <w:bookmarkStart w:id="190" w:name="_bookmark36"/>
      <w:bookmarkEnd w:id="190"/>
      <w:r>
        <w:rPr>
          <w:rFonts w:hint="eastAsia" w:ascii="黑体" w:eastAsia="黑体"/>
          <w:color w:val="auto"/>
          <w:sz w:val="24"/>
          <w:highlight w:val="none"/>
        </w:rPr>
        <w:t>语言文字</w:t>
      </w:r>
    </w:p>
    <w:p>
      <w:pPr>
        <w:pStyle w:val="20"/>
        <w:adjustRightInd w:val="0"/>
        <w:snapToGrid w:val="0"/>
        <w:spacing w:line="324" w:lineRule="auto"/>
        <w:ind w:left="849"/>
        <w:rPr>
          <w:color w:val="auto"/>
          <w:highlight w:val="none"/>
        </w:rPr>
      </w:pPr>
      <w:r>
        <w:rPr>
          <w:color w:val="auto"/>
          <w:highlight w:val="none"/>
        </w:rPr>
        <w:t>招标投标文件使用的语言文字为中文。专用术语使用外文的，应附有中文注释。</w:t>
      </w:r>
    </w:p>
    <w:p>
      <w:pPr>
        <w:pStyle w:val="86"/>
        <w:numPr>
          <w:ilvl w:val="1"/>
          <w:numId w:val="3"/>
        </w:numPr>
        <w:tabs>
          <w:tab w:val="left" w:pos="850"/>
        </w:tabs>
        <w:adjustRightInd w:val="0"/>
        <w:snapToGrid w:val="0"/>
        <w:spacing w:line="324" w:lineRule="auto"/>
        <w:rPr>
          <w:rFonts w:ascii="黑体" w:eastAsia="黑体"/>
          <w:color w:val="auto"/>
          <w:sz w:val="24"/>
          <w:highlight w:val="none"/>
        </w:rPr>
      </w:pPr>
      <w:bookmarkStart w:id="191" w:name="_bookmark37"/>
      <w:bookmarkEnd w:id="191"/>
      <w:r>
        <w:rPr>
          <w:rFonts w:hint="eastAsia" w:ascii="黑体" w:eastAsia="黑体"/>
          <w:color w:val="auto"/>
          <w:sz w:val="24"/>
          <w:highlight w:val="none"/>
        </w:rPr>
        <w:t>计量单位</w:t>
      </w:r>
    </w:p>
    <w:p>
      <w:pPr>
        <w:pStyle w:val="20"/>
        <w:adjustRightInd w:val="0"/>
        <w:snapToGrid w:val="0"/>
        <w:spacing w:line="324" w:lineRule="auto"/>
        <w:rPr>
          <w:rFonts w:ascii="黑体"/>
          <w:color w:val="auto"/>
          <w:sz w:val="18"/>
          <w:highlight w:val="none"/>
        </w:rPr>
      </w:pPr>
      <w:r>
        <w:rPr>
          <w:rFonts w:hint="eastAsia" w:cs="仿宋_GB2312"/>
          <w:color w:val="auto"/>
          <w:szCs w:val="21"/>
          <w:highlight w:val="none"/>
        </w:rPr>
        <w:t xml:space="preserve">       所有计量均采用中华人民共和国法定计量单位。</w:t>
      </w:r>
    </w:p>
    <w:p>
      <w:pPr>
        <w:pStyle w:val="86"/>
        <w:numPr>
          <w:ilvl w:val="1"/>
          <w:numId w:val="3"/>
        </w:numPr>
        <w:tabs>
          <w:tab w:val="left" w:pos="850"/>
        </w:tabs>
        <w:adjustRightInd w:val="0"/>
        <w:snapToGrid w:val="0"/>
        <w:spacing w:line="324" w:lineRule="auto"/>
        <w:rPr>
          <w:rFonts w:ascii="黑体" w:eastAsia="黑体"/>
          <w:color w:val="auto"/>
          <w:sz w:val="24"/>
          <w:highlight w:val="none"/>
        </w:rPr>
      </w:pPr>
      <w:bookmarkStart w:id="192" w:name="_bookmark38"/>
      <w:bookmarkEnd w:id="192"/>
      <w:r>
        <w:rPr>
          <w:rFonts w:hint="eastAsia" w:ascii="黑体" w:eastAsia="黑体"/>
          <w:color w:val="auto"/>
          <w:sz w:val="24"/>
          <w:highlight w:val="none"/>
        </w:rPr>
        <w:t>踏勘现场</w:t>
      </w:r>
    </w:p>
    <w:p>
      <w:pPr>
        <w:pStyle w:val="86"/>
        <w:numPr>
          <w:ilvl w:val="2"/>
          <w:numId w:val="3"/>
        </w:numPr>
        <w:tabs>
          <w:tab w:val="left" w:pos="1450"/>
        </w:tabs>
        <w:adjustRightInd w:val="0"/>
        <w:snapToGrid w:val="0"/>
        <w:spacing w:line="324" w:lineRule="auto"/>
        <w:ind w:left="440" w:leftChars="200" w:right="125" w:rightChars="57" w:firstLine="480" w:firstLineChars="200"/>
        <w:jc w:val="both"/>
        <w:rPr>
          <w:rFonts w:ascii="Times New Roman" w:hAnsi="Times New Roman" w:cs="Times New Roman"/>
          <w:color w:val="auto"/>
          <w:sz w:val="24"/>
          <w:highlight w:val="none"/>
        </w:rPr>
      </w:pPr>
      <w:r>
        <w:rPr>
          <w:rFonts w:ascii="Times New Roman" w:cs="Times New Roman"/>
          <w:color w:val="auto"/>
          <w:sz w:val="24"/>
          <w:highlight w:val="none"/>
        </w:rPr>
        <w:t>第一章</w:t>
      </w:r>
      <w:r>
        <w:rPr>
          <w:rFonts w:ascii="Times New Roman" w:hAnsi="Times New Roman" w:cs="Times New Roman"/>
          <w:color w:val="auto"/>
          <w:sz w:val="24"/>
          <w:highlight w:val="none"/>
        </w:rPr>
        <w:t>“</w:t>
      </w:r>
      <w:r>
        <w:rPr>
          <w:rFonts w:ascii="Times New Roman" w:cs="Times New Roman"/>
          <w:color w:val="auto"/>
          <w:sz w:val="24"/>
          <w:highlight w:val="none"/>
        </w:rPr>
        <w:t>招标公告</w:t>
      </w:r>
      <w:r>
        <w:rPr>
          <w:rFonts w:ascii="Times New Roman" w:hAnsi="Times New Roman" w:cs="Times New Roman"/>
          <w:color w:val="auto"/>
          <w:sz w:val="24"/>
          <w:highlight w:val="none"/>
        </w:rPr>
        <w:t>”</w:t>
      </w:r>
      <w:r>
        <w:rPr>
          <w:rFonts w:ascii="Times New Roman" w:cs="Times New Roman"/>
          <w:color w:val="auto"/>
          <w:sz w:val="24"/>
          <w:highlight w:val="none"/>
        </w:rPr>
        <w:t>或</w:t>
      </w:r>
      <w:r>
        <w:rPr>
          <w:rFonts w:ascii="Times New Roman" w:hAnsi="Times New Roman" w:cs="Times New Roman"/>
          <w:color w:val="auto"/>
          <w:sz w:val="24"/>
          <w:highlight w:val="none"/>
        </w:rPr>
        <w:t>“</w:t>
      </w:r>
      <w:r>
        <w:rPr>
          <w:rFonts w:ascii="Times New Roman" w:cs="Times New Roman"/>
          <w:color w:val="auto"/>
          <w:sz w:val="24"/>
          <w:highlight w:val="none"/>
        </w:rPr>
        <w:t>投标邀请书</w:t>
      </w:r>
      <w:r>
        <w:rPr>
          <w:rFonts w:ascii="Times New Roman" w:hAnsi="Times New Roman" w:cs="Times New Roman"/>
          <w:color w:val="auto"/>
          <w:sz w:val="24"/>
          <w:highlight w:val="none"/>
        </w:rPr>
        <w:t>”</w:t>
      </w:r>
      <w:r>
        <w:rPr>
          <w:rFonts w:ascii="Times New Roman" w:cs="Times New Roman"/>
          <w:color w:val="auto"/>
          <w:sz w:val="24"/>
          <w:highlight w:val="none"/>
        </w:rPr>
        <w:t>规定组织踏勘现场的，招标人按规</w:t>
      </w:r>
      <w:r>
        <w:rPr>
          <w:rFonts w:ascii="Times New Roman" w:cs="Times New Roman"/>
          <w:color w:val="auto"/>
          <w:spacing w:val="-9"/>
          <w:sz w:val="24"/>
          <w:highlight w:val="none"/>
        </w:rPr>
        <w:t>定的时间、地点组织投标人踏勘项目现场。部分投标人未按时参加踏勘现场的，不影响踏勘现场的正常进行。招标人不得组织单个或部分投标人踏勘项目现场。</w:t>
      </w:r>
    </w:p>
    <w:p>
      <w:pPr>
        <w:pStyle w:val="86"/>
        <w:numPr>
          <w:ilvl w:val="2"/>
          <w:numId w:val="3"/>
        </w:numPr>
        <w:tabs>
          <w:tab w:val="left" w:pos="1450"/>
        </w:tabs>
        <w:adjustRightInd w:val="0"/>
        <w:snapToGrid w:val="0"/>
        <w:spacing w:line="324" w:lineRule="auto"/>
        <w:ind w:left="440" w:leftChars="200" w:right="125" w:rightChars="57" w:firstLine="480" w:firstLineChars="200"/>
        <w:jc w:val="both"/>
        <w:rPr>
          <w:rFonts w:ascii="Times New Roman" w:hAnsi="Times New Roman" w:cs="Times New Roman"/>
          <w:color w:val="auto"/>
          <w:sz w:val="24"/>
          <w:highlight w:val="none"/>
        </w:rPr>
      </w:pPr>
      <w:r>
        <w:rPr>
          <w:rFonts w:ascii="Times New Roman" w:cs="Times New Roman" w:hAnsiTheme="minorEastAsia" w:eastAsiaTheme="minorEastAsia"/>
          <w:color w:val="auto"/>
          <w:sz w:val="24"/>
          <w:highlight w:val="none"/>
        </w:rPr>
        <w:t>投标人踏勘现场发生的费用自理。</w:t>
      </w:r>
    </w:p>
    <w:p>
      <w:pPr>
        <w:pStyle w:val="86"/>
        <w:numPr>
          <w:ilvl w:val="2"/>
          <w:numId w:val="3"/>
        </w:numPr>
        <w:tabs>
          <w:tab w:val="left" w:pos="1331"/>
        </w:tabs>
        <w:adjustRightInd w:val="0"/>
        <w:snapToGrid w:val="0"/>
        <w:spacing w:line="324" w:lineRule="auto"/>
        <w:ind w:left="440" w:leftChars="200" w:right="125" w:rightChars="57" w:firstLine="480" w:firstLineChars="200"/>
        <w:jc w:val="both"/>
        <w:rPr>
          <w:rFonts w:ascii="Times New Roman" w:hAnsi="Times New Roman" w:cs="Times New Roman"/>
          <w:color w:val="auto"/>
          <w:sz w:val="24"/>
          <w:highlight w:val="none"/>
        </w:rPr>
      </w:pPr>
      <w:r>
        <w:rPr>
          <w:rFonts w:ascii="Times New Roman" w:cs="Times New Roman"/>
          <w:color w:val="auto"/>
          <w:sz w:val="24"/>
          <w:highlight w:val="none"/>
        </w:rPr>
        <w:t>除招标人的原因外，投标人自行负责在踏勘现场中所发生的人员伤亡和财产损失。</w:t>
      </w:r>
    </w:p>
    <w:p>
      <w:pPr>
        <w:pStyle w:val="86"/>
        <w:numPr>
          <w:ilvl w:val="2"/>
          <w:numId w:val="3"/>
        </w:numPr>
        <w:tabs>
          <w:tab w:val="left" w:pos="1331"/>
        </w:tabs>
        <w:adjustRightInd w:val="0"/>
        <w:snapToGrid w:val="0"/>
        <w:spacing w:line="324" w:lineRule="auto"/>
        <w:ind w:left="440" w:leftChars="200" w:right="125" w:rightChars="57" w:firstLine="480" w:firstLineChars="200"/>
        <w:jc w:val="both"/>
        <w:rPr>
          <w:rFonts w:ascii="Times New Roman" w:hAnsi="Times New Roman" w:cs="Times New Roman"/>
          <w:color w:val="auto"/>
          <w:sz w:val="24"/>
          <w:highlight w:val="none"/>
        </w:rPr>
      </w:pPr>
      <w:r>
        <w:rPr>
          <w:rFonts w:ascii="Times New Roman" w:cs="Times New Roman"/>
          <w:color w:val="auto"/>
          <w:sz w:val="24"/>
          <w:highlight w:val="none"/>
        </w:rPr>
        <w:t>招标人在踏勘现场中介绍的工程场地和相关的周边环境情况，供投标人在编制投标文件时参考，招标人不对投标人据此作出的判断和决策负责。</w:t>
      </w:r>
    </w:p>
    <w:p>
      <w:pPr>
        <w:pStyle w:val="86"/>
        <w:numPr>
          <w:ilvl w:val="2"/>
          <w:numId w:val="3"/>
        </w:numPr>
        <w:tabs>
          <w:tab w:val="left" w:pos="1331"/>
        </w:tabs>
        <w:adjustRightInd w:val="0"/>
        <w:snapToGrid w:val="0"/>
        <w:spacing w:line="324" w:lineRule="auto"/>
        <w:ind w:left="440" w:leftChars="200" w:right="125" w:rightChars="57" w:firstLine="480" w:firstLineChars="200"/>
        <w:jc w:val="both"/>
        <w:rPr>
          <w:rFonts w:ascii="Times New Roman" w:hAnsi="Times New Roman" w:cs="Times New Roman"/>
          <w:color w:val="auto"/>
          <w:sz w:val="24"/>
          <w:highlight w:val="none"/>
        </w:rPr>
      </w:pPr>
      <w:r>
        <w:rPr>
          <w:rFonts w:ascii="Times New Roman" w:cs="Times New Roman"/>
          <w:color w:val="auto"/>
          <w:sz w:val="24"/>
          <w:highlight w:val="none"/>
        </w:rPr>
        <w:t>招标人提供的本合同工程的水文、地质、气象和料场分布、取土场、弃土</w:t>
      </w:r>
      <w:r>
        <w:rPr>
          <w:rFonts w:ascii="Times New Roman" w:cs="Times New Roman"/>
          <w:color w:val="auto"/>
          <w:spacing w:val="-8"/>
          <w:sz w:val="24"/>
          <w:highlight w:val="none"/>
        </w:rPr>
        <w:t>场位置等参考资料，并不构成合同文件的组成部分，投标人应对自己就上述资料的解释、推论和应用负责，招标人不对投标人据此作出的判断和决策承担任何责任。</w:t>
      </w:r>
    </w:p>
    <w:p>
      <w:pPr>
        <w:pStyle w:val="86"/>
        <w:numPr>
          <w:ilvl w:val="1"/>
          <w:numId w:val="3"/>
        </w:numPr>
        <w:tabs>
          <w:tab w:val="left" w:pos="970"/>
        </w:tabs>
        <w:adjustRightInd w:val="0"/>
        <w:snapToGrid w:val="0"/>
        <w:spacing w:line="324" w:lineRule="auto"/>
        <w:ind w:left="969" w:hanging="600"/>
        <w:rPr>
          <w:rFonts w:ascii="黑体" w:eastAsia="黑体"/>
          <w:color w:val="auto"/>
          <w:sz w:val="24"/>
          <w:highlight w:val="none"/>
        </w:rPr>
      </w:pPr>
      <w:bookmarkStart w:id="193" w:name="_bookmark39"/>
      <w:bookmarkEnd w:id="193"/>
      <w:r>
        <w:rPr>
          <w:rFonts w:hint="eastAsia" w:ascii="黑体" w:eastAsia="黑体"/>
          <w:color w:val="auto"/>
          <w:sz w:val="24"/>
          <w:highlight w:val="none"/>
        </w:rPr>
        <w:t>投标预备会</w:t>
      </w:r>
    </w:p>
    <w:p>
      <w:pPr>
        <w:pStyle w:val="86"/>
        <w:numPr>
          <w:ilvl w:val="2"/>
          <w:numId w:val="3"/>
        </w:numPr>
        <w:tabs>
          <w:tab w:val="left" w:pos="1570"/>
        </w:tabs>
        <w:adjustRightInd w:val="0"/>
        <w:snapToGrid w:val="0"/>
        <w:spacing w:line="324" w:lineRule="auto"/>
        <w:ind w:left="369" w:right="327" w:firstLine="480"/>
        <w:rPr>
          <w:rFonts w:ascii="Times New Roman" w:hAnsi="Times New Roman" w:cs="Times New Roman"/>
          <w:color w:val="auto"/>
          <w:sz w:val="24"/>
          <w:highlight w:val="none"/>
        </w:rPr>
      </w:pPr>
      <w:r>
        <w:rPr>
          <w:rFonts w:ascii="Times New Roman" w:cs="Times New Roman"/>
          <w:color w:val="auto"/>
          <w:spacing w:val="-11"/>
          <w:sz w:val="24"/>
          <w:highlight w:val="none"/>
        </w:rPr>
        <w:t>第一章</w:t>
      </w:r>
      <w:r>
        <w:rPr>
          <w:rFonts w:ascii="Times New Roman" w:hAnsi="Times New Roman" w:cs="Times New Roman"/>
          <w:color w:val="auto"/>
          <w:spacing w:val="-11"/>
          <w:sz w:val="24"/>
          <w:highlight w:val="none"/>
        </w:rPr>
        <w:t>“</w:t>
      </w:r>
      <w:r>
        <w:rPr>
          <w:rFonts w:ascii="Times New Roman" w:cs="Times New Roman"/>
          <w:color w:val="auto"/>
          <w:spacing w:val="-11"/>
          <w:sz w:val="24"/>
          <w:highlight w:val="none"/>
        </w:rPr>
        <w:t>招标公告</w:t>
      </w:r>
      <w:r>
        <w:rPr>
          <w:rFonts w:ascii="Times New Roman" w:hAnsi="Times New Roman" w:cs="Times New Roman"/>
          <w:color w:val="auto"/>
          <w:spacing w:val="-11"/>
          <w:sz w:val="24"/>
          <w:highlight w:val="none"/>
        </w:rPr>
        <w:t>”</w:t>
      </w:r>
      <w:r>
        <w:rPr>
          <w:rFonts w:ascii="Times New Roman" w:cs="Times New Roman"/>
          <w:color w:val="auto"/>
          <w:spacing w:val="-11"/>
          <w:sz w:val="24"/>
          <w:highlight w:val="none"/>
        </w:rPr>
        <w:t>或</w:t>
      </w:r>
      <w:r>
        <w:rPr>
          <w:rFonts w:ascii="Times New Roman" w:hAnsi="Times New Roman" w:cs="Times New Roman"/>
          <w:color w:val="auto"/>
          <w:spacing w:val="-11"/>
          <w:sz w:val="24"/>
          <w:highlight w:val="none"/>
        </w:rPr>
        <w:t>“</w:t>
      </w:r>
      <w:r>
        <w:rPr>
          <w:rFonts w:ascii="Times New Roman" w:cs="Times New Roman"/>
          <w:color w:val="auto"/>
          <w:spacing w:val="-11"/>
          <w:sz w:val="24"/>
          <w:highlight w:val="none"/>
        </w:rPr>
        <w:t>投标邀请书</w:t>
      </w:r>
      <w:r>
        <w:rPr>
          <w:rFonts w:ascii="Times New Roman" w:hAnsi="Times New Roman" w:cs="Times New Roman"/>
          <w:color w:val="auto"/>
          <w:spacing w:val="-11"/>
          <w:sz w:val="24"/>
          <w:highlight w:val="none"/>
        </w:rPr>
        <w:t>”</w:t>
      </w:r>
      <w:r>
        <w:rPr>
          <w:rFonts w:ascii="Times New Roman" w:cs="Times New Roman"/>
          <w:color w:val="auto"/>
          <w:spacing w:val="-11"/>
          <w:sz w:val="24"/>
          <w:highlight w:val="none"/>
        </w:rPr>
        <w:t>规定召开投标预备会的，招标人按规定的时间和地点召开投标预备会，澄清投标人提出的问题。</w:t>
      </w:r>
    </w:p>
    <w:p>
      <w:pPr>
        <w:pStyle w:val="86"/>
        <w:numPr>
          <w:ilvl w:val="2"/>
          <w:numId w:val="3"/>
        </w:numPr>
        <w:tabs>
          <w:tab w:val="left" w:pos="1574"/>
        </w:tabs>
        <w:adjustRightInd w:val="0"/>
        <w:snapToGrid w:val="0"/>
        <w:spacing w:line="324" w:lineRule="auto"/>
        <w:ind w:left="369" w:right="321" w:firstLine="480"/>
        <w:rPr>
          <w:rFonts w:ascii="Times New Roman" w:hAnsi="Times New Roman" w:cs="Times New Roman"/>
          <w:color w:val="auto"/>
          <w:sz w:val="24"/>
          <w:highlight w:val="none"/>
        </w:rPr>
      </w:pPr>
      <w:r>
        <w:rPr>
          <w:rFonts w:ascii="Times New Roman" w:cs="Times New Roman"/>
          <w:color w:val="auto"/>
          <w:spacing w:val="2"/>
          <w:sz w:val="24"/>
          <w:highlight w:val="none"/>
        </w:rPr>
        <w:t>投标人应按投标人须知前附表规定的时间和形式将提出的问题送达招标</w:t>
      </w:r>
      <w:r>
        <w:rPr>
          <w:rFonts w:ascii="Times New Roman" w:cs="Times New Roman"/>
          <w:color w:val="auto"/>
          <w:sz w:val="24"/>
          <w:highlight w:val="none"/>
        </w:rPr>
        <w:t>人，以便招标人在会议期间澄清。</w:t>
      </w:r>
    </w:p>
    <w:p>
      <w:pPr>
        <w:pStyle w:val="86"/>
        <w:numPr>
          <w:ilvl w:val="2"/>
          <w:numId w:val="3"/>
        </w:numPr>
        <w:tabs>
          <w:tab w:val="left" w:pos="1570"/>
        </w:tabs>
        <w:adjustRightInd w:val="0"/>
        <w:snapToGrid w:val="0"/>
        <w:spacing w:line="324" w:lineRule="auto"/>
        <w:ind w:left="369" w:right="327" w:firstLine="480"/>
        <w:rPr>
          <w:rFonts w:ascii="Times New Roman" w:hAnsi="Times New Roman" w:cs="Times New Roman"/>
          <w:color w:val="auto"/>
          <w:sz w:val="24"/>
          <w:highlight w:val="none"/>
        </w:rPr>
      </w:pPr>
      <w:r>
        <w:rPr>
          <w:rFonts w:ascii="Times New Roman" w:cs="Times New Roman"/>
          <w:color w:val="auto"/>
          <w:spacing w:val="-6"/>
          <w:sz w:val="24"/>
          <w:highlight w:val="none"/>
        </w:rPr>
        <w:t>投标预备会后，招标人将对投标人所提问题的澄清，以本章第</w:t>
      </w:r>
      <w:r>
        <w:rPr>
          <w:rFonts w:ascii="Times New Roman" w:hAnsi="Times New Roman" w:eastAsia="Times New Roman" w:cs="Times New Roman"/>
          <w:color w:val="auto"/>
          <w:sz w:val="24"/>
          <w:highlight w:val="none"/>
        </w:rPr>
        <w:t xml:space="preserve">2.2 </w:t>
      </w:r>
      <w:r>
        <w:rPr>
          <w:rFonts w:ascii="Times New Roman" w:cs="Times New Roman"/>
          <w:color w:val="auto"/>
          <w:sz w:val="24"/>
          <w:highlight w:val="none"/>
        </w:rPr>
        <w:t>款规定的形式通知所有购买招标文件的投标人。该澄清内容为招标文件的组成部分。</w:t>
      </w:r>
    </w:p>
    <w:p>
      <w:pPr>
        <w:pStyle w:val="86"/>
        <w:numPr>
          <w:ilvl w:val="1"/>
          <w:numId w:val="3"/>
        </w:numPr>
        <w:tabs>
          <w:tab w:val="left" w:pos="970"/>
        </w:tabs>
        <w:adjustRightInd w:val="0"/>
        <w:snapToGrid w:val="0"/>
        <w:spacing w:line="324" w:lineRule="auto"/>
        <w:ind w:left="969" w:hanging="600"/>
        <w:rPr>
          <w:rFonts w:ascii="黑体" w:eastAsia="黑体"/>
          <w:color w:val="auto"/>
          <w:sz w:val="24"/>
          <w:highlight w:val="none"/>
        </w:rPr>
      </w:pPr>
      <w:bookmarkStart w:id="194" w:name="_bookmark40"/>
      <w:bookmarkEnd w:id="194"/>
      <w:r>
        <w:rPr>
          <w:rFonts w:hint="eastAsia" w:ascii="黑体" w:eastAsia="黑体"/>
          <w:color w:val="auto"/>
          <w:sz w:val="24"/>
          <w:highlight w:val="none"/>
        </w:rPr>
        <w:t>分包</w:t>
      </w:r>
    </w:p>
    <w:p>
      <w:pPr>
        <w:pStyle w:val="86"/>
        <w:numPr>
          <w:ilvl w:val="2"/>
          <w:numId w:val="3"/>
        </w:numPr>
        <w:tabs>
          <w:tab w:val="left" w:pos="1560"/>
        </w:tabs>
        <w:adjustRightInd w:val="0"/>
        <w:snapToGrid w:val="0"/>
        <w:spacing w:line="324" w:lineRule="auto"/>
        <w:ind w:left="369" w:right="244" w:firstLine="480"/>
        <w:rPr>
          <w:rFonts w:ascii="Times New Roman" w:hAnsi="Times New Roman" w:cs="Times New Roman"/>
          <w:color w:val="auto"/>
          <w:sz w:val="24"/>
          <w:highlight w:val="none"/>
        </w:rPr>
      </w:pPr>
      <w:r>
        <w:rPr>
          <w:rFonts w:ascii="Times New Roman" w:cs="Times New Roman"/>
          <w:color w:val="auto"/>
          <w:sz w:val="24"/>
          <w:highlight w:val="none"/>
        </w:rPr>
        <w:t>投标人拟在中标后将中标项目的部分非主体、非关键性工作进行分包的，应符合以下规定：</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1</w:t>
      </w:r>
      <w:r>
        <w:rPr>
          <w:rFonts w:ascii="Times New Roman" w:cs="Times New Roman"/>
          <w:color w:val="auto"/>
          <w:spacing w:val="-16"/>
          <w:highlight w:val="none"/>
        </w:rPr>
        <w:t>）</w:t>
      </w:r>
      <w:r>
        <w:rPr>
          <w:rFonts w:ascii="Times New Roman" w:cs="Times New Roman"/>
          <w:color w:val="auto"/>
          <w:spacing w:val="-7"/>
          <w:highlight w:val="none"/>
        </w:rPr>
        <w:t>分包内容要求：允许分包的工程范围仅限于非关键性工程或适合专业化队伍</w:t>
      </w:r>
      <w:r>
        <w:rPr>
          <w:rFonts w:ascii="Times New Roman" w:cs="Times New Roman"/>
          <w:color w:val="auto"/>
          <w:spacing w:val="-10"/>
          <w:highlight w:val="none"/>
        </w:rPr>
        <w:t>施工的专项工程。招标人允许分包或不允许分包的专项工程</w:t>
      </w:r>
      <w:r>
        <w:rPr>
          <w:rFonts w:ascii="Times New Roman" w:cs="Times New Roman"/>
          <w:color w:val="auto"/>
          <w:highlight w:val="none"/>
        </w:rPr>
        <w:t>（如有</w:t>
      </w:r>
      <w:r>
        <w:rPr>
          <w:rFonts w:ascii="Times New Roman" w:cs="Times New Roman"/>
          <w:color w:val="auto"/>
          <w:spacing w:val="-29"/>
          <w:highlight w:val="none"/>
        </w:rPr>
        <w:t>）</w:t>
      </w:r>
      <w:r>
        <w:rPr>
          <w:rFonts w:ascii="Times New Roman" w:cs="Times New Roman"/>
          <w:color w:val="auto"/>
          <w:highlight w:val="none"/>
        </w:rPr>
        <w:t>应在投标人须知前附表中载明。</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2</w:t>
      </w:r>
      <w:r>
        <w:rPr>
          <w:rFonts w:ascii="Times New Roman" w:cs="Times New Roman"/>
          <w:color w:val="auto"/>
          <w:spacing w:val="-16"/>
          <w:highlight w:val="none"/>
        </w:rPr>
        <w:t>）</w:t>
      </w:r>
      <w:r>
        <w:rPr>
          <w:rFonts w:ascii="Times New Roman" w:cs="Times New Roman"/>
          <w:color w:val="auto"/>
          <w:spacing w:val="-4"/>
          <w:highlight w:val="none"/>
        </w:rPr>
        <w:t>接受分包的第三人资格要求：分包人的资格能力应与其分包工程的标准和规模相适应，且具备投标人须知前附表中规定的资格条件。</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）其他要求：投标人如有分包计划，应按第九章</w:t>
      </w:r>
      <w:r>
        <w:rPr>
          <w:rFonts w:ascii="Times New Roman" w:hAnsi="Times New Roman" w:cs="Times New Roman"/>
          <w:color w:val="auto"/>
          <w:highlight w:val="none"/>
        </w:rPr>
        <w:t>“</w:t>
      </w:r>
      <w:r>
        <w:rPr>
          <w:rFonts w:ascii="Times New Roman" w:cs="Times New Roman"/>
          <w:color w:val="auto"/>
          <w:highlight w:val="none"/>
        </w:rPr>
        <w:t>投标文件格式</w:t>
      </w:r>
      <w:r>
        <w:rPr>
          <w:rFonts w:ascii="Times New Roman" w:hAnsi="Times New Roman" w:cs="Times New Roman"/>
          <w:color w:val="auto"/>
          <w:highlight w:val="none"/>
        </w:rPr>
        <w:t>”</w:t>
      </w:r>
      <w:r>
        <w:rPr>
          <w:rFonts w:ascii="Times New Roman" w:cs="Times New Roman"/>
          <w:color w:val="auto"/>
          <w:highlight w:val="none"/>
        </w:rPr>
        <w:t>的要求填写</w:t>
      </w:r>
    </w:p>
    <w:p>
      <w:pPr>
        <w:pStyle w:val="20"/>
        <w:adjustRightInd w:val="0"/>
        <w:snapToGrid w:val="0"/>
        <w:spacing w:line="324" w:lineRule="auto"/>
        <w:ind w:left="369" w:right="324" w:hanging="120"/>
        <w:rPr>
          <w:rFonts w:ascii="Times New Roman" w:hAnsi="Times New Roman" w:cs="Times New Roman"/>
          <w:color w:val="auto"/>
          <w:highlight w:val="none"/>
        </w:rPr>
      </w:pPr>
      <w:r>
        <w:rPr>
          <w:rFonts w:ascii="Times New Roman" w:hAnsi="Times New Roman" w:cs="Times New Roman"/>
          <w:color w:val="auto"/>
          <w:spacing w:val="-15"/>
          <w:highlight w:val="none"/>
        </w:rPr>
        <w:t>“</w:t>
      </w:r>
      <w:r>
        <w:rPr>
          <w:rFonts w:ascii="Times New Roman" w:cs="Times New Roman"/>
          <w:color w:val="auto"/>
          <w:spacing w:val="-15"/>
          <w:highlight w:val="none"/>
        </w:rPr>
        <w:t>拟分包项目情况表</w:t>
      </w:r>
      <w:r>
        <w:rPr>
          <w:rFonts w:ascii="Times New Roman" w:hAnsi="Times New Roman" w:cs="Times New Roman"/>
          <w:color w:val="auto"/>
          <w:spacing w:val="-15"/>
          <w:highlight w:val="none"/>
        </w:rPr>
        <w:t>”</w:t>
      </w:r>
      <w:r>
        <w:rPr>
          <w:rFonts w:ascii="Times New Roman" w:cs="Times New Roman"/>
          <w:color w:val="auto"/>
          <w:spacing w:val="-15"/>
          <w:highlight w:val="none"/>
        </w:rPr>
        <w:t>，明确拟分包的工程及规模，且投标人中标后的分包应满足合同</w:t>
      </w:r>
      <w:r>
        <w:rPr>
          <w:rFonts w:ascii="Times New Roman" w:cs="Times New Roman"/>
          <w:color w:val="auto"/>
          <w:spacing w:val="-27"/>
          <w:highlight w:val="none"/>
        </w:rPr>
        <w:t>条款第</w:t>
      </w:r>
      <w:r>
        <w:rPr>
          <w:rFonts w:ascii="Times New Roman" w:hAnsi="Times New Roman" w:eastAsia="Times New Roman" w:cs="Times New Roman"/>
          <w:color w:val="auto"/>
          <w:highlight w:val="none"/>
        </w:rPr>
        <w:t xml:space="preserve">4.3 </w:t>
      </w:r>
      <w:r>
        <w:rPr>
          <w:rFonts w:ascii="Times New Roman" w:cs="Times New Roman"/>
          <w:color w:val="auto"/>
          <w:highlight w:val="none"/>
        </w:rPr>
        <w:t>款的相关要求。</w:t>
      </w:r>
    </w:p>
    <w:p>
      <w:pPr>
        <w:pStyle w:val="86"/>
        <w:numPr>
          <w:ilvl w:val="2"/>
          <w:numId w:val="3"/>
        </w:numPr>
        <w:tabs>
          <w:tab w:val="left" w:pos="1560"/>
        </w:tabs>
        <w:adjustRightInd w:val="0"/>
        <w:snapToGrid w:val="0"/>
        <w:spacing w:line="324" w:lineRule="auto"/>
        <w:ind w:left="369" w:right="326" w:firstLine="480"/>
        <w:rPr>
          <w:rFonts w:ascii="Times New Roman" w:hAnsi="Times New Roman" w:cs="Times New Roman"/>
          <w:color w:val="auto"/>
          <w:sz w:val="24"/>
          <w:highlight w:val="none"/>
        </w:rPr>
      </w:pPr>
      <w:r>
        <w:rPr>
          <w:rFonts w:ascii="Times New Roman" w:cs="Times New Roman"/>
          <w:color w:val="auto"/>
          <w:spacing w:val="-5"/>
          <w:sz w:val="24"/>
          <w:highlight w:val="none"/>
        </w:rPr>
        <w:t>中标人不得向他人转让中标项目，接受分包的人不得再次分包。中标人应就分包项目向招标人负责，接受分包的人就分包项目承担连带责任。</w:t>
      </w:r>
    </w:p>
    <w:p>
      <w:pPr>
        <w:pStyle w:val="86"/>
        <w:numPr>
          <w:ilvl w:val="1"/>
          <w:numId w:val="3"/>
        </w:numPr>
        <w:tabs>
          <w:tab w:val="left" w:pos="970"/>
        </w:tabs>
        <w:adjustRightInd w:val="0"/>
        <w:snapToGrid w:val="0"/>
        <w:spacing w:line="324" w:lineRule="auto"/>
        <w:ind w:left="969" w:hanging="600"/>
        <w:rPr>
          <w:rFonts w:ascii="黑体" w:eastAsia="黑体"/>
          <w:color w:val="auto"/>
          <w:sz w:val="24"/>
          <w:highlight w:val="none"/>
        </w:rPr>
      </w:pPr>
      <w:bookmarkStart w:id="195" w:name="_bookmark41"/>
      <w:bookmarkEnd w:id="195"/>
      <w:r>
        <w:rPr>
          <w:rFonts w:hint="eastAsia" w:ascii="黑体" w:eastAsia="黑体"/>
          <w:color w:val="auto"/>
          <w:sz w:val="24"/>
          <w:highlight w:val="none"/>
        </w:rPr>
        <w:t>响应和偏差</w:t>
      </w:r>
    </w:p>
    <w:p>
      <w:pPr>
        <w:pStyle w:val="86"/>
        <w:numPr>
          <w:ilvl w:val="2"/>
          <w:numId w:val="3"/>
        </w:numPr>
        <w:tabs>
          <w:tab w:val="left" w:pos="1570"/>
        </w:tabs>
        <w:adjustRightInd w:val="0"/>
        <w:snapToGrid w:val="0"/>
        <w:spacing w:line="324" w:lineRule="auto"/>
        <w:ind w:left="369" w:right="324" w:firstLine="480"/>
        <w:rPr>
          <w:rFonts w:ascii="Times New Roman" w:hAnsi="Times New Roman" w:cs="Times New Roman"/>
          <w:color w:val="auto"/>
          <w:sz w:val="24"/>
          <w:highlight w:val="none"/>
        </w:rPr>
      </w:pPr>
      <w:r>
        <w:rPr>
          <w:rFonts w:ascii="Times New Roman" w:cs="Times New Roman"/>
          <w:color w:val="auto"/>
          <w:spacing w:val="-6"/>
          <w:sz w:val="24"/>
          <w:highlight w:val="none"/>
        </w:rPr>
        <w:t>投标文件偏离招标文件某些要求，视为投标文件存在偏差。偏差包括重大偏差和细微偏差。</w:t>
      </w:r>
    </w:p>
    <w:p>
      <w:pPr>
        <w:pStyle w:val="86"/>
        <w:numPr>
          <w:ilvl w:val="2"/>
          <w:numId w:val="3"/>
        </w:numPr>
        <w:tabs>
          <w:tab w:val="left" w:pos="1574"/>
        </w:tabs>
        <w:adjustRightInd w:val="0"/>
        <w:snapToGrid w:val="0"/>
        <w:spacing w:line="324" w:lineRule="auto"/>
        <w:ind w:left="369" w:right="321" w:firstLine="480"/>
        <w:rPr>
          <w:rFonts w:ascii="Times New Roman" w:hAnsi="Times New Roman" w:cs="Times New Roman"/>
          <w:color w:val="auto"/>
          <w:sz w:val="24"/>
          <w:highlight w:val="none"/>
        </w:rPr>
      </w:pPr>
      <w:r>
        <w:rPr>
          <w:rFonts w:ascii="Times New Roman" w:cs="Times New Roman"/>
          <w:color w:val="auto"/>
          <w:spacing w:val="2"/>
          <w:sz w:val="24"/>
          <w:highlight w:val="none"/>
        </w:rPr>
        <w:t>投标文件应对招标文件的实质性要求和条件作出满足性或更有利于招标</w:t>
      </w:r>
      <w:r>
        <w:rPr>
          <w:rFonts w:ascii="Times New Roman" w:cs="Times New Roman"/>
          <w:color w:val="auto"/>
          <w:sz w:val="24"/>
          <w:highlight w:val="none"/>
        </w:rPr>
        <w:t>人的响应，否则，视为投标文件存在重大偏差，投标人的投标将被否决。</w:t>
      </w:r>
    </w:p>
    <w:p>
      <w:pPr>
        <w:pStyle w:val="20"/>
        <w:adjustRightInd w:val="0"/>
        <w:snapToGrid w:val="0"/>
        <w:spacing w:line="324" w:lineRule="auto"/>
        <w:ind w:left="369" w:right="327" w:firstLine="479"/>
        <w:rPr>
          <w:rFonts w:ascii="Times New Roman" w:hAnsi="Times New Roman" w:cs="Times New Roman"/>
          <w:color w:val="auto"/>
          <w:highlight w:val="none"/>
        </w:rPr>
      </w:pPr>
      <w:r>
        <w:rPr>
          <w:rFonts w:ascii="Times New Roman" w:cs="Times New Roman"/>
          <w:color w:val="auto"/>
          <w:spacing w:val="-7"/>
          <w:highlight w:val="none"/>
        </w:rPr>
        <w:t>投标文件存在第三章</w:t>
      </w:r>
      <w:r>
        <w:rPr>
          <w:rFonts w:ascii="Times New Roman" w:hAnsi="Times New Roman" w:cs="Times New Roman"/>
          <w:color w:val="auto"/>
          <w:spacing w:val="-7"/>
          <w:highlight w:val="none"/>
        </w:rPr>
        <w:t>“</w:t>
      </w:r>
      <w:r>
        <w:rPr>
          <w:rFonts w:ascii="Times New Roman" w:cs="Times New Roman"/>
          <w:color w:val="auto"/>
          <w:spacing w:val="-7"/>
          <w:highlight w:val="none"/>
        </w:rPr>
        <w:t>评标办法</w:t>
      </w:r>
      <w:r>
        <w:rPr>
          <w:rFonts w:ascii="Times New Roman" w:hAnsi="Times New Roman" w:cs="Times New Roman"/>
          <w:color w:val="auto"/>
          <w:spacing w:val="-7"/>
          <w:highlight w:val="none"/>
        </w:rPr>
        <w:t>”</w:t>
      </w:r>
      <w:r>
        <w:rPr>
          <w:rFonts w:ascii="Times New Roman" w:cs="Times New Roman"/>
          <w:color w:val="auto"/>
          <w:spacing w:val="-7"/>
          <w:highlight w:val="none"/>
        </w:rPr>
        <w:t>中所列任一否决投标情形的，均属于存在重大偏差。</w:t>
      </w:r>
    </w:p>
    <w:p>
      <w:pPr>
        <w:pStyle w:val="86"/>
        <w:numPr>
          <w:ilvl w:val="2"/>
          <w:numId w:val="3"/>
        </w:numPr>
        <w:tabs>
          <w:tab w:val="left" w:pos="1570"/>
        </w:tabs>
        <w:adjustRightInd w:val="0"/>
        <w:snapToGrid w:val="0"/>
        <w:spacing w:line="324" w:lineRule="auto"/>
        <w:ind w:left="369" w:firstLine="480"/>
        <w:rPr>
          <w:rFonts w:ascii="Times New Roman" w:hAnsi="Times New Roman" w:cs="Times New Roman"/>
          <w:color w:val="auto"/>
          <w:sz w:val="24"/>
          <w:highlight w:val="none"/>
        </w:rPr>
      </w:pPr>
      <w:r>
        <w:rPr>
          <w:rFonts w:ascii="Times New Roman" w:cs="Times New Roman"/>
          <w:color w:val="auto"/>
          <w:sz w:val="24"/>
          <w:highlight w:val="none"/>
        </w:rPr>
        <w:t>投标文件中的下列偏差为细微偏差：</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1</w:t>
      </w:r>
      <w:r>
        <w:rPr>
          <w:rFonts w:ascii="Times New Roman" w:cs="Times New Roman"/>
          <w:color w:val="auto"/>
          <w:spacing w:val="-11"/>
          <w:highlight w:val="none"/>
        </w:rPr>
        <w:t>）</w:t>
      </w:r>
      <w:r>
        <w:rPr>
          <w:rFonts w:ascii="Times New Roman" w:cs="Times New Roman"/>
          <w:color w:val="auto"/>
          <w:spacing w:val="-9"/>
          <w:highlight w:val="none"/>
        </w:rPr>
        <w:t>在按照第三章</w:t>
      </w:r>
      <w:r>
        <w:rPr>
          <w:rFonts w:ascii="Times New Roman" w:hAnsi="Times New Roman" w:cs="Times New Roman"/>
          <w:color w:val="auto"/>
          <w:spacing w:val="-9"/>
          <w:highlight w:val="none"/>
        </w:rPr>
        <w:t>“</w:t>
      </w:r>
      <w:r>
        <w:rPr>
          <w:rFonts w:ascii="Times New Roman" w:cs="Times New Roman"/>
          <w:color w:val="auto"/>
          <w:spacing w:val="-9"/>
          <w:highlight w:val="none"/>
        </w:rPr>
        <w:t>评标办法</w:t>
      </w:r>
      <w:r>
        <w:rPr>
          <w:rFonts w:ascii="Times New Roman" w:hAnsi="Times New Roman" w:cs="Times New Roman"/>
          <w:color w:val="auto"/>
          <w:spacing w:val="-9"/>
          <w:highlight w:val="none"/>
        </w:rPr>
        <w:t>”</w:t>
      </w:r>
      <w:r>
        <w:rPr>
          <w:rFonts w:ascii="Times New Roman" w:cs="Times New Roman"/>
          <w:color w:val="auto"/>
          <w:spacing w:val="-9"/>
          <w:highlight w:val="none"/>
        </w:rPr>
        <w:t>的规定对投标价进行算术性错误修正及其他错误</w:t>
      </w:r>
      <w:r>
        <w:rPr>
          <w:rFonts w:ascii="Times New Roman" w:cs="Times New Roman"/>
          <w:color w:val="auto"/>
          <w:spacing w:val="-8"/>
          <w:highlight w:val="none"/>
        </w:rPr>
        <w:t>修正后，最终投标报价未超过最高投标限价</w:t>
      </w:r>
      <w:r>
        <w:rPr>
          <w:rFonts w:ascii="Times New Roman" w:cs="Times New Roman"/>
          <w:color w:val="auto"/>
          <w:highlight w:val="none"/>
        </w:rPr>
        <w:t>（如有</w:t>
      </w:r>
      <w:r>
        <w:rPr>
          <w:rFonts w:ascii="Times New Roman" w:cs="Times New Roman"/>
          <w:color w:val="auto"/>
          <w:spacing w:val="-20"/>
          <w:highlight w:val="none"/>
        </w:rPr>
        <w:t>）</w:t>
      </w:r>
      <w:r>
        <w:rPr>
          <w:rFonts w:ascii="Times New Roman" w:cs="Times New Roman"/>
          <w:color w:val="auto"/>
          <w:spacing w:val="-6"/>
          <w:highlight w:val="none"/>
        </w:rPr>
        <w:t>的情况下，出现第三章</w:t>
      </w:r>
      <w:r>
        <w:rPr>
          <w:rFonts w:ascii="Times New Roman" w:hAnsi="Times New Roman" w:cs="Times New Roman"/>
          <w:color w:val="auto"/>
          <w:spacing w:val="-6"/>
          <w:highlight w:val="none"/>
        </w:rPr>
        <w:t>“</w:t>
      </w:r>
      <w:r>
        <w:rPr>
          <w:rFonts w:ascii="Times New Roman" w:cs="Times New Roman"/>
          <w:color w:val="auto"/>
          <w:spacing w:val="-6"/>
          <w:highlight w:val="none"/>
        </w:rPr>
        <w:t>评标办法</w:t>
      </w:r>
      <w:r>
        <w:rPr>
          <w:rFonts w:ascii="Times New Roman" w:hAnsi="Times New Roman" w:cs="Times New Roman"/>
          <w:color w:val="auto"/>
          <w:spacing w:val="-6"/>
          <w:highlight w:val="none"/>
        </w:rPr>
        <w:t>”</w:t>
      </w:r>
      <w:r>
        <w:rPr>
          <w:rFonts w:ascii="Times New Roman" w:cs="Times New Roman"/>
          <w:color w:val="auto"/>
          <w:spacing w:val="-6"/>
          <w:highlight w:val="none"/>
        </w:rPr>
        <w:t>规定的算术性错误和投标报价的其他错误；</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）施工组织设计（含关键工程技术方案）和项目管理机构不够完善；</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3</w:t>
      </w:r>
      <w:r>
        <w:rPr>
          <w:rFonts w:ascii="Times New Roman" w:cs="Times New Roman"/>
          <w:color w:val="auto"/>
          <w:spacing w:val="-11"/>
          <w:highlight w:val="none"/>
        </w:rPr>
        <w:t>）</w:t>
      </w:r>
      <w:r>
        <w:rPr>
          <w:rFonts w:ascii="Times New Roman" w:cs="Times New Roman"/>
          <w:color w:val="auto"/>
          <w:spacing w:val="-6"/>
          <w:highlight w:val="none"/>
        </w:rPr>
        <w:t>投标文件页码不连续、采用活页夹装订、个别文字有遗漏错误等不影响投标文件实质性内容的偏差。</w:t>
      </w:r>
    </w:p>
    <w:p>
      <w:pPr>
        <w:pStyle w:val="86"/>
        <w:numPr>
          <w:ilvl w:val="2"/>
          <w:numId w:val="3"/>
        </w:numPr>
        <w:tabs>
          <w:tab w:val="left" w:pos="1570"/>
        </w:tabs>
        <w:adjustRightInd w:val="0"/>
        <w:snapToGrid w:val="0"/>
        <w:spacing w:line="324" w:lineRule="auto"/>
        <w:ind w:left="369" w:firstLine="480"/>
        <w:rPr>
          <w:rFonts w:ascii="Times New Roman" w:hAnsi="Times New Roman" w:cs="Times New Roman"/>
          <w:color w:val="auto"/>
          <w:sz w:val="24"/>
          <w:highlight w:val="none"/>
        </w:rPr>
      </w:pPr>
      <w:r>
        <w:rPr>
          <w:rFonts w:ascii="Times New Roman" w:cs="Times New Roman"/>
          <w:color w:val="auto"/>
          <w:sz w:val="24"/>
          <w:highlight w:val="none"/>
        </w:rPr>
        <w:t>评标委员会对投标文件中的细微偏差按如下规定处理：</w:t>
      </w:r>
    </w:p>
    <w:p>
      <w:pPr>
        <w:pStyle w:val="20"/>
        <w:adjustRightInd w:val="0"/>
        <w:snapToGrid w:val="0"/>
        <w:spacing w:line="324" w:lineRule="auto"/>
        <w:ind w:left="369" w:right="325" w:firstLine="360"/>
        <w:jc w:val="both"/>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w:t>
      </w:r>
      <w:r>
        <w:rPr>
          <w:rFonts w:ascii="Times New Roman" w:cs="Times New Roman"/>
          <w:color w:val="auto"/>
          <w:spacing w:val="-8"/>
          <w:highlight w:val="none"/>
        </w:rPr>
        <w:t>对于本章第</w:t>
      </w:r>
      <w:r>
        <w:rPr>
          <w:rFonts w:ascii="Times New Roman" w:hAnsi="Times New Roman" w:eastAsia="Times New Roman" w:cs="Times New Roman"/>
          <w:color w:val="auto"/>
          <w:highlight w:val="none"/>
        </w:rPr>
        <w:t xml:space="preserve">1.12.3 </w:t>
      </w:r>
      <w:r>
        <w:rPr>
          <w:rFonts w:ascii="Times New Roman" w:cs="Times New Roman"/>
          <w:color w:val="auto"/>
          <w:highlight w:val="none"/>
        </w:rPr>
        <w:t>项（</w:t>
      </w:r>
      <w:r>
        <w:rPr>
          <w:rFonts w:ascii="Times New Roman" w:hAnsi="Times New Roman" w:eastAsia="Times New Roman" w:cs="Times New Roman"/>
          <w:color w:val="auto"/>
          <w:highlight w:val="none"/>
        </w:rPr>
        <w:t>1</w:t>
      </w:r>
      <w:r>
        <w:rPr>
          <w:rFonts w:ascii="Times New Roman" w:cs="Times New Roman"/>
          <w:color w:val="auto"/>
          <w:highlight w:val="none"/>
        </w:rPr>
        <w:t>）目所述的细微偏差，按照第三章</w:t>
      </w:r>
      <w:r>
        <w:rPr>
          <w:rFonts w:ascii="Times New Roman" w:hAnsi="Times New Roman" w:cs="Times New Roman"/>
          <w:color w:val="auto"/>
          <w:highlight w:val="none"/>
        </w:rPr>
        <w:t>“</w:t>
      </w:r>
      <w:r>
        <w:rPr>
          <w:rFonts w:ascii="Times New Roman" w:cs="Times New Roman"/>
          <w:color w:val="auto"/>
          <w:highlight w:val="none"/>
        </w:rPr>
        <w:t>评标办法</w:t>
      </w:r>
      <w:r>
        <w:rPr>
          <w:rFonts w:ascii="Times New Roman" w:hAnsi="Times New Roman" w:cs="Times New Roman"/>
          <w:color w:val="auto"/>
          <w:highlight w:val="none"/>
        </w:rPr>
        <w:t>”</w:t>
      </w:r>
      <w:r>
        <w:rPr>
          <w:rFonts w:ascii="Times New Roman" w:cs="Times New Roman"/>
          <w:color w:val="auto"/>
          <w:highlight w:val="none"/>
        </w:rPr>
        <w:t>的规定予以修正并要求投标人进行澄清；</w:t>
      </w:r>
    </w:p>
    <w:p>
      <w:pPr>
        <w:pStyle w:val="20"/>
        <w:adjustRightInd w:val="0"/>
        <w:snapToGrid w:val="0"/>
        <w:spacing w:line="324" w:lineRule="auto"/>
        <w:ind w:left="369" w:right="325" w:firstLine="360"/>
        <w:jc w:val="both"/>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w:t>
      </w:r>
      <w:r>
        <w:rPr>
          <w:rFonts w:ascii="Times New Roman" w:cs="Times New Roman"/>
          <w:color w:val="auto"/>
          <w:spacing w:val="-8"/>
          <w:highlight w:val="none"/>
        </w:rPr>
        <w:t>对于本章第</w:t>
      </w:r>
      <w:r>
        <w:rPr>
          <w:rFonts w:ascii="Times New Roman" w:hAnsi="Times New Roman" w:eastAsia="Times New Roman" w:cs="Times New Roman"/>
          <w:color w:val="auto"/>
          <w:highlight w:val="none"/>
        </w:rPr>
        <w:t xml:space="preserve">1.12.3 </w:t>
      </w:r>
      <w:r>
        <w:rPr>
          <w:rFonts w:ascii="Times New Roman" w:cs="Times New Roman"/>
          <w:color w:val="auto"/>
          <w:highlight w:val="none"/>
        </w:rPr>
        <w:t>项（</w:t>
      </w:r>
      <w:r>
        <w:rPr>
          <w:rFonts w:ascii="Times New Roman" w:hAnsi="Times New Roman" w:eastAsia="Times New Roman" w:cs="Times New Roman"/>
          <w:color w:val="auto"/>
          <w:highlight w:val="none"/>
        </w:rPr>
        <w:t>2</w:t>
      </w:r>
      <w:r>
        <w:rPr>
          <w:rFonts w:ascii="Times New Roman" w:cs="Times New Roman"/>
          <w:color w:val="auto"/>
          <w:highlight w:val="none"/>
        </w:rPr>
        <w:t>）目所述的细微偏差，如果采用合理低价法或经评</w:t>
      </w:r>
      <w:r>
        <w:rPr>
          <w:rFonts w:ascii="Times New Roman" w:cs="Times New Roman"/>
          <w:color w:val="auto"/>
          <w:spacing w:val="-7"/>
          <w:highlight w:val="none"/>
        </w:rPr>
        <w:t>审的最低投标价法评标，应要求投标人对细微偏差进行澄清，只有投标人的澄清文件</w:t>
      </w:r>
      <w:r>
        <w:rPr>
          <w:rFonts w:ascii="Times New Roman" w:cs="Times New Roman"/>
          <w:color w:val="auto"/>
          <w:spacing w:val="-8"/>
          <w:highlight w:val="none"/>
        </w:rPr>
        <w:t>被评标委员会接受，投标人才能参加评标价的最终评比。如果采用技术评分最低标价法或综合评分法评标，可在相关评分因素的评分中酌情扣分；</w:t>
      </w:r>
    </w:p>
    <w:p>
      <w:pPr>
        <w:pStyle w:val="20"/>
        <w:adjustRightInd w:val="0"/>
        <w:snapToGrid w:val="0"/>
        <w:spacing w:line="324" w:lineRule="auto"/>
        <w:ind w:left="369" w:right="272" w:firstLine="360"/>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）对于本章第</w:t>
      </w:r>
      <w:r>
        <w:rPr>
          <w:rFonts w:ascii="Times New Roman" w:hAnsi="Times New Roman" w:eastAsia="Times New Roman" w:cs="Times New Roman"/>
          <w:color w:val="auto"/>
          <w:highlight w:val="none"/>
        </w:rPr>
        <w:t xml:space="preserve">1.12.3 </w:t>
      </w:r>
      <w:r>
        <w:rPr>
          <w:rFonts w:ascii="Times New Roman" w:cs="Times New Roman"/>
          <w:color w:val="auto"/>
          <w:highlight w:val="none"/>
        </w:rPr>
        <w:t>项（</w:t>
      </w:r>
      <w:r>
        <w:rPr>
          <w:rFonts w:ascii="Times New Roman" w:hAnsi="Times New Roman" w:eastAsia="Times New Roman" w:cs="Times New Roman"/>
          <w:color w:val="auto"/>
          <w:highlight w:val="none"/>
        </w:rPr>
        <w:t>3</w:t>
      </w:r>
      <w:r>
        <w:rPr>
          <w:rFonts w:ascii="Times New Roman" w:cs="Times New Roman"/>
          <w:color w:val="auto"/>
          <w:highlight w:val="none"/>
        </w:rPr>
        <w:t>）目所述的细微偏差，可要求投标人对细微偏差进行澄清。</w:t>
      </w:r>
    </w:p>
    <w:p>
      <w:pPr>
        <w:pStyle w:val="86"/>
        <w:numPr>
          <w:ilvl w:val="2"/>
          <w:numId w:val="3"/>
        </w:numPr>
        <w:tabs>
          <w:tab w:val="left" w:pos="1574"/>
        </w:tabs>
        <w:adjustRightInd w:val="0"/>
        <w:snapToGrid w:val="0"/>
        <w:spacing w:line="324" w:lineRule="auto"/>
        <w:ind w:left="369" w:right="320" w:firstLine="480"/>
        <w:jc w:val="both"/>
        <w:rPr>
          <w:rFonts w:ascii="Times New Roman" w:hAnsi="Times New Roman" w:cs="Times New Roman"/>
          <w:color w:val="auto"/>
          <w:sz w:val="24"/>
          <w:highlight w:val="none"/>
        </w:rPr>
      </w:pPr>
      <w:r>
        <w:rPr>
          <w:rFonts w:ascii="Times New Roman" w:cs="Times New Roman"/>
          <w:color w:val="auto"/>
          <w:spacing w:val="2"/>
          <w:sz w:val="24"/>
          <w:highlight w:val="none"/>
        </w:rPr>
        <w:t>投标人应根据招标文件的要求提供施工组织设计等内容以对招标文件作</w:t>
      </w:r>
      <w:r>
        <w:rPr>
          <w:rFonts w:ascii="Times New Roman" w:cs="Times New Roman"/>
          <w:color w:val="auto"/>
          <w:sz w:val="24"/>
          <w:highlight w:val="none"/>
        </w:rPr>
        <w:t>出响应。</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196" w:name="_bookmark42"/>
      <w:bookmarkEnd w:id="196"/>
      <w:bookmarkStart w:id="197" w:name="_Toc4488"/>
      <w:bookmarkStart w:id="198" w:name="_Toc32172"/>
      <w:bookmarkStart w:id="199" w:name="_Toc30214"/>
      <w:bookmarkStart w:id="200" w:name="_Toc2996"/>
      <w:bookmarkStart w:id="201" w:name="_Toc9526"/>
      <w:bookmarkStart w:id="202" w:name="_Toc1858"/>
      <w:bookmarkStart w:id="203" w:name="_Toc30016"/>
      <w:bookmarkStart w:id="204" w:name="_Toc29594"/>
      <w:bookmarkStart w:id="205" w:name="_Toc30001"/>
      <w:bookmarkStart w:id="206" w:name="_Toc28705"/>
      <w:bookmarkStart w:id="207" w:name="_Toc14750"/>
      <w:bookmarkStart w:id="208" w:name="_Toc12763"/>
      <w:bookmarkStart w:id="209" w:name="_Toc22798"/>
      <w:bookmarkStart w:id="210" w:name="_Toc987"/>
      <w:bookmarkStart w:id="211" w:name="_Toc20504"/>
      <w:bookmarkStart w:id="212" w:name="_Toc18784"/>
      <w:bookmarkStart w:id="213" w:name="_Toc20392"/>
      <w:r>
        <w:rPr>
          <w:rFonts w:hint="eastAsia" w:ascii="黑体" w:eastAsia="黑体"/>
          <w:color w:val="auto"/>
          <w:sz w:val="28"/>
          <w:highlight w:val="none"/>
        </w:rPr>
        <w:t>招标文件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14" w:name="_bookmark43"/>
      <w:bookmarkEnd w:id="214"/>
      <w:r>
        <w:rPr>
          <w:rFonts w:hint="eastAsia" w:ascii="黑体" w:eastAsia="黑体"/>
          <w:color w:val="auto"/>
          <w:sz w:val="24"/>
          <w:highlight w:val="none"/>
        </w:rPr>
        <w:t>招标文件的组成</w:t>
      </w:r>
    </w:p>
    <w:p>
      <w:pPr>
        <w:pStyle w:val="20"/>
        <w:adjustRightInd w:val="0"/>
        <w:snapToGrid w:val="0"/>
        <w:spacing w:line="324" w:lineRule="auto"/>
        <w:ind w:left="849"/>
        <w:rPr>
          <w:rFonts w:ascii="Times New Roman" w:hAnsi="Times New Roman" w:cs="Times New Roman"/>
          <w:color w:val="auto"/>
          <w:highlight w:val="none"/>
        </w:rPr>
      </w:pPr>
      <w:r>
        <w:rPr>
          <w:rFonts w:ascii="Times New Roman" w:cs="Times New Roman"/>
          <w:color w:val="auto"/>
          <w:highlight w:val="none"/>
        </w:rPr>
        <w:t>本招标文件包括：</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spacing w:val="-1"/>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）招标公告；</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）投标人须知；</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）评标办法；</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）合同条款及格式；</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5</w:t>
      </w:r>
      <w:r>
        <w:rPr>
          <w:rFonts w:ascii="Times New Roman" w:cs="Times New Roman"/>
          <w:color w:val="auto"/>
          <w:highlight w:val="none"/>
        </w:rPr>
        <w:t>）工程量清单；</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6</w:t>
      </w:r>
      <w:r>
        <w:rPr>
          <w:rFonts w:ascii="Times New Roman" w:cs="Times New Roman"/>
          <w:color w:val="auto"/>
          <w:highlight w:val="none"/>
        </w:rPr>
        <w:t>）图纸；</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7</w:t>
      </w:r>
      <w:r>
        <w:rPr>
          <w:rFonts w:ascii="Times New Roman" w:cs="Times New Roman"/>
          <w:color w:val="auto"/>
          <w:highlight w:val="none"/>
        </w:rPr>
        <w:t>）技术规范；</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8</w:t>
      </w:r>
      <w:r>
        <w:rPr>
          <w:rFonts w:ascii="Times New Roman" w:cs="Times New Roman"/>
          <w:color w:val="auto"/>
          <w:highlight w:val="none"/>
        </w:rPr>
        <w:t>）工程量清单计量规则；</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9</w:t>
      </w:r>
      <w:r>
        <w:rPr>
          <w:rFonts w:ascii="Times New Roman" w:cs="Times New Roman"/>
          <w:color w:val="auto"/>
          <w:highlight w:val="none"/>
        </w:rPr>
        <w:t>）投标文件格式；</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10</w:t>
      </w:r>
      <w:r>
        <w:rPr>
          <w:rFonts w:ascii="Times New Roman" w:cs="Times New Roman"/>
          <w:color w:val="auto"/>
          <w:highlight w:val="none"/>
        </w:rPr>
        <w:t>）投标人须知前附表规定的其他资料。</w:t>
      </w:r>
    </w:p>
    <w:p>
      <w:pPr>
        <w:pStyle w:val="20"/>
        <w:adjustRightInd w:val="0"/>
        <w:snapToGrid w:val="0"/>
        <w:spacing w:line="324" w:lineRule="auto"/>
        <w:ind w:left="369" w:right="323" w:firstLine="479"/>
        <w:jc w:val="both"/>
        <w:rPr>
          <w:rFonts w:ascii="Times New Roman" w:hAnsi="Times New Roman" w:cs="Times New Roman"/>
          <w:color w:val="auto"/>
          <w:highlight w:val="none"/>
        </w:rPr>
      </w:pPr>
      <w:r>
        <w:rPr>
          <w:rFonts w:ascii="Times New Roman" w:cs="Times New Roman"/>
          <w:color w:val="auto"/>
          <w:spacing w:val="-10"/>
          <w:highlight w:val="none"/>
        </w:rPr>
        <w:t>根据本章第</w:t>
      </w:r>
      <w:r>
        <w:rPr>
          <w:rFonts w:ascii="Times New Roman" w:hAnsi="Times New Roman" w:eastAsia="Times New Roman" w:cs="Times New Roman"/>
          <w:color w:val="auto"/>
          <w:highlight w:val="none"/>
        </w:rPr>
        <w:t xml:space="preserve">1.10 </w:t>
      </w:r>
      <w:r>
        <w:rPr>
          <w:rFonts w:ascii="Times New Roman" w:cs="Times New Roman"/>
          <w:color w:val="auto"/>
          <w:spacing w:val="-18"/>
          <w:highlight w:val="none"/>
        </w:rPr>
        <w:t>款、第</w:t>
      </w:r>
      <w:r>
        <w:rPr>
          <w:rFonts w:ascii="Times New Roman" w:hAnsi="Times New Roman" w:eastAsia="Times New Roman" w:cs="Times New Roman"/>
          <w:color w:val="auto"/>
          <w:highlight w:val="none"/>
        </w:rPr>
        <w:t xml:space="preserve">2.2 </w:t>
      </w:r>
      <w:r>
        <w:rPr>
          <w:rFonts w:ascii="Times New Roman" w:cs="Times New Roman"/>
          <w:color w:val="auto"/>
          <w:spacing w:val="-15"/>
          <w:highlight w:val="none"/>
        </w:rPr>
        <w:t>款和第</w:t>
      </w:r>
      <w:r>
        <w:rPr>
          <w:rFonts w:ascii="Times New Roman" w:hAnsi="Times New Roman" w:eastAsia="Times New Roman" w:cs="Times New Roman"/>
          <w:color w:val="auto"/>
          <w:highlight w:val="none"/>
        </w:rPr>
        <w:t xml:space="preserve">2.3 </w:t>
      </w:r>
      <w:r>
        <w:rPr>
          <w:rFonts w:ascii="Times New Roman" w:cs="Times New Roman"/>
          <w:color w:val="auto"/>
          <w:spacing w:val="-2"/>
          <w:highlight w:val="none"/>
        </w:rPr>
        <w:t>款对招标文件所作的澄清、修改，构成招标文件的组成部分。</w:t>
      </w:r>
    </w:p>
    <w:p>
      <w:pPr>
        <w:pStyle w:val="20"/>
        <w:adjustRightInd w:val="0"/>
        <w:snapToGrid w:val="0"/>
        <w:spacing w:line="324" w:lineRule="auto"/>
        <w:ind w:left="369" w:right="326" w:firstLine="479"/>
        <w:jc w:val="both"/>
        <w:rPr>
          <w:rFonts w:ascii="Times New Roman" w:hAnsi="Times New Roman" w:cs="Times New Roman"/>
          <w:color w:val="auto"/>
          <w:highlight w:val="none"/>
        </w:rPr>
      </w:pPr>
      <w:r>
        <w:rPr>
          <w:rFonts w:ascii="Times New Roman" w:cs="Times New Roman"/>
          <w:color w:val="auto"/>
          <w:spacing w:val="-9"/>
          <w:highlight w:val="none"/>
        </w:rPr>
        <w:t>当招标文件、招标文件的澄清或修改等在同一内容的表述上不一致时，以最后发出的书面文件为准。</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15" w:name="_bookmark44"/>
      <w:bookmarkEnd w:id="215"/>
      <w:r>
        <w:rPr>
          <w:rFonts w:hint="eastAsia" w:ascii="黑体" w:eastAsia="黑体"/>
          <w:color w:val="auto"/>
          <w:sz w:val="24"/>
          <w:highlight w:val="none"/>
        </w:rPr>
        <w:t>招标文件的澄清</w:t>
      </w:r>
    </w:p>
    <w:p>
      <w:pPr>
        <w:tabs>
          <w:tab w:val="left" w:pos="1450"/>
        </w:tabs>
        <w:adjustRightInd w:val="0"/>
        <w:snapToGrid w:val="0"/>
        <w:spacing w:line="324" w:lineRule="auto"/>
        <w:ind w:left="426" w:right="325" w:firstLine="422" w:firstLineChars="176"/>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2.2.1</w:t>
      </w:r>
      <w:r>
        <w:rPr>
          <w:rFonts w:ascii="Times New Roman" w:cs="Times New Roman"/>
          <w:color w:val="auto"/>
          <w:sz w:val="24"/>
          <w:highlight w:val="none"/>
        </w:rPr>
        <w:t>投标人应仔细阅读和检查招标文件的全部内容。如发现缺页或附件不全，</w:t>
      </w:r>
      <w:r>
        <w:rPr>
          <w:rFonts w:ascii="Times New Roman" w:cs="Times New Roman"/>
          <w:color w:val="auto"/>
          <w:spacing w:val="-8"/>
          <w:sz w:val="24"/>
          <w:highlight w:val="none"/>
        </w:rPr>
        <w:t>应及时向招标人提出，以便补齐。如有疑问，应按投标人须知前附表规定的时间和形式将提出的问题送达招标人，要求招标人对招标文件予以澄清。</w:t>
      </w:r>
    </w:p>
    <w:p>
      <w:pPr>
        <w:tabs>
          <w:tab w:val="left" w:pos="1450"/>
        </w:tabs>
        <w:adjustRightInd w:val="0"/>
        <w:snapToGrid w:val="0"/>
        <w:spacing w:line="324" w:lineRule="auto"/>
        <w:ind w:left="426" w:right="205" w:firstLine="422" w:firstLineChars="176"/>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2.2.2</w:t>
      </w:r>
      <w:r>
        <w:rPr>
          <w:rFonts w:ascii="Times New Roman" w:cs="Times New Roman"/>
          <w:color w:val="auto"/>
          <w:sz w:val="24"/>
          <w:highlight w:val="none"/>
        </w:rPr>
        <w:t>招标文件的澄清以投标人须知前附表规定的形式发给所有购买招标文件的</w:t>
      </w:r>
      <w:r>
        <w:rPr>
          <w:rFonts w:ascii="Times New Roman" w:cs="Times New Roman"/>
          <w:color w:val="auto"/>
          <w:spacing w:val="-2"/>
          <w:sz w:val="24"/>
          <w:highlight w:val="none"/>
        </w:rPr>
        <w:t>投标人，但不指明澄清问题的来源。澄清发出的时间距本章第</w:t>
      </w:r>
      <w:r>
        <w:rPr>
          <w:rFonts w:ascii="Times New Roman" w:hAnsi="Times New Roman" w:eastAsia="Times New Roman" w:cs="Times New Roman"/>
          <w:color w:val="auto"/>
          <w:sz w:val="24"/>
          <w:highlight w:val="none"/>
        </w:rPr>
        <w:t>4.2.1</w:t>
      </w:r>
      <w:r>
        <w:rPr>
          <w:rFonts w:ascii="Times New Roman" w:cs="Times New Roman"/>
          <w:color w:val="auto"/>
          <w:sz w:val="24"/>
          <w:highlight w:val="none"/>
        </w:rPr>
        <w:t>项规定的投标截</w:t>
      </w:r>
      <w:r>
        <w:rPr>
          <w:rFonts w:ascii="Times New Roman" w:cs="Times New Roman"/>
          <w:color w:val="auto"/>
          <w:spacing w:val="-11"/>
          <w:sz w:val="24"/>
          <w:highlight w:val="none"/>
        </w:rPr>
        <w:t>止时间不足</w:t>
      </w:r>
      <w:r>
        <w:rPr>
          <w:rFonts w:ascii="Times New Roman" w:hAnsi="Times New Roman" w:eastAsia="Times New Roman" w:cs="Times New Roman"/>
          <w:color w:val="auto"/>
          <w:sz w:val="24"/>
          <w:highlight w:val="none"/>
        </w:rPr>
        <w:t xml:space="preserve">15 </w:t>
      </w:r>
      <w:r>
        <w:rPr>
          <w:rFonts w:ascii="Times New Roman" w:cs="Times New Roman"/>
          <w:color w:val="auto"/>
          <w:spacing w:val="-9"/>
          <w:sz w:val="24"/>
          <w:highlight w:val="none"/>
        </w:rPr>
        <w:t>日，且澄清内容可能影响投标文件编制的，将相应延长投标截止时间。</w:t>
      </w:r>
    </w:p>
    <w:p>
      <w:pPr>
        <w:tabs>
          <w:tab w:val="left" w:pos="1450"/>
        </w:tabs>
        <w:adjustRightInd w:val="0"/>
        <w:snapToGrid w:val="0"/>
        <w:spacing w:line="324" w:lineRule="auto"/>
        <w:ind w:left="849"/>
        <w:rPr>
          <w:rFonts w:ascii="Times New Roman" w:hAnsi="Times New Roman" w:cs="Times New Roman"/>
          <w:color w:val="auto"/>
          <w:sz w:val="24"/>
          <w:highlight w:val="none"/>
        </w:rPr>
      </w:pPr>
      <w:r>
        <w:rPr>
          <w:rFonts w:ascii="Times New Roman" w:hAnsi="Times New Roman" w:cs="Times New Roman"/>
          <w:color w:val="auto"/>
          <w:sz w:val="24"/>
          <w:highlight w:val="none"/>
        </w:rPr>
        <w:t>2.2.3</w:t>
      </w:r>
      <w:r>
        <w:rPr>
          <w:rFonts w:ascii="Times New Roman" w:cs="Times New Roman"/>
          <w:color w:val="auto"/>
          <w:sz w:val="24"/>
          <w:highlight w:val="none"/>
        </w:rPr>
        <w:t>投标人在收到澄清后，应按投标人须知前附表规定的时间和形式通知招标</w:t>
      </w:r>
    </w:p>
    <w:p>
      <w:pPr>
        <w:pStyle w:val="20"/>
        <w:adjustRightInd w:val="0"/>
        <w:snapToGrid w:val="0"/>
        <w:spacing w:line="324" w:lineRule="auto"/>
        <w:ind w:left="369"/>
        <w:rPr>
          <w:rFonts w:ascii="Times New Roman" w:hAnsi="Times New Roman" w:cs="Times New Roman"/>
          <w:color w:val="auto"/>
          <w:highlight w:val="none"/>
        </w:rPr>
      </w:pPr>
      <w:r>
        <w:rPr>
          <w:rFonts w:ascii="Times New Roman" w:cs="Times New Roman"/>
          <w:color w:val="auto"/>
          <w:highlight w:val="none"/>
        </w:rPr>
        <w:t>人，确认已收到该澄清。</w:t>
      </w:r>
    </w:p>
    <w:p>
      <w:pPr>
        <w:tabs>
          <w:tab w:val="left" w:pos="1450"/>
        </w:tabs>
        <w:adjustRightInd w:val="0"/>
        <w:snapToGrid w:val="0"/>
        <w:spacing w:line="324" w:lineRule="auto"/>
        <w:ind w:left="426" w:right="327" w:firstLine="422" w:firstLineChars="176"/>
        <w:rPr>
          <w:rFonts w:ascii="Times New Roman" w:hAnsi="Times New Roman" w:cs="Times New Roman"/>
          <w:color w:val="auto"/>
          <w:sz w:val="24"/>
          <w:highlight w:val="none"/>
        </w:rPr>
      </w:pPr>
      <w:r>
        <w:rPr>
          <w:rFonts w:ascii="Times New Roman" w:hAnsi="Times New Roman" w:cs="Times New Roman"/>
          <w:color w:val="auto"/>
          <w:sz w:val="24"/>
          <w:highlight w:val="none"/>
        </w:rPr>
        <w:t>2.2.4</w:t>
      </w:r>
      <w:r>
        <w:rPr>
          <w:rFonts w:ascii="Times New Roman" w:cs="Times New Roman"/>
          <w:color w:val="auto"/>
          <w:sz w:val="24"/>
          <w:highlight w:val="none"/>
        </w:rPr>
        <w:t>除非招标人认为确有必要答复，否则，招标人有权拒绝回复投标人在本章</w:t>
      </w:r>
      <w:r>
        <w:rPr>
          <w:rFonts w:ascii="Times New Roman" w:cs="Times New Roman"/>
          <w:color w:val="auto"/>
          <w:spacing w:val="-30"/>
          <w:sz w:val="24"/>
          <w:highlight w:val="none"/>
        </w:rPr>
        <w:t>第</w:t>
      </w:r>
      <w:r>
        <w:rPr>
          <w:rFonts w:ascii="Times New Roman" w:hAnsi="Times New Roman" w:eastAsia="Times New Roman" w:cs="Times New Roman"/>
          <w:color w:val="auto"/>
          <w:sz w:val="24"/>
          <w:highlight w:val="none"/>
        </w:rPr>
        <w:t>2.2.1</w:t>
      </w:r>
      <w:r>
        <w:rPr>
          <w:rFonts w:ascii="Times New Roman" w:cs="Times New Roman"/>
          <w:color w:val="auto"/>
          <w:sz w:val="24"/>
          <w:highlight w:val="none"/>
        </w:rPr>
        <w:t>项规定的时间后提出的任何澄清要求。</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16" w:name="_bookmark45"/>
      <w:bookmarkEnd w:id="216"/>
      <w:r>
        <w:rPr>
          <w:rFonts w:hint="eastAsia" w:ascii="黑体" w:eastAsia="黑体"/>
          <w:color w:val="auto"/>
          <w:sz w:val="24"/>
          <w:highlight w:val="none"/>
        </w:rPr>
        <w:t>招标文件的修改</w:t>
      </w:r>
    </w:p>
    <w:p>
      <w:pPr>
        <w:tabs>
          <w:tab w:val="left" w:pos="1450"/>
        </w:tabs>
        <w:adjustRightInd w:val="0"/>
        <w:snapToGrid w:val="0"/>
        <w:spacing w:line="324" w:lineRule="auto"/>
        <w:ind w:left="284" w:right="325" w:firstLine="564" w:firstLineChars="235"/>
        <w:rPr>
          <w:rFonts w:ascii="Times New Roman" w:hAnsi="Times New Roman" w:cs="Times New Roman"/>
          <w:color w:val="auto"/>
          <w:sz w:val="24"/>
          <w:highlight w:val="none"/>
        </w:rPr>
      </w:pPr>
      <w:r>
        <w:rPr>
          <w:rFonts w:ascii="Times New Roman" w:hAnsi="Times New Roman" w:cs="Times New Roman"/>
          <w:color w:val="auto"/>
          <w:sz w:val="24"/>
          <w:highlight w:val="none"/>
        </w:rPr>
        <w:t>2.3.1</w:t>
      </w:r>
      <w:r>
        <w:rPr>
          <w:rFonts w:ascii="Times New Roman" w:cs="Times New Roman"/>
          <w:color w:val="auto"/>
          <w:sz w:val="24"/>
          <w:highlight w:val="none"/>
        </w:rPr>
        <w:t>招标人以投标人须知前附表规定的形式修改招标文件，并通知所有已购买</w:t>
      </w:r>
      <w:r>
        <w:rPr>
          <w:rFonts w:ascii="Times New Roman" w:cs="Times New Roman"/>
          <w:color w:val="auto"/>
          <w:spacing w:val="-2"/>
          <w:sz w:val="24"/>
          <w:highlight w:val="none"/>
        </w:rPr>
        <w:t>招标文件的投标人。修改招标文件的时间距本章第</w:t>
      </w:r>
      <w:r>
        <w:rPr>
          <w:rFonts w:ascii="Times New Roman" w:hAnsi="Times New Roman" w:eastAsia="Times New Roman" w:cs="Times New Roman"/>
          <w:color w:val="auto"/>
          <w:sz w:val="24"/>
          <w:highlight w:val="none"/>
        </w:rPr>
        <w:t>4.2.1</w:t>
      </w:r>
      <w:r>
        <w:rPr>
          <w:rFonts w:ascii="Times New Roman" w:cs="Times New Roman"/>
          <w:color w:val="auto"/>
          <w:sz w:val="24"/>
          <w:highlight w:val="none"/>
        </w:rPr>
        <w:t>项规定的投标截止时间不足</w:t>
      </w:r>
    </w:p>
    <w:p>
      <w:pPr>
        <w:pStyle w:val="20"/>
        <w:adjustRightInd w:val="0"/>
        <w:snapToGrid w:val="0"/>
        <w:spacing w:line="324" w:lineRule="auto"/>
        <w:ind w:left="369"/>
        <w:rPr>
          <w:rFonts w:ascii="Times New Roman" w:hAnsi="Times New Roman" w:cs="Times New Roman"/>
          <w:color w:val="auto"/>
          <w:highlight w:val="none"/>
        </w:rPr>
      </w:pPr>
      <w:r>
        <w:rPr>
          <w:rFonts w:ascii="Times New Roman" w:hAnsi="Times New Roman" w:eastAsia="Times New Roman" w:cs="Times New Roman"/>
          <w:color w:val="auto"/>
          <w:highlight w:val="none"/>
        </w:rPr>
        <w:t xml:space="preserve">15 </w:t>
      </w:r>
      <w:r>
        <w:rPr>
          <w:rFonts w:ascii="Times New Roman" w:cs="Times New Roman"/>
          <w:color w:val="auto"/>
          <w:highlight w:val="none"/>
        </w:rPr>
        <w:t>日，且修改内容可能影响投标文件编制的，将相应延长投标截止时间。</w:t>
      </w:r>
    </w:p>
    <w:p>
      <w:pPr>
        <w:tabs>
          <w:tab w:val="left" w:pos="1450"/>
        </w:tabs>
        <w:adjustRightInd w:val="0"/>
        <w:snapToGrid w:val="0"/>
        <w:spacing w:line="324" w:lineRule="auto"/>
        <w:ind w:left="284" w:right="331" w:firstLine="564" w:firstLineChars="235"/>
        <w:rPr>
          <w:rFonts w:ascii="Times New Roman" w:hAnsi="Times New Roman" w:cs="Times New Roman"/>
          <w:color w:val="auto"/>
          <w:sz w:val="24"/>
          <w:highlight w:val="none"/>
        </w:rPr>
      </w:pPr>
      <w:r>
        <w:rPr>
          <w:rFonts w:ascii="Times New Roman" w:hAnsi="Times New Roman" w:cs="Times New Roman"/>
          <w:color w:val="auto"/>
          <w:sz w:val="24"/>
          <w:highlight w:val="none"/>
        </w:rPr>
        <w:t>2.3.2</w:t>
      </w:r>
      <w:r>
        <w:rPr>
          <w:rFonts w:ascii="Times New Roman" w:cs="Times New Roman"/>
          <w:color w:val="auto"/>
          <w:sz w:val="24"/>
          <w:highlight w:val="none"/>
        </w:rPr>
        <w:t>投标人收到修改内容后，应按投标人须知前附表规定的时间和形式通知招标人，确认已收到该修改。</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17" w:name="_bookmark46"/>
      <w:bookmarkEnd w:id="217"/>
      <w:r>
        <w:rPr>
          <w:rFonts w:hint="eastAsia" w:ascii="黑体" w:eastAsia="黑体"/>
          <w:color w:val="auto"/>
          <w:sz w:val="24"/>
          <w:highlight w:val="none"/>
        </w:rPr>
        <w:t>招标文件的异议</w:t>
      </w:r>
    </w:p>
    <w:p>
      <w:pPr>
        <w:pStyle w:val="20"/>
        <w:adjustRightInd w:val="0"/>
        <w:snapToGrid w:val="0"/>
        <w:spacing w:line="324" w:lineRule="auto"/>
        <w:ind w:left="849"/>
        <w:rPr>
          <w:color w:val="auto"/>
          <w:highlight w:val="none"/>
        </w:rPr>
      </w:pPr>
      <w:r>
        <w:rPr>
          <w:color w:val="auto"/>
          <w:highlight w:val="none"/>
        </w:rPr>
        <w:t xml:space="preserve">投标人或其他利害关系人对招标文件有异议的，应在投标截止时间 </w:t>
      </w:r>
      <w:r>
        <w:rPr>
          <w:rFonts w:ascii="Times New Roman" w:eastAsia="Times New Roman"/>
          <w:color w:val="auto"/>
          <w:highlight w:val="none"/>
        </w:rPr>
        <w:t xml:space="preserve">10 </w:t>
      </w:r>
      <w:r>
        <w:rPr>
          <w:color w:val="auto"/>
          <w:highlight w:val="none"/>
        </w:rPr>
        <w:t>日前以书</w:t>
      </w:r>
    </w:p>
    <w:p>
      <w:pPr>
        <w:pStyle w:val="20"/>
        <w:adjustRightInd w:val="0"/>
        <w:snapToGrid w:val="0"/>
        <w:spacing w:line="324" w:lineRule="auto"/>
        <w:ind w:left="369" w:right="328"/>
        <w:rPr>
          <w:color w:val="auto"/>
          <w:highlight w:val="none"/>
        </w:rPr>
      </w:pPr>
      <w:r>
        <w:rPr>
          <w:color w:val="auto"/>
          <w:spacing w:val="-9"/>
          <w:highlight w:val="none"/>
        </w:rPr>
        <w:t xml:space="preserve">面形式提出。招标人将在收到异议之日起 </w:t>
      </w:r>
      <w:r>
        <w:rPr>
          <w:rFonts w:ascii="Times New Roman" w:eastAsia="Times New Roman"/>
          <w:color w:val="auto"/>
          <w:highlight w:val="none"/>
        </w:rPr>
        <w:t xml:space="preserve">3 </w:t>
      </w:r>
      <w:r>
        <w:rPr>
          <w:color w:val="auto"/>
          <w:spacing w:val="-8"/>
          <w:highlight w:val="none"/>
        </w:rPr>
        <w:t>日内作出答复；作出答复前，将暂停招标投标活动。</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218" w:name="_bookmark47"/>
      <w:bookmarkEnd w:id="218"/>
      <w:bookmarkStart w:id="219" w:name="_Toc29063"/>
      <w:bookmarkStart w:id="220" w:name="_Toc9688"/>
      <w:bookmarkStart w:id="221" w:name="_Toc28726"/>
      <w:bookmarkStart w:id="222" w:name="_Toc1179"/>
      <w:bookmarkStart w:id="223" w:name="_Toc78"/>
      <w:bookmarkStart w:id="224" w:name="_Toc8060"/>
      <w:bookmarkStart w:id="225" w:name="_Toc12058"/>
      <w:bookmarkStart w:id="226" w:name="_Toc20386"/>
      <w:bookmarkStart w:id="227" w:name="_Toc3298"/>
      <w:bookmarkStart w:id="228" w:name="_Toc27714"/>
      <w:bookmarkStart w:id="229" w:name="_Toc12846"/>
      <w:bookmarkStart w:id="230" w:name="_Toc153"/>
      <w:bookmarkStart w:id="231" w:name="_Toc8213"/>
      <w:bookmarkStart w:id="232" w:name="_Toc27234"/>
      <w:bookmarkStart w:id="233" w:name="_Toc2139"/>
      <w:bookmarkStart w:id="234" w:name="_Toc32219"/>
      <w:bookmarkStart w:id="235" w:name="_Toc6091"/>
      <w:r>
        <w:rPr>
          <w:rFonts w:hint="eastAsia" w:ascii="黑体" w:eastAsia="黑体"/>
          <w:color w:val="auto"/>
          <w:sz w:val="28"/>
          <w:highlight w:val="none"/>
        </w:rPr>
        <w:t>投标文件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86"/>
        <w:numPr>
          <w:ilvl w:val="1"/>
          <w:numId w:val="2"/>
        </w:numPr>
        <w:tabs>
          <w:tab w:val="left" w:pos="790"/>
        </w:tabs>
        <w:adjustRightInd w:val="0"/>
        <w:snapToGrid w:val="0"/>
        <w:spacing w:line="324" w:lineRule="auto"/>
        <w:ind w:left="789" w:hanging="420"/>
        <w:rPr>
          <w:rFonts w:ascii="黑体" w:eastAsia="黑体"/>
          <w:color w:val="auto"/>
          <w:sz w:val="24"/>
          <w:highlight w:val="none"/>
        </w:rPr>
      </w:pPr>
      <w:bookmarkStart w:id="236" w:name="_bookmark48"/>
      <w:bookmarkEnd w:id="236"/>
      <w:r>
        <w:rPr>
          <w:rFonts w:hint="eastAsia" w:ascii="黑体" w:eastAsia="黑体"/>
          <w:color w:val="auto"/>
          <w:sz w:val="24"/>
          <w:highlight w:val="none"/>
        </w:rPr>
        <w:t>投标文件的组成</w:t>
      </w:r>
    </w:p>
    <w:p>
      <w:pPr>
        <w:pStyle w:val="20"/>
        <w:adjustRightInd w:val="0"/>
        <w:snapToGrid w:val="0"/>
        <w:spacing w:line="324" w:lineRule="auto"/>
        <w:ind w:left="849" w:right="235"/>
        <w:rPr>
          <w:rFonts w:ascii="Times New Roman" w:hAnsi="Times New Roman" w:cs="Times New Roman"/>
          <w:color w:val="auto"/>
          <w:highlight w:val="none"/>
        </w:rPr>
      </w:pPr>
      <w:r>
        <w:rPr>
          <w:rFonts w:ascii="Times New Roman" w:cs="Times New Roman"/>
          <w:color w:val="auto"/>
          <w:highlight w:val="none"/>
        </w:rPr>
        <w:t>根据投标人须知前附表规定的不同形式，投标文件的组成应满足相应条款要求。若采用双信封形式，第</w:t>
      </w:r>
      <w:r>
        <w:rPr>
          <w:rFonts w:ascii="Times New Roman" w:hAnsi="Times New Roman" w:eastAsia="Times New Roman" w:cs="Times New Roman"/>
          <w:color w:val="auto"/>
          <w:highlight w:val="none"/>
        </w:rPr>
        <w:t xml:space="preserve">3.1.1 </w:t>
      </w:r>
      <w:r>
        <w:rPr>
          <w:rFonts w:ascii="Times New Roman" w:cs="Times New Roman"/>
          <w:color w:val="auto"/>
          <w:highlight w:val="none"/>
        </w:rPr>
        <w:t>项采用以下条款：</w:t>
      </w:r>
    </w:p>
    <w:p>
      <w:pPr>
        <w:tabs>
          <w:tab w:val="left" w:pos="1450"/>
        </w:tabs>
        <w:adjustRightInd w:val="0"/>
        <w:snapToGrid w:val="0"/>
        <w:spacing w:line="324" w:lineRule="auto"/>
        <w:ind w:left="849" w:right="5154"/>
        <w:rPr>
          <w:rFonts w:ascii="Times New Roman" w:hAnsi="Times New Roman" w:cs="Times New Roman"/>
          <w:color w:val="auto"/>
          <w:sz w:val="24"/>
          <w:highlight w:val="none"/>
        </w:rPr>
      </w:pPr>
      <w:r>
        <w:rPr>
          <w:rFonts w:ascii="Times New Roman" w:hAnsi="Times New Roman" w:cs="Times New Roman"/>
          <w:color w:val="auto"/>
          <w:sz w:val="24"/>
          <w:szCs w:val="24"/>
          <w:highlight w:val="none"/>
        </w:rPr>
        <w:t>3.1.1投标文件应包括下列内容：</w:t>
      </w:r>
      <w:r>
        <w:rPr>
          <w:rFonts w:ascii="Times New Roman" w:cs="Times New Roman"/>
          <w:color w:val="auto"/>
          <w:sz w:val="24"/>
          <w:highlight w:val="none"/>
        </w:rPr>
        <w:t>第一个信封（商务及技术文件</w:t>
      </w:r>
      <w:r>
        <w:rPr>
          <w:rFonts w:ascii="Times New Roman" w:cs="Times New Roman"/>
          <w:color w:val="auto"/>
          <w:spacing w:val="-120"/>
          <w:sz w:val="24"/>
          <w:highlight w:val="none"/>
        </w:rPr>
        <w:t>）</w:t>
      </w:r>
      <w:r>
        <w:rPr>
          <w:rFonts w:ascii="Times New Roman" w:cs="Times New Roman"/>
          <w:color w:val="auto"/>
          <w:sz w:val="24"/>
          <w:highlight w:val="none"/>
        </w:rPr>
        <w:t>：</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）投标函及投标函附录；</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）授权委托书或法定代表人身份证明；</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w:t>
      </w:r>
      <w:r>
        <w:rPr>
          <w:rFonts w:hint="eastAsia"/>
          <w:color w:val="auto"/>
          <w:highlight w:val="none"/>
        </w:rPr>
        <w:t>联合体协议书（如有）</w:t>
      </w:r>
      <w:r>
        <w:rPr>
          <w:rFonts w:ascii="Times New Roman" w:cs="Times New Roman"/>
          <w:color w:val="auto"/>
          <w:highlight w:val="none"/>
        </w:rPr>
        <w:t>；</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）投标保证金；</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5</w:t>
      </w:r>
      <w:r>
        <w:rPr>
          <w:rFonts w:ascii="Times New Roman" w:cs="Times New Roman"/>
          <w:color w:val="auto"/>
          <w:highlight w:val="none"/>
        </w:rPr>
        <w:t>）施工组织设计；</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6</w:t>
      </w:r>
      <w:r>
        <w:rPr>
          <w:rFonts w:ascii="Times New Roman" w:cs="Times New Roman"/>
          <w:color w:val="auto"/>
          <w:highlight w:val="none"/>
        </w:rPr>
        <w:t>）项目管理机构；</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7</w:t>
      </w:r>
      <w:r>
        <w:rPr>
          <w:rFonts w:ascii="Times New Roman" w:cs="Times New Roman"/>
          <w:color w:val="auto"/>
          <w:highlight w:val="none"/>
        </w:rPr>
        <w:t>）拟分包项目情况表；</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8</w:t>
      </w:r>
      <w:r>
        <w:rPr>
          <w:rFonts w:ascii="Times New Roman" w:cs="Times New Roman"/>
          <w:color w:val="auto"/>
          <w:highlight w:val="none"/>
        </w:rPr>
        <w:t>）资格审查资料；</w:t>
      </w:r>
    </w:p>
    <w:p>
      <w:pPr>
        <w:pStyle w:val="20"/>
        <w:adjustRightInd w:val="0"/>
        <w:snapToGrid w:val="0"/>
        <w:spacing w:line="324" w:lineRule="auto"/>
        <w:ind w:left="849" w:right="4314" w:hanging="120"/>
        <w:rPr>
          <w:rFonts w:asci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9</w:t>
      </w:r>
      <w:r>
        <w:rPr>
          <w:rFonts w:ascii="Times New Roman" w:cs="Times New Roman"/>
          <w:color w:val="auto"/>
          <w:highlight w:val="none"/>
        </w:rPr>
        <w:t>）</w:t>
      </w:r>
      <w:r>
        <w:rPr>
          <w:rFonts w:hint="eastAsia"/>
          <w:color w:val="auto"/>
          <w:highlight w:val="none"/>
        </w:rPr>
        <w:t>中标人不转包不违规分包承诺书；</w:t>
      </w:r>
    </w:p>
    <w:p>
      <w:pPr>
        <w:pStyle w:val="20"/>
        <w:adjustRightInd w:val="0"/>
        <w:snapToGrid w:val="0"/>
        <w:spacing w:line="324" w:lineRule="auto"/>
        <w:ind w:left="850" w:hanging="119"/>
        <w:rPr>
          <w:rFonts w:ascii="Times New Roman" w:cs="Times New Roman"/>
          <w:color w:val="auto"/>
          <w:highlight w:val="none"/>
        </w:rPr>
      </w:pPr>
      <w:r>
        <w:rPr>
          <w:rFonts w:ascii="Times New Roman" w:cs="Times New Roman"/>
          <w:color w:val="auto"/>
          <w:highlight w:val="none"/>
        </w:rPr>
        <w:t>（</w:t>
      </w:r>
      <w:r>
        <w:rPr>
          <w:rFonts w:hint="eastAsia" w:ascii="Times New Roman" w:hAnsi="Times New Roman" w:cs="Times New Roman"/>
          <w:color w:val="auto"/>
          <w:highlight w:val="none"/>
          <w:lang w:val="en-US"/>
        </w:rPr>
        <w:t>10</w:t>
      </w:r>
      <w:r>
        <w:rPr>
          <w:rFonts w:ascii="Times New Roman" w:cs="Times New Roman"/>
          <w:color w:val="auto"/>
          <w:highlight w:val="none"/>
        </w:rPr>
        <w:t>）</w:t>
      </w:r>
      <w:r>
        <w:rPr>
          <w:rFonts w:hint="eastAsia"/>
          <w:color w:val="auto"/>
          <w:highlight w:val="none"/>
          <w:lang w:val="en-US"/>
        </w:rPr>
        <w:t>关于保证</w:t>
      </w:r>
      <w:r>
        <w:rPr>
          <w:rFonts w:hint="eastAsia"/>
          <w:color w:val="auto"/>
          <w:highlight w:val="none"/>
        </w:rPr>
        <w:t>注册建造师及技术负责人等主要施工人员</w:t>
      </w:r>
      <w:r>
        <w:rPr>
          <w:rFonts w:hint="eastAsia"/>
          <w:color w:val="auto"/>
          <w:highlight w:val="none"/>
          <w:lang w:val="en-US"/>
        </w:rPr>
        <w:t>投入的承诺；</w:t>
      </w:r>
    </w:p>
    <w:p>
      <w:pPr>
        <w:pStyle w:val="20"/>
        <w:adjustRightInd w:val="0"/>
        <w:snapToGrid w:val="0"/>
        <w:spacing w:line="324" w:lineRule="auto"/>
        <w:ind w:left="849" w:right="4314" w:hanging="120"/>
        <w:rPr>
          <w:rFonts w:ascii="Times New Roman" w:cs="Times New Roman"/>
          <w:color w:val="auto"/>
          <w:highlight w:val="none"/>
        </w:rPr>
      </w:pPr>
      <w:r>
        <w:rPr>
          <w:rFonts w:ascii="Times New Roman" w:cs="Times New Roman"/>
          <w:color w:val="auto"/>
          <w:highlight w:val="none"/>
        </w:rPr>
        <w:t>（</w:t>
      </w:r>
      <w:r>
        <w:rPr>
          <w:rFonts w:hint="eastAsia" w:ascii="Times New Roman" w:hAnsi="Times New Roman" w:cs="Times New Roman"/>
          <w:color w:val="auto"/>
          <w:highlight w:val="none"/>
          <w:lang w:val="en-US"/>
        </w:rPr>
        <w:t>11</w:t>
      </w:r>
      <w:r>
        <w:rPr>
          <w:rFonts w:ascii="Times New Roman" w:cs="Times New Roman"/>
          <w:color w:val="auto"/>
          <w:highlight w:val="none"/>
        </w:rPr>
        <w:t>）</w:t>
      </w:r>
      <w:r>
        <w:rPr>
          <w:rFonts w:hint="eastAsia"/>
          <w:color w:val="auto"/>
          <w:highlight w:val="none"/>
        </w:rPr>
        <w:t>中标公示汇总表；</w:t>
      </w:r>
    </w:p>
    <w:p>
      <w:pPr>
        <w:pStyle w:val="20"/>
        <w:adjustRightInd w:val="0"/>
        <w:snapToGrid w:val="0"/>
        <w:spacing w:line="324" w:lineRule="auto"/>
        <w:ind w:left="849" w:right="4314" w:hanging="120"/>
        <w:rPr>
          <w:rFonts w:ascii="Times New Roman" w:cs="Times New Roman"/>
          <w:b/>
          <w:bCs/>
          <w:color w:val="auto"/>
          <w:highlight w:val="none"/>
        </w:rPr>
      </w:pPr>
      <w:r>
        <w:rPr>
          <w:rFonts w:ascii="Times New Roman" w:cs="Times New Roman"/>
          <w:color w:val="auto"/>
          <w:highlight w:val="none"/>
        </w:rPr>
        <w:t>（</w:t>
      </w:r>
      <w:r>
        <w:rPr>
          <w:rFonts w:hint="eastAsia" w:ascii="Times New Roman" w:hAnsi="Times New Roman" w:cs="Times New Roman"/>
          <w:color w:val="auto"/>
          <w:highlight w:val="none"/>
          <w:lang w:val="en-US"/>
        </w:rPr>
        <w:t>12</w:t>
      </w:r>
      <w:r>
        <w:rPr>
          <w:rFonts w:ascii="Times New Roman" w:cs="Times New Roman"/>
          <w:color w:val="auto"/>
          <w:highlight w:val="none"/>
        </w:rPr>
        <w:t>）</w:t>
      </w:r>
      <w:r>
        <w:rPr>
          <w:rFonts w:hint="eastAsia"/>
          <w:color w:val="auto"/>
          <w:highlight w:val="none"/>
        </w:rPr>
        <w:t>其他材料。</w:t>
      </w:r>
    </w:p>
    <w:p>
      <w:pPr>
        <w:pStyle w:val="20"/>
        <w:adjustRightInd w:val="0"/>
        <w:snapToGrid w:val="0"/>
        <w:spacing w:line="324" w:lineRule="auto"/>
        <w:ind w:left="849" w:right="4314" w:hanging="120"/>
        <w:rPr>
          <w:rFonts w:ascii="Times New Roman" w:cs="Times New Roman"/>
          <w:color w:val="auto"/>
          <w:szCs w:val="22"/>
          <w:highlight w:val="none"/>
        </w:rPr>
      </w:pPr>
      <w:r>
        <w:rPr>
          <w:rFonts w:ascii="Times New Roman" w:cs="Times New Roman"/>
          <w:color w:val="auto"/>
          <w:szCs w:val="22"/>
          <w:highlight w:val="none"/>
        </w:rPr>
        <w:t>第二个信封（报价文件）：</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hint="eastAsia" w:ascii="Times New Roman" w:hAnsi="Times New Roman" w:cs="Times New Roman"/>
          <w:color w:val="auto"/>
          <w:highlight w:val="none"/>
          <w:lang w:val="en-US"/>
        </w:rPr>
        <w:t>1</w:t>
      </w:r>
      <w:r>
        <w:rPr>
          <w:rFonts w:ascii="Times New Roman" w:cs="Times New Roman"/>
          <w:color w:val="auto"/>
          <w:highlight w:val="none"/>
        </w:rPr>
        <w:t>）投标函；</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hint="eastAsia" w:ascii="Times New Roman" w:hAnsi="Times New Roman" w:cs="Times New Roman"/>
          <w:color w:val="auto"/>
          <w:highlight w:val="none"/>
          <w:lang w:val="en-US"/>
        </w:rPr>
        <w:t>2</w:t>
      </w:r>
      <w:r>
        <w:rPr>
          <w:rFonts w:ascii="Times New Roman" w:cs="Times New Roman"/>
          <w:color w:val="auto"/>
          <w:highlight w:val="none"/>
        </w:rPr>
        <w:t>）已标价工程量清单；</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hint="eastAsia" w:ascii="Times New Roman" w:hAnsi="Times New Roman" w:cs="Times New Roman"/>
          <w:color w:val="auto"/>
          <w:highlight w:val="none"/>
          <w:lang w:val="en-US"/>
        </w:rPr>
        <w:t>3</w:t>
      </w:r>
      <w:r>
        <w:rPr>
          <w:rFonts w:ascii="Times New Roman" w:cs="Times New Roman"/>
          <w:color w:val="auto"/>
          <w:highlight w:val="none"/>
        </w:rPr>
        <w:t>）合同用款估算表。</w:t>
      </w:r>
    </w:p>
    <w:p>
      <w:pPr>
        <w:pStyle w:val="20"/>
        <w:adjustRightInd w:val="0"/>
        <w:snapToGrid w:val="0"/>
        <w:spacing w:line="324" w:lineRule="auto"/>
        <w:ind w:left="369" w:right="326" w:firstLine="479"/>
        <w:rPr>
          <w:rFonts w:ascii="Times New Roman" w:hAnsi="Times New Roman" w:cs="Times New Roman"/>
          <w:color w:val="auto"/>
          <w:spacing w:val="-3"/>
          <w:highlight w:val="none"/>
        </w:rPr>
      </w:pPr>
      <w:r>
        <w:rPr>
          <w:rFonts w:ascii="Times New Roman" w:cs="Times New Roman"/>
          <w:color w:val="auto"/>
          <w:spacing w:val="-3"/>
          <w:highlight w:val="none"/>
        </w:rPr>
        <w:t>投标人在评标过程中作出的符合法律法规和招标文件规定的澄清确认，构成投标文件的组成部分。</w:t>
      </w:r>
    </w:p>
    <w:p>
      <w:pPr>
        <w:pStyle w:val="20"/>
        <w:adjustRightInd w:val="0"/>
        <w:snapToGrid w:val="0"/>
        <w:spacing w:line="324" w:lineRule="auto"/>
        <w:ind w:left="369" w:right="326" w:firstLine="479"/>
        <w:rPr>
          <w:rFonts w:ascii="Times New Roman" w:hAnsi="Times New Roman" w:cs="Times New Roman"/>
          <w:color w:val="auto"/>
          <w:szCs w:val="21"/>
          <w:highlight w:val="none"/>
        </w:rPr>
      </w:pPr>
      <w:r>
        <w:rPr>
          <w:rFonts w:ascii="Times New Roman" w:hAnsi="Times New Roman" w:eastAsia="Times New Roman" w:cs="Times New Roman"/>
          <w:color w:val="auto"/>
          <w:highlight w:val="none"/>
        </w:rPr>
        <w:t>3.1.2</w:t>
      </w:r>
      <w:r>
        <w:rPr>
          <w:color w:val="auto"/>
          <w:highlight w:val="none"/>
        </w:rPr>
        <w:fldChar w:fldCharType="begin"/>
      </w:r>
      <w:r>
        <w:rPr>
          <w:color w:val="auto"/>
          <w:highlight w:val="none"/>
        </w:rPr>
        <w:instrText xml:space="preserve"> HYPERLINK \l "_投标人资格要求" </w:instrText>
      </w:r>
      <w:r>
        <w:rPr>
          <w:color w:val="auto"/>
          <w:highlight w:val="none"/>
        </w:rPr>
        <w:fldChar w:fldCharType="separate"/>
      </w:r>
      <w:r>
        <w:rPr>
          <w:rFonts w:ascii="Times New Roman" w:cs="Times New Roman"/>
          <w:color w:val="auto"/>
          <w:highlight w:val="none"/>
        </w:rPr>
        <w:t>投标人须知表</w:t>
      </w:r>
      <w:r>
        <w:rPr>
          <w:rFonts w:ascii="Times New Roman" w:cs="Times New Roman"/>
          <w:color w:val="auto"/>
          <w:highlight w:val="none"/>
        </w:rPr>
        <w:fldChar w:fldCharType="end"/>
      </w:r>
      <w:r>
        <w:rPr>
          <w:rFonts w:ascii="Times New Roman" w:cs="Times New Roman"/>
          <w:color w:val="auto"/>
          <w:highlight w:val="none"/>
        </w:rPr>
        <w:t>规定不接受联合体投标的，或投标人没有组成联合体的，投标文件不包括本章第</w:t>
      </w:r>
      <w:r>
        <w:rPr>
          <w:rFonts w:ascii="Times New Roman" w:hAnsi="Times New Roman" w:cs="Times New Roman"/>
          <w:color w:val="auto"/>
          <w:highlight w:val="none"/>
        </w:rPr>
        <w:t>3.1.1</w:t>
      </w:r>
      <w:r>
        <w:rPr>
          <w:rFonts w:ascii="Times New Roman" w:cs="Times New Roman"/>
          <w:color w:val="auto"/>
          <w:highlight w:val="none"/>
        </w:rPr>
        <w:t>（</w:t>
      </w:r>
      <w:r>
        <w:rPr>
          <w:rFonts w:ascii="Times New Roman" w:hAnsi="Times New Roman" w:cs="Times New Roman"/>
          <w:color w:val="auto"/>
          <w:highlight w:val="none"/>
        </w:rPr>
        <w:t>3</w:t>
      </w:r>
      <w:r>
        <w:rPr>
          <w:rFonts w:ascii="Times New Roman" w:cs="Times New Roman"/>
          <w:color w:val="auto"/>
          <w:highlight w:val="none"/>
        </w:rPr>
        <w:t>）目所指的联合体协议书。</w:t>
      </w:r>
    </w:p>
    <w:p>
      <w:pPr>
        <w:pStyle w:val="20"/>
        <w:adjustRightInd w:val="0"/>
        <w:snapToGrid w:val="0"/>
        <w:spacing w:line="324" w:lineRule="auto"/>
        <w:ind w:left="849"/>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3.1.3 </w:t>
      </w:r>
      <w:r>
        <w:rPr>
          <w:rFonts w:ascii="Times New Roman" w:cs="Times New Roman"/>
          <w:color w:val="auto"/>
          <w:highlight w:val="none"/>
        </w:rPr>
        <w:t>投标人须知前附表未要求提交投标保证金的，投标文件不包括本章第</w:t>
      </w:r>
      <w:r>
        <w:rPr>
          <w:rFonts w:ascii="Times New Roman" w:hAnsi="Times New Roman" w:eastAsia="Times New Roman" w:cs="Times New Roman"/>
          <w:color w:val="auto"/>
          <w:highlight w:val="none"/>
        </w:rPr>
        <w:t>3.1.1</w:t>
      </w:r>
    </w:p>
    <w:p>
      <w:pPr>
        <w:pStyle w:val="20"/>
        <w:adjustRightInd w:val="0"/>
        <w:snapToGrid w:val="0"/>
        <w:spacing w:line="324" w:lineRule="auto"/>
        <w:ind w:right="5985"/>
        <w:jc w:val="center"/>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）目所指的投标保证金。</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37" w:name="_bookmark49"/>
      <w:bookmarkEnd w:id="237"/>
      <w:r>
        <w:rPr>
          <w:rFonts w:hint="eastAsia" w:ascii="黑体" w:eastAsia="黑体"/>
          <w:color w:val="auto"/>
          <w:sz w:val="24"/>
          <w:highlight w:val="none"/>
        </w:rPr>
        <w:t>投标报价</w:t>
      </w:r>
    </w:p>
    <w:p>
      <w:pPr>
        <w:tabs>
          <w:tab w:val="left" w:pos="1450"/>
        </w:tabs>
        <w:adjustRightInd w:val="0"/>
        <w:snapToGrid w:val="0"/>
        <w:spacing w:line="324" w:lineRule="auto"/>
        <w:ind w:left="426" w:right="206" w:firstLine="410" w:firstLineChars="180"/>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3.2.1</w:t>
      </w:r>
      <w:r>
        <w:rPr>
          <w:rFonts w:ascii="Times New Roman" w:cs="Times New Roman"/>
          <w:color w:val="auto"/>
          <w:spacing w:val="-6"/>
          <w:sz w:val="24"/>
          <w:highlight w:val="none"/>
        </w:rPr>
        <w:t>投标报价应包括国家规定的增值税税金，除投标人须知前附表另有规定外，</w:t>
      </w:r>
      <w:r>
        <w:rPr>
          <w:rFonts w:ascii="Times New Roman" w:cs="Times New Roman"/>
          <w:color w:val="auto"/>
          <w:spacing w:val="-11"/>
          <w:sz w:val="24"/>
          <w:highlight w:val="none"/>
        </w:rPr>
        <w:t>增值税税金按一般计税方法计算。投标人应按第九章</w:t>
      </w:r>
      <w:r>
        <w:rPr>
          <w:rFonts w:ascii="Times New Roman" w:hAnsi="Times New Roman" w:cs="Times New Roman"/>
          <w:color w:val="auto"/>
          <w:spacing w:val="-11"/>
          <w:sz w:val="24"/>
          <w:highlight w:val="none"/>
        </w:rPr>
        <w:t>“</w:t>
      </w:r>
      <w:r>
        <w:rPr>
          <w:rFonts w:ascii="Times New Roman" w:cs="Times New Roman"/>
          <w:color w:val="auto"/>
          <w:spacing w:val="-11"/>
          <w:sz w:val="24"/>
          <w:highlight w:val="none"/>
        </w:rPr>
        <w:t>投标文件格式</w:t>
      </w:r>
      <w:r>
        <w:rPr>
          <w:rFonts w:ascii="Times New Roman" w:hAnsi="Times New Roman" w:cs="Times New Roman"/>
          <w:color w:val="auto"/>
          <w:spacing w:val="-11"/>
          <w:sz w:val="24"/>
          <w:highlight w:val="none"/>
        </w:rPr>
        <w:t>”</w:t>
      </w:r>
      <w:r>
        <w:rPr>
          <w:rFonts w:ascii="Times New Roman" w:cs="Times New Roman"/>
          <w:color w:val="auto"/>
          <w:spacing w:val="-11"/>
          <w:sz w:val="24"/>
          <w:highlight w:val="none"/>
        </w:rPr>
        <w:t>的要求在投标函中进行报价并填写工程量清单相应表格。</w:t>
      </w:r>
    </w:p>
    <w:p>
      <w:pPr>
        <w:pStyle w:val="20"/>
        <w:adjustRightInd w:val="0"/>
        <w:snapToGrid w:val="0"/>
        <w:spacing w:line="324" w:lineRule="auto"/>
        <w:ind w:left="369" w:right="324" w:firstLine="479"/>
        <w:rPr>
          <w:rFonts w:ascii="Times New Roman" w:hAnsi="Times New Roman" w:cs="Times New Roman"/>
          <w:color w:val="auto"/>
          <w:highlight w:val="none"/>
        </w:rPr>
      </w:pPr>
      <w:r>
        <w:rPr>
          <w:rFonts w:ascii="Times New Roman" w:cs="Times New Roman"/>
          <w:color w:val="auto"/>
          <w:spacing w:val="-6"/>
          <w:highlight w:val="none"/>
        </w:rPr>
        <w:t>工程量清单的填写分下列两种方式。投标人应按投标人须知前附表规定的方式填写工程量清单。</w:t>
      </w:r>
    </w:p>
    <w:p>
      <w:pPr>
        <w:pStyle w:val="20"/>
        <w:adjustRightInd w:val="0"/>
        <w:snapToGrid w:val="0"/>
        <w:spacing w:line="324" w:lineRule="auto"/>
        <w:ind w:left="369" w:right="324" w:firstLine="479"/>
        <w:rPr>
          <w:rFonts w:ascii="Times New Roman" w:hAnsi="Times New Roman" w:cs="Times New Roman"/>
          <w:color w:val="auto"/>
          <w:spacing w:val="-6"/>
          <w:highlight w:val="none"/>
        </w:rPr>
      </w:pPr>
      <w:r>
        <w:rPr>
          <w:rFonts w:ascii="Times New Roman" w:cs="Times New Roman"/>
          <w:color w:val="auto"/>
          <w:spacing w:val="-6"/>
          <w:highlight w:val="none"/>
        </w:rPr>
        <w:t>（</w:t>
      </w:r>
      <w:r>
        <w:rPr>
          <w:rFonts w:ascii="Times New Roman" w:hAnsi="Times New Roman" w:cs="Times New Roman"/>
          <w:color w:val="auto"/>
          <w:spacing w:val="-6"/>
          <w:highlight w:val="none"/>
        </w:rPr>
        <w:t>1</w:t>
      </w:r>
      <w:r>
        <w:rPr>
          <w:rFonts w:ascii="Times New Roman" w:cs="Times New Roman"/>
          <w:color w:val="auto"/>
          <w:spacing w:val="-6"/>
          <w:highlight w:val="none"/>
        </w:rPr>
        <w:t>）本项目招标采用工程量固化清单，招标人在出售招标文件的同时向投标人提供工程量固化清单电子文件（光盘或</w:t>
      </w:r>
      <w:r>
        <w:rPr>
          <w:rFonts w:ascii="Times New Roman" w:hAnsi="Times New Roman" w:cs="Times New Roman"/>
          <w:color w:val="auto"/>
          <w:spacing w:val="-6"/>
          <w:highlight w:val="none"/>
        </w:rPr>
        <w:t xml:space="preserve"> U</w:t>
      </w:r>
      <w:r>
        <w:rPr>
          <w:rFonts w:ascii="Times New Roman" w:cs="Times New Roman"/>
          <w:color w:val="auto"/>
          <w:spacing w:val="-6"/>
          <w:highlight w:val="none"/>
        </w:rPr>
        <w:t>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pPr>
        <w:pStyle w:val="20"/>
        <w:adjustRightInd w:val="0"/>
        <w:snapToGrid w:val="0"/>
        <w:spacing w:line="324" w:lineRule="auto"/>
        <w:ind w:left="369" w:right="324" w:firstLine="479"/>
        <w:jc w:val="both"/>
        <w:rPr>
          <w:rFonts w:ascii="Times New Roman" w:hAnsi="Times New Roman" w:cs="Times New Roman"/>
          <w:color w:val="auto"/>
          <w:highlight w:val="none"/>
        </w:rPr>
      </w:pPr>
      <w:r>
        <w:rPr>
          <w:rFonts w:ascii="Times New Roman" w:cs="Times New Roman"/>
          <w:color w:val="auto"/>
          <w:spacing w:val="-4"/>
          <w:highlight w:val="none"/>
        </w:rPr>
        <w:t>投标人必须严格遵循工程量固化清单电子文件中的数据、格式及运算定义，并将已填写完毕的投标工程量清单电子文件单独拷入招标人提供的光盘（</w:t>
      </w:r>
      <w:r>
        <w:rPr>
          <w:rFonts w:ascii="Times New Roman" w:cs="Times New Roman"/>
          <w:color w:val="auto"/>
          <w:spacing w:val="-8"/>
          <w:highlight w:val="none"/>
        </w:rPr>
        <w:t>或</w:t>
      </w:r>
      <w:r>
        <w:rPr>
          <w:rFonts w:ascii="Times New Roman" w:hAnsi="Times New Roman" w:eastAsia="Times New Roman" w:cs="Times New Roman"/>
          <w:color w:val="auto"/>
          <w:highlight w:val="none"/>
        </w:rPr>
        <w:t xml:space="preserve">U </w:t>
      </w:r>
      <w:r>
        <w:rPr>
          <w:rFonts w:ascii="Times New Roman" w:cs="Times New Roman"/>
          <w:color w:val="auto"/>
          <w:highlight w:val="none"/>
        </w:rPr>
        <w:t>盘）中密</w:t>
      </w:r>
      <w:r>
        <w:rPr>
          <w:rFonts w:ascii="Times New Roman" w:cs="Times New Roman"/>
          <w:color w:val="auto"/>
          <w:spacing w:val="-6"/>
          <w:highlight w:val="none"/>
        </w:rPr>
        <w:t>封在投标文件内一并交回。严禁投标人修改工程量固化清单电子文件中的数据、格式及运算定义。</w:t>
      </w:r>
    </w:p>
    <w:p>
      <w:pPr>
        <w:pStyle w:val="20"/>
        <w:adjustRightInd w:val="0"/>
        <w:snapToGrid w:val="0"/>
        <w:spacing w:line="324" w:lineRule="auto"/>
        <w:ind w:left="369" w:right="319" w:firstLine="479"/>
        <w:jc w:val="both"/>
        <w:rPr>
          <w:rFonts w:ascii="Times New Roman" w:hAnsi="Times New Roman" w:cs="Times New Roman"/>
          <w:color w:val="auto"/>
          <w:highlight w:val="none"/>
        </w:rPr>
      </w:pPr>
      <w:r>
        <w:rPr>
          <w:rFonts w:ascii="Times New Roman" w:cs="Times New Roman"/>
          <w:color w:val="auto"/>
          <w:highlight w:val="none"/>
        </w:rPr>
        <w:t>投标人根据招标人提供的工程量固化清单电子文件填报完成并打印的投标工程</w:t>
      </w:r>
      <w:r>
        <w:rPr>
          <w:rFonts w:ascii="Times New Roman" w:cs="Times New Roman"/>
          <w:color w:val="auto"/>
          <w:spacing w:val="-4"/>
          <w:highlight w:val="none"/>
        </w:rPr>
        <w:t>量清单中的投标报价和投标函大写金额报价应一致，如果报价金额出现差异，其投标将被否决。</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2</w:t>
      </w:r>
      <w:r>
        <w:rPr>
          <w:rFonts w:ascii="Times New Roman" w:cs="Times New Roman"/>
          <w:color w:val="auto"/>
          <w:spacing w:val="-16"/>
          <w:highlight w:val="none"/>
        </w:rPr>
        <w:t>）</w:t>
      </w:r>
      <w:r>
        <w:rPr>
          <w:rFonts w:ascii="Times New Roman" w:cs="Times New Roman"/>
          <w:color w:val="auto"/>
          <w:spacing w:val="-3"/>
          <w:highlight w:val="none"/>
        </w:rPr>
        <w:t>本项目招标由招标人提供书面工程量清单，由投标人按照招标人提供的工程</w:t>
      </w:r>
      <w:r>
        <w:rPr>
          <w:rFonts w:ascii="Times New Roman" w:cs="Times New Roman"/>
          <w:color w:val="auto"/>
          <w:spacing w:val="-8"/>
          <w:highlight w:val="none"/>
        </w:rPr>
        <w:t>量清单填写本合同各工程子目的单价、合价和总额价。评标委员会将按照第三章</w:t>
      </w:r>
      <w:r>
        <w:rPr>
          <w:rFonts w:ascii="Times New Roman" w:hAnsi="Times New Roman" w:cs="Times New Roman"/>
          <w:color w:val="auto"/>
          <w:spacing w:val="-8"/>
          <w:highlight w:val="none"/>
        </w:rPr>
        <w:t>“</w:t>
      </w:r>
      <w:r>
        <w:rPr>
          <w:rFonts w:ascii="Times New Roman" w:cs="Times New Roman"/>
          <w:color w:val="auto"/>
          <w:spacing w:val="-8"/>
          <w:highlight w:val="none"/>
        </w:rPr>
        <w:t>评标办法</w:t>
      </w:r>
      <w:r>
        <w:rPr>
          <w:rFonts w:ascii="Times New Roman" w:hAnsi="Times New Roman" w:cs="Times New Roman"/>
          <w:color w:val="auto"/>
          <w:spacing w:val="-8"/>
          <w:highlight w:val="none"/>
        </w:rPr>
        <w:t>”</w:t>
      </w:r>
      <w:r>
        <w:rPr>
          <w:rFonts w:ascii="Times New Roman" w:cs="Times New Roman"/>
          <w:color w:val="auto"/>
          <w:spacing w:val="-8"/>
          <w:highlight w:val="none"/>
        </w:rPr>
        <w:t>的规定对投标价进行算术性错误修正及其他错误修正。</w:t>
      </w:r>
    </w:p>
    <w:p>
      <w:pPr>
        <w:tabs>
          <w:tab w:val="left" w:pos="1450"/>
        </w:tabs>
        <w:adjustRightInd w:val="0"/>
        <w:snapToGrid w:val="0"/>
        <w:spacing w:line="324" w:lineRule="auto"/>
        <w:ind w:left="849"/>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3.2.2</w:t>
      </w:r>
      <w:r>
        <w:rPr>
          <w:rFonts w:ascii="Times New Roman" w:cs="Times New Roman"/>
          <w:color w:val="auto"/>
          <w:sz w:val="24"/>
          <w:highlight w:val="none"/>
        </w:rPr>
        <w:t>投标人应充分了解本项目的总体情况以及影响投标报价的其他要素。</w:t>
      </w:r>
    </w:p>
    <w:p>
      <w:pPr>
        <w:tabs>
          <w:tab w:val="left" w:pos="1450"/>
        </w:tabs>
        <w:adjustRightInd w:val="0"/>
        <w:snapToGrid w:val="0"/>
        <w:spacing w:line="324" w:lineRule="auto"/>
        <w:ind w:left="284" w:right="327" w:firstLine="549" w:firstLineChars="241"/>
        <w:jc w:val="both"/>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3.2.3</w:t>
      </w:r>
      <w:r>
        <w:rPr>
          <w:rFonts w:ascii="Times New Roman" w:cs="Times New Roman"/>
          <w:color w:val="auto"/>
          <w:sz w:val="24"/>
          <w:highlight w:val="none"/>
        </w:rPr>
        <w:t>本项目的报价方式见投标人须知前附表。投标人在投标截止时间前修改投</w:t>
      </w:r>
      <w:r>
        <w:rPr>
          <w:rFonts w:ascii="Times New Roman" w:cs="Times New Roman"/>
          <w:color w:val="auto"/>
          <w:spacing w:val="-4"/>
          <w:sz w:val="24"/>
          <w:highlight w:val="none"/>
        </w:rPr>
        <w:t>标函中的投标总报价，应同时修改投标文件</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已标价工程量清单</w:t>
      </w:r>
      <w:r>
        <w:rPr>
          <w:rFonts w:ascii="Times New Roman" w:hAnsi="Times New Roman" w:eastAsia="Times New Roman" w:cs="Times New Roman"/>
          <w:color w:val="auto"/>
          <w:sz w:val="24"/>
          <w:highlight w:val="none"/>
        </w:rPr>
        <w:t>”</w:t>
      </w:r>
      <w:r>
        <w:rPr>
          <w:rFonts w:ascii="Times New Roman" w:cs="Times New Roman"/>
          <w:color w:val="auto"/>
          <w:spacing w:val="-5"/>
          <w:sz w:val="24"/>
          <w:highlight w:val="none"/>
        </w:rPr>
        <w:t>中的相应报价。此修</w:t>
      </w:r>
      <w:r>
        <w:rPr>
          <w:rFonts w:ascii="Times New Roman" w:cs="Times New Roman"/>
          <w:color w:val="auto"/>
          <w:spacing w:val="-12"/>
          <w:sz w:val="24"/>
          <w:highlight w:val="none"/>
        </w:rPr>
        <w:t>改须符合本章第</w:t>
      </w:r>
      <w:r>
        <w:rPr>
          <w:rFonts w:ascii="Times New Roman" w:hAnsi="Times New Roman" w:eastAsia="Times New Roman" w:cs="Times New Roman"/>
          <w:color w:val="auto"/>
          <w:sz w:val="24"/>
          <w:highlight w:val="none"/>
        </w:rPr>
        <w:t xml:space="preserve">4.3 </w:t>
      </w:r>
      <w:r>
        <w:rPr>
          <w:rFonts w:ascii="Times New Roman" w:cs="Times New Roman"/>
          <w:color w:val="auto"/>
          <w:sz w:val="24"/>
          <w:highlight w:val="none"/>
        </w:rPr>
        <w:t>款的有关要求。</w:t>
      </w:r>
    </w:p>
    <w:p>
      <w:pPr>
        <w:tabs>
          <w:tab w:val="left" w:pos="1450"/>
        </w:tabs>
        <w:adjustRightInd w:val="0"/>
        <w:snapToGrid w:val="0"/>
        <w:spacing w:line="324" w:lineRule="auto"/>
        <w:ind w:left="284" w:right="326" w:firstLine="549" w:firstLineChars="241"/>
        <w:jc w:val="both"/>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3.2.4</w:t>
      </w:r>
      <w:r>
        <w:rPr>
          <w:rFonts w:ascii="Times New Roman" w:cs="Times New Roman"/>
          <w:color w:val="auto"/>
          <w:sz w:val="24"/>
          <w:highlight w:val="none"/>
        </w:rPr>
        <w:t>投标人如果发现工程量清单中的数量与图纸中数量不一致时，应立即通知</w:t>
      </w:r>
      <w:r>
        <w:rPr>
          <w:rFonts w:ascii="Times New Roman" w:cs="Times New Roman"/>
          <w:color w:val="auto"/>
          <w:spacing w:val="-9"/>
          <w:sz w:val="24"/>
          <w:highlight w:val="none"/>
        </w:rPr>
        <w:t>招标人核查，除非招标人以书面方式予以更正，否则，应以工程量清单中列出的数量为准。</w:t>
      </w:r>
    </w:p>
    <w:p>
      <w:pPr>
        <w:tabs>
          <w:tab w:val="left" w:pos="1450"/>
        </w:tabs>
        <w:adjustRightInd w:val="0"/>
        <w:snapToGrid w:val="0"/>
        <w:spacing w:line="324" w:lineRule="auto"/>
        <w:ind w:left="233" w:leftChars="106" w:right="324" w:firstLine="595" w:firstLineChars="261"/>
        <w:jc w:val="both"/>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3.2.5</w:t>
      </w:r>
      <w:r>
        <w:rPr>
          <w:rFonts w:ascii="Times New Roman" w:cs="Times New Roman"/>
          <w:color w:val="auto"/>
          <w:spacing w:val="-14"/>
          <w:sz w:val="24"/>
          <w:highlight w:val="none"/>
        </w:rPr>
        <w:t>投标人应根据《公路水运工程安全生产监督管理办法》，在投标总价中计入</w:t>
      </w:r>
      <w:r>
        <w:rPr>
          <w:rFonts w:ascii="Times New Roman" w:cs="Times New Roman"/>
          <w:color w:val="auto"/>
          <w:spacing w:val="-15"/>
          <w:sz w:val="24"/>
          <w:highlight w:val="none"/>
        </w:rPr>
        <w:t>安全生产费用，安全生产费用应符合合同条款第</w:t>
      </w:r>
      <w:r>
        <w:rPr>
          <w:rFonts w:ascii="Times New Roman" w:hAnsi="Times New Roman" w:eastAsia="Times New Roman" w:cs="Times New Roman"/>
          <w:color w:val="auto"/>
          <w:sz w:val="24"/>
          <w:highlight w:val="none"/>
        </w:rPr>
        <w:t>9.2.5</w:t>
      </w:r>
      <w:r>
        <w:rPr>
          <w:rFonts w:ascii="Times New Roman" w:cs="Times New Roman"/>
          <w:color w:val="auto"/>
          <w:spacing w:val="-3"/>
          <w:sz w:val="24"/>
          <w:highlight w:val="none"/>
        </w:rPr>
        <w:t>项的规定。工程量清单第</w:t>
      </w:r>
      <w:r>
        <w:rPr>
          <w:rFonts w:ascii="Times New Roman" w:hAnsi="Times New Roman" w:eastAsia="Times New Roman" w:cs="Times New Roman"/>
          <w:color w:val="auto"/>
          <w:sz w:val="24"/>
          <w:highlight w:val="none"/>
        </w:rPr>
        <w:t xml:space="preserve">100 </w:t>
      </w:r>
      <w:r>
        <w:rPr>
          <w:rFonts w:ascii="Times New Roman" w:cs="Times New Roman"/>
          <w:color w:val="auto"/>
          <w:sz w:val="24"/>
          <w:highlight w:val="none"/>
        </w:rPr>
        <w:t>章内列有上述安全生产费的支付子目，由投标人按招标文件的规定填写总额价。</w:t>
      </w:r>
    </w:p>
    <w:p>
      <w:pPr>
        <w:tabs>
          <w:tab w:val="left" w:pos="1450"/>
        </w:tabs>
        <w:adjustRightInd w:val="0"/>
        <w:snapToGrid w:val="0"/>
        <w:spacing w:line="324" w:lineRule="auto"/>
        <w:ind w:left="284" w:right="234" w:firstLine="549" w:firstLineChars="241"/>
        <w:jc w:val="both"/>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3.2.6</w:t>
      </w:r>
      <w:r>
        <w:rPr>
          <w:rFonts w:ascii="Times New Roman" w:cs="Times New Roman"/>
          <w:color w:val="auto"/>
          <w:sz w:val="24"/>
          <w:highlight w:val="none"/>
        </w:rPr>
        <w:t>除投标人须知前附表另有规定外，招标人不接受调价函。若招标人接受调价函，则应在招标文件中给出调价函的格式。投标人若有调价函则应遵循如下规定：</w:t>
      </w:r>
    </w:p>
    <w:p>
      <w:pPr>
        <w:pStyle w:val="20"/>
        <w:adjustRightInd w:val="0"/>
        <w:snapToGrid w:val="0"/>
        <w:spacing w:line="324" w:lineRule="auto"/>
        <w:ind w:left="369" w:right="328" w:firstLine="360"/>
        <w:jc w:val="both"/>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1</w:t>
      </w:r>
      <w:r>
        <w:rPr>
          <w:rFonts w:ascii="Times New Roman" w:cs="Times New Roman"/>
          <w:color w:val="auto"/>
          <w:spacing w:val="-11"/>
          <w:highlight w:val="none"/>
        </w:rPr>
        <w:t>）</w:t>
      </w:r>
      <w:r>
        <w:rPr>
          <w:rFonts w:ascii="Times New Roman" w:cs="Times New Roman"/>
          <w:color w:val="auto"/>
          <w:spacing w:val="-3"/>
          <w:highlight w:val="none"/>
        </w:rPr>
        <w:t>调价函必须采用招标文件规定的格式；调价函应说明调价后的最终报价，并以最终报价为准，而且投标人只能有一次调价的机会；</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）工程量清单中招标人指定的报价不允许调价；</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）调价函必须附有调价后的工程量清单；调价函必须粘贴或机械装订在投标文</w:t>
      </w:r>
    </w:p>
    <w:p>
      <w:pPr>
        <w:pStyle w:val="20"/>
        <w:adjustRightInd w:val="0"/>
        <w:snapToGrid w:val="0"/>
        <w:spacing w:line="324" w:lineRule="auto"/>
        <w:ind w:left="369"/>
        <w:rPr>
          <w:rFonts w:ascii="Times New Roman" w:hAnsi="Times New Roman" w:cs="Times New Roman"/>
          <w:color w:val="auto"/>
          <w:highlight w:val="none"/>
        </w:rPr>
      </w:pPr>
      <w:r>
        <w:rPr>
          <w:rFonts w:ascii="Times New Roman" w:cs="Times New Roman"/>
          <w:color w:val="auto"/>
          <w:highlight w:val="none"/>
        </w:rPr>
        <w:t>件正本首页，与投标文件一起密封提交。</w:t>
      </w:r>
    </w:p>
    <w:p>
      <w:pPr>
        <w:pStyle w:val="20"/>
        <w:adjustRightInd w:val="0"/>
        <w:snapToGrid w:val="0"/>
        <w:spacing w:line="324" w:lineRule="auto"/>
        <w:ind w:left="369" w:right="326" w:firstLine="479"/>
        <w:jc w:val="both"/>
        <w:rPr>
          <w:rFonts w:ascii="Times New Roman" w:hAnsi="Times New Roman" w:cs="Times New Roman"/>
          <w:color w:val="auto"/>
          <w:highlight w:val="none"/>
        </w:rPr>
      </w:pPr>
      <w:r>
        <w:rPr>
          <w:rFonts w:ascii="Times New Roman" w:cs="Times New Roman"/>
          <w:color w:val="auto"/>
          <w:spacing w:val="-5"/>
          <w:highlight w:val="none"/>
        </w:rPr>
        <w:t>若投标人未提交调价后的工程量清单，或调价函未装在投标文件正本首页，调价</w:t>
      </w:r>
      <w:r>
        <w:rPr>
          <w:rFonts w:ascii="Times New Roman" w:cs="Times New Roman"/>
          <w:color w:val="auto"/>
          <w:spacing w:val="-11"/>
          <w:highlight w:val="none"/>
        </w:rPr>
        <w:t>函均视为无效，仍以原报价作为最终报价。若投标人提交的调价函多于一个，或对不允许调价的内容进行了调价，或调价函有附加条件，其投标将被否决。</w:t>
      </w:r>
    </w:p>
    <w:p>
      <w:pPr>
        <w:pStyle w:val="20"/>
        <w:adjustRightInd w:val="0"/>
        <w:snapToGrid w:val="0"/>
        <w:spacing w:line="324" w:lineRule="auto"/>
        <w:ind w:left="369" w:right="326" w:firstLine="360"/>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4</w:t>
      </w:r>
      <w:r>
        <w:rPr>
          <w:rFonts w:ascii="Times New Roman" w:cs="Times New Roman"/>
          <w:color w:val="auto"/>
          <w:spacing w:val="-16"/>
          <w:highlight w:val="none"/>
        </w:rPr>
        <w:t>）</w:t>
      </w:r>
      <w:r>
        <w:rPr>
          <w:rFonts w:ascii="Times New Roman" w:cs="Times New Roman"/>
          <w:color w:val="auto"/>
          <w:spacing w:val="-5"/>
          <w:highlight w:val="none"/>
        </w:rPr>
        <w:t>若招标人接受调价函，投标人调价后的工程量清单和有效调价函的大写金额报价应保持一致，如果报价金额出现差异，则以有效调价函的大写金额报价为准。</w:t>
      </w:r>
    </w:p>
    <w:p>
      <w:pPr>
        <w:tabs>
          <w:tab w:val="left" w:pos="1450"/>
        </w:tabs>
        <w:adjustRightInd w:val="0"/>
        <w:snapToGrid w:val="0"/>
        <w:spacing w:line="324" w:lineRule="auto"/>
        <w:ind w:left="284" w:right="324" w:firstLine="549" w:firstLineChars="241"/>
        <w:jc w:val="both"/>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3.2.7</w:t>
      </w:r>
      <w:r>
        <w:rPr>
          <w:rFonts w:ascii="Times New Roman" w:cs="Times New Roman"/>
          <w:color w:val="auto"/>
          <w:sz w:val="24"/>
          <w:highlight w:val="none"/>
        </w:rPr>
        <w:t>在合同实施期间，投标人填写的单价、合价和总额价是否由于物价波动进</w:t>
      </w:r>
      <w:r>
        <w:rPr>
          <w:rFonts w:ascii="Times New Roman" w:cs="Times New Roman"/>
          <w:color w:val="auto"/>
          <w:spacing w:val="-3"/>
          <w:sz w:val="24"/>
          <w:highlight w:val="none"/>
        </w:rPr>
        <w:t>行价格调整按照合同条款第</w:t>
      </w:r>
      <w:r>
        <w:rPr>
          <w:rFonts w:ascii="Times New Roman" w:hAnsi="Times New Roman" w:eastAsia="Times New Roman" w:cs="Times New Roman"/>
          <w:color w:val="auto"/>
          <w:sz w:val="24"/>
          <w:highlight w:val="none"/>
        </w:rPr>
        <w:t>16.1</w:t>
      </w:r>
      <w:r>
        <w:rPr>
          <w:rFonts w:ascii="Times New Roman" w:cs="Times New Roman"/>
          <w:color w:val="auto"/>
          <w:spacing w:val="-3"/>
          <w:sz w:val="24"/>
          <w:highlight w:val="none"/>
        </w:rPr>
        <w:t>款的规定处理。如果按照合同条款第</w:t>
      </w:r>
      <w:r>
        <w:rPr>
          <w:rFonts w:ascii="Times New Roman" w:hAnsi="Times New Roman" w:eastAsia="Times New Roman" w:cs="Times New Roman"/>
          <w:color w:val="auto"/>
          <w:sz w:val="24"/>
          <w:highlight w:val="none"/>
        </w:rPr>
        <w:t>16.1.1</w:t>
      </w:r>
      <w:r>
        <w:rPr>
          <w:rFonts w:ascii="Times New Roman" w:cs="Times New Roman"/>
          <w:color w:val="auto"/>
          <w:sz w:val="24"/>
          <w:highlight w:val="none"/>
        </w:rPr>
        <w:t>项的规</w:t>
      </w:r>
      <w:r>
        <w:rPr>
          <w:rFonts w:ascii="Times New Roman" w:cs="Times New Roman"/>
          <w:color w:val="auto"/>
          <w:spacing w:val="-6"/>
          <w:sz w:val="24"/>
          <w:highlight w:val="none"/>
        </w:rPr>
        <w:t>定采用价格调整公式进行价格调整，由招标人根据项目实际情况测算确定价格调整公</w:t>
      </w:r>
      <w:r>
        <w:rPr>
          <w:rFonts w:ascii="Times New Roman" w:cs="Times New Roman"/>
          <w:color w:val="auto"/>
          <w:spacing w:val="-12"/>
          <w:sz w:val="24"/>
          <w:highlight w:val="none"/>
        </w:rPr>
        <w:t>式中的变值权重范围，并在投标函附录价格指数和权重表中约定范围；投标人在此范围内填写各可调因子的权重，合同实施期间将按此权重进行调价。</w:t>
      </w:r>
    </w:p>
    <w:p>
      <w:pPr>
        <w:tabs>
          <w:tab w:val="left" w:pos="1450"/>
        </w:tabs>
        <w:adjustRightInd w:val="0"/>
        <w:snapToGrid w:val="0"/>
        <w:spacing w:line="324" w:lineRule="auto"/>
        <w:ind w:left="284" w:right="331" w:firstLine="549" w:firstLineChars="241"/>
        <w:jc w:val="both"/>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3.2.8</w:t>
      </w:r>
      <w:r>
        <w:rPr>
          <w:rFonts w:ascii="Times New Roman" w:cs="Times New Roman"/>
          <w:color w:val="auto"/>
          <w:sz w:val="24"/>
          <w:highlight w:val="none"/>
        </w:rPr>
        <w:t>招标人设有最高投标限价的，投标人的投标报价不得超过最高投标限价，最高投标限价在投标人须知前附表中载明。</w:t>
      </w:r>
    </w:p>
    <w:p>
      <w:pPr>
        <w:tabs>
          <w:tab w:val="left" w:pos="1450"/>
        </w:tabs>
        <w:adjustRightInd w:val="0"/>
        <w:snapToGrid w:val="0"/>
        <w:spacing w:line="324" w:lineRule="auto"/>
        <w:ind w:left="849"/>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3.2.9</w:t>
      </w:r>
      <w:r>
        <w:rPr>
          <w:rFonts w:ascii="Times New Roman" w:cs="Times New Roman"/>
          <w:color w:val="auto"/>
          <w:sz w:val="24"/>
          <w:highlight w:val="none"/>
        </w:rPr>
        <w:t>投标报价的其他要求见投标人须知前附表。</w:t>
      </w:r>
    </w:p>
    <w:p>
      <w:pPr>
        <w:pStyle w:val="86"/>
        <w:numPr>
          <w:ilvl w:val="1"/>
          <w:numId w:val="2"/>
        </w:numPr>
        <w:tabs>
          <w:tab w:val="left" w:pos="790"/>
        </w:tabs>
        <w:adjustRightInd w:val="0"/>
        <w:snapToGrid w:val="0"/>
        <w:spacing w:line="324" w:lineRule="auto"/>
        <w:ind w:left="789" w:hanging="420"/>
        <w:rPr>
          <w:rFonts w:ascii="黑体" w:eastAsia="黑体"/>
          <w:color w:val="auto"/>
          <w:sz w:val="24"/>
          <w:highlight w:val="none"/>
        </w:rPr>
      </w:pPr>
      <w:bookmarkStart w:id="238" w:name="_bookmark50"/>
      <w:bookmarkEnd w:id="238"/>
      <w:r>
        <w:rPr>
          <w:rFonts w:hint="eastAsia" w:ascii="黑体" w:eastAsia="黑体"/>
          <w:color w:val="auto"/>
          <w:sz w:val="24"/>
          <w:highlight w:val="none"/>
        </w:rPr>
        <w:t>投标有效期</w:t>
      </w:r>
    </w:p>
    <w:p>
      <w:pPr>
        <w:tabs>
          <w:tab w:val="left" w:pos="1450"/>
        </w:tabs>
        <w:adjustRightInd w:val="0"/>
        <w:snapToGrid w:val="0"/>
        <w:spacing w:line="324" w:lineRule="auto"/>
        <w:ind w:left="849"/>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3.3.1</w:t>
      </w:r>
      <w:r>
        <w:rPr>
          <w:rFonts w:ascii="Times New Roman" w:cs="Times New Roman"/>
          <w:color w:val="auto"/>
          <w:spacing w:val="-3"/>
          <w:sz w:val="24"/>
          <w:highlight w:val="none"/>
        </w:rPr>
        <w:t>除投标人须知前附表另有规定外，投标有效期为</w:t>
      </w:r>
      <w:r>
        <w:rPr>
          <w:rFonts w:ascii="Times New Roman" w:hAnsi="Times New Roman" w:eastAsia="Times New Roman" w:cs="Times New Roman"/>
          <w:color w:val="auto"/>
          <w:sz w:val="24"/>
          <w:highlight w:val="none"/>
        </w:rPr>
        <w:t xml:space="preserve">90 </w:t>
      </w:r>
      <w:r>
        <w:rPr>
          <w:rFonts w:ascii="Times New Roman" w:cs="Times New Roman"/>
          <w:color w:val="auto"/>
          <w:sz w:val="24"/>
          <w:highlight w:val="none"/>
        </w:rPr>
        <w:t>日。</w:t>
      </w:r>
    </w:p>
    <w:p>
      <w:pPr>
        <w:tabs>
          <w:tab w:val="left" w:pos="1450"/>
        </w:tabs>
        <w:adjustRightInd w:val="0"/>
        <w:snapToGrid w:val="0"/>
        <w:spacing w:line="324" w:lineRule="auto"/>
        <w:ind w:left="284" w:right="331" w:firstLine="556" w:firstLineChars="238"/>
        <w:jc w:val="both"/>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3.3.2</w:t>
      </w:r>
      <w:r>
        <w:rPr>
          <w:rFonts w:ascii="Times New Roman" w:cs="Times New Roman"/>
          <w:color w:val="auto"/>
          <w:sz w:val="24"/>
          <w:highlight w:val="none"/>
        </w:rPr>
        <w:t>在投标有效期内，投标人撤销投标文件的，应承担招标文件和法律规定的责任。</w:t>
      </w:r>
    </w:p>
    <w:p>
      <w:pPr>
        <w:tabs>
          <w:tab w:val="left" w:pos="1450"/>
        </w:tabs>
        <w:adjustRightInd w:val="0"/>
        <w:snapToGrid w:val="0"/>
        <w:spacing w:line="324" w:lineRule="auto"/>
        <w:ind w:left="284" w:right="328" w:firstLine="556" w:firstLineChars="238"/>
        <w:jc w:val="both"/>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3.3.3</w:t>
      </w:r>
      <w:r>
        <w:rPr>
          <w:rFonts w:ascii="Times New Roman" w:cs="Times New Roman"/>
          <w:color w:val="auto"/>
          <w:sz w:val="24"/>
          <w:highlight w:val="none"/>
        </w:rPr>
        <w:t>出现特殊情况需要延长投标有效期的，招标人以书面形式通知所有投标人</w:t>
      </w:r>
      <w:r>
        <w:rPr>
          <w:rFonts w:ascii="Times New Roman" w:cs="Times New Roman"/>
          <w:color w:val="auto"/>
          <w:spacing w:val="-8"/>
          <w:sz w:val="24"/>
          <w:highlight w:val="none"/>
        </w:rPr>
        <w:t>延长投标有效期。投标人应予以书面答复，同意延长的，应相应延长其投标保证金的</w:t>
      </w:r>
      <w:r>
        <w:rPr>
          <w:rFonts w:ascii="Times New Roman" w:cs="Times New Roman"/>
          <w:color w:val="auto"/>
          <w:spacing w:val="-11"/>
          <w:sz w:val="24"/>
          <w:highlight w:val="none"/>
        </w:rPr>
        <w:t>有效期，但不得要求或被允许修改其投标文件；投标人拒绝延长的，其投标失效，但</w:t>
      </w:r>
      <w:r>
        <w:rPr>
          <w:rFonts w:ascii="Times New Roman" w:cs="Times New Roman"/>
          <w:color w:val="auto"/>
          <w:sz w:val="24"/>
          <w:highlight w:val="none"/>
        </w:rPr>
        <w:t>投标人有权收回其投标保证金及以现金或支票形式递交的投标保证金的银行同期活期存款利息。</w:t>
      </w:r>
    </w:p>
    <w:p>
      <w:pPr>
        <w:pStyle w:val="86"/>
        <w:numPr>
          <w:ilvl w:val="1"/>
          <w:numId w:val="2"/>
        </w:numPr>
        <w:tabs>
          <w:tab w:val="left" w:pos="910"/>
        </w:tabs>
        <w:adjustRightInd w:val="0"/>
        <w:snapToGrid w:val="0"/>
        <w:spacing w:line="324" w:lineRule="auto"/>
        <w:ind w:left="909" w:hanging="540"/>
        <w:rPr>
          <w:rFonts w:ascii="黑体" w:eastAsia="黑体"/>
          <w:color w:val="auto"/>
          <w:sz w:val="24"/>
          <w:highlight w:val="none"/>
        </w:rPr>
      </w:pPr>
      <w:bookmarkStart w:id="239" w:name="_bookmark51"/>
      <w:bookmarkEnd w:id="239"/>
      <w:r>
        <w:rPr>
          <w:rFonts w:hint="eastAsia" w:ascii="黑体" w:eastAsia="黑体"/>
          <w:color w:val="auto"/>
          <w:sz w:val="24"/>
          <w:highlight w:val="none"/>
        </w:rPr>
        <w:t>投标保证金</w:t>
      </w:r>
    </w:p>
    <w:p>
      <w:pPr>
        <w:keepNext w:val="0"/>
        <w:keepLines w:val="0"/>
        <w:pageBreakBefore w:val="0"/>
        <w:widowControl w:val="0"/>
        <w:tabs>
          <w:tab w:val="left" w:pos="1450"/>
        </w:tabs>
        <w:kinsoku/>
        <w:wordWrap/>
        <w:overflowPunct/>
        <w:topLinePunct w:val="0"/>
        <w:autoSpaceDE w:val="0"/>
        <w:autoSpaceDN w:val="0"/>
        <w:bidi w:val="0"/>
        <w:adjustRightInd/>
        <w:snapToGrid/>
        <w:spacing w:line="300" w:lineRule="auto"/>
        <w:ind w:left="284" w:right="324" w:firstLine="556" w:firstLineChars="238"/>
        <w:jc w:val="both"/>
        <w:textAlignment w:val="auto"/>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3.4.1</w:t>
      </w:r>
      <w:r>
        <w:rPr>
          <w:rFonts w:ascii="Times New Roman" w:cs="Times New Roman"/>
          <w:color w:val="auto"/>
          <w:spacing w:val="-7"/>
          <w:sz w:val="24"/>
          <w:highlight w:val="none"/>
        </w:rPr>
        <w:t>投标人在递交投标文件的同时，应按投标人须知前附表规定的金额</w:t>
      </w:r>
      <w:r>
        <w:rPr>
          <w:rFonts w:ascii="Times New Roman" w:cs="Times New Roman"/>
          <w:color w:val="auto"/>
          <w:sz w:val="24"/>
          <w:highlight w:val="none"/>
        </w:rPr>
        <w:t>和第九章</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投标文件格式</w:t>
      </w:r>
      <w:r>
        <w:rPr>
          <w:rFonts w:ascii="Times New Roman" w:hAnsi="Times New Roman" w:eastAsia="Times New Roman" w:cs="Times New Roman"/>
          <w:color w:val="auto"/>
          <w:sz w:val="24"/>
          <w:highlight w:val="none"/>
        </w:rPr>
        <w:t>”</w:t>
      </w:r>
      <w:r>
        <w:rPr>
          <w:rFonts w:ascii="Times New Roman" w:cs="Times New Roman"/>
          <w:color w:val="auto"/>
          <w:spacing w:val="-4"/>
          <w:sz w:val="24"/>
          <w:highlight w:val="none"/>
        </w:rPr>
        <w:t>规定的投标保证金格式递交投标保证金，并作为其投标文件的组成</w:t>
      </w:r>
      <w:r>
        <w:rPr>
          <w:rFonts w:ascii="Times New Roman" w:cs="Times New Roman"/>
          <w:color w:val="auto"/>
          <w:spacing w:val="-11"/>
          <w:sz w:val="24"/>
          <w:highlight w:val="none"/>
        </w:rPr>
        <w:t>部分。联合体投标的，其投标保证金由牵头人递交，并应符合投标人须知前附表的规定。</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369" w:right="324" w:firstLine="479"/>
        <w:jc w:val="both"/>
        <w:textAlignment w:val="auto"/>
        <w:rPr>
          <w:rFonts w:ascii="Times New Roman" w:hAnsi="Times New Roman" w:cs="Times New Roman"/>
          <w:color w:val="auto"/>
          <w:highlight w:val="none"/>
        </w:rPr>
      </w:pPr>
      <w:r>
        <w:rPr>
          <w:rFonts w:ascii="Times New Roman" w:cs="Times New Roman"/>
          <w:color w:val="auto"/>
          <w:spacing w:val="-8"/>
          <w:highlight w:val="none"/>
        </w:rPr>
        <w:t>投标保证金应采用现金、支票、银行保函或招标人在投标人须知前附表规定的其他形式。</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369" w:right="324" w:firstLine="360"/>
        <w:jc w:val="both"/>
        <w:textAlignment w:val="auto"/>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1</w:t>
      </w:r>
      <w:r>
        <w:rPr>
          <w:rFonts w:ascii="Times New Roman" w:cs="Times New Roman"/>
          <w:color w:val="auto"/>
          <w:spacing w:val="-11"/>
          <w:highlight w:val="none"/>
        </w:rPr>
        <w:t>）</w:t>
      </w:r>
      <w:r>
        <w:rPr>
          <w:rFonts w:ascii="Times New Roman" w:cs="Times New Roman"/>
          <w:color w:val="auto"/>
          <w:spacing w:val="-6"/>
          <w:highlight w:val="none"/>
        </w:rPr>
        <w:t>若采用现金或支票，投标人应在递交投标文件截止时间之前，将投标保证金</w:t>
      </w:r>
      <w:r>
        <w:rPr>
          <w:rFonts w:ascii="Times New Roman" w:cs="Times New Roman"/>
          <w:color w:val="auto"/>
          <w:spacing w:val="-11"/>
          <w:highlight w:val="none"/>
        </w:rPr>
        <w:t>由投标人的基本账户转入招标人指定账户，否则视为投标保证金无效。招标人指定的开户银行及账号见投标人须知前附表。</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369" w:right="324" w:firstLine="360"/>
        <w:jc w:val="both"/>
        <w:textAlignment w:val="auto"/>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2</w:t>
      </w:r>
      <w:r>
        <w:rPr>
          <w:rFonts w:ascii="Times New Roman" w:cs="Times New Roman"/>
          <w:color w:val="auto"/>
          <w:spacing w:val="-11"/>
          <w:highlight w:val="none"/>
        </w:rPr>
        <w:t>）</w:t>
      </w:r>
      <w:r>
        <w:rPr>
          <w:rFonts w:ascii="Times New Roman" w:cs="Times New Roman"/>
          <w:color w:val="auto"/>
          <w:spacing w:val="-5"/>
          <w:highlight w:val="none"/>
        </w:rPr>
        <w:t>若采用银行保函，则应由符合投标人须知前附表规定级别的银行开具，并采</w:t>
      </w:r>
      <w:r>
        <w:rPr>
          <w:rFonts w:ascii="Times New Roman" w:cs="Times New Roman"/>
          <w:color w:val="auto"/>
          <w:spacing w:val="-11"/>
          <w:highlight w:val="none"/>
        </w:rPr>
        <w:t>用招标文件提供的格式。银行保函复印件装订在投标文件内，原件应在递交投标文件截止时间之前单独密封递交给招标人。</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369" w:right="325" w:firstLine="479"/>
        <w:jc w:val="both"/>
        <w:textAlignment w:val="auto"/>
        <w:rPr>
          <w:rFonts w:ascii="Times New Roman" w:hAnsi="Times New Roman" w:cs="Times New Roman"/>
          <w:color w:val="auto"/>
          <w:highlight w:val="none"/>
        </w:rPr>
      </w:pPr>
      <w:r>
        <w:rPr>
          <w:rFonts w:ascii="Times New Roman" w:cs="Times New Roman"/>
          <w:color w:val="auto"/>
          <w:spacing w:val="-6"/>
          <w:highlight w:val="none"/>
        </w:rPr>
        <w:t>无论采取何种形式的投标保证金，投标保证金有效期均应与投标有效期一致。招</w:t>
      </w:r>
      <w:r>
        <w:rPr>
          <w:rFonts w:ascii="Times New Roman" w:cs="Times New Roman"/>
          <w:color w:val="auto"/>
          <w:spacing w:val="-11"/>
          <w:highlight w:val="none"/>
        </w:rPr>
        <w:t>标人如果按本章第</w:t>
      </w:r>
      <w:r>
        <w:rPr>
          <w:rFonts w:ascii="Times New Roman" w:hAnsi="Times New Roman" w:eastAsia="Times New Roman" w:cs="Times New Roman"/>
          <w:color w:val="auto"/>
          <w:highlight w:val="none"/>
        </w:rPr>
        <w:t xml:space="preserve">3.3.3 </w:t>
      </w:r>
      <w:r>
        <w:rPr>
          <w:rFonts w:ascii="Times New Roman" w:cs="Times New Roman"/>
          <w:color w:val="auto"/>
          <w:highlight w:val="none"/>
        </w:rPr>
        <w:t>项的规定延长了投标有效期，则投标保证金的有效期也相应延长。</w:t>
      </w:r>
    </w:p>
    <w:p>
      <w:pPr>
        <w:keepNext w:val="0"/>
        <w:keepLines w:val="0"/>
        <w:pageBreakBefore w:val="0"/>
        <w:widowControl w:val="0"/>
        <w:tabs>
          <w:tab w:val="left" w:pos="1450"/>
        </w:tabs>
        <w:kinsoku/>
        <w:wordWrap/>
        <w:overflowPunct/>
        <w:topLinePunct w:val="0"/>
        <w:autoSpaceDE w:val="0"/>
        <w:autoSpaceDN w:val="0"/>
        <w:bidi w:val="0"/>
        <w:adjustRightInd/>
        <w:snapToGrid/>
        <w:spacing w:line="300" w:lineRule="auto"/>
        <w:ind w:left="426" w:right="325" w:firstLine="416" w:firstLineChars="178"/>
        <w:jc w:val="both"/>
        <w:textAlignment w:val="auto"/>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3.4.2</w:t>
      </w:r>
      <w:r>
        <w:rPr>
          <w:rFonts w:ascii="Times New Roman" w:cs="Times New Roman"/>
          <w:color w:val="auto"/>
          <w:spacing w:val="-7"/>
          <w:sz w:val="24"/>
          <w:highlight w:val="none"/>
        </w:rPr>
        <w:t>投标人不按本章第</w:t>
      </w:r>
      <w:r>
        <w:rPr>
          <w:rFonts w:ascii="Times New Roman" w:hAnsi="Times New Roman" w:eastAsia="Times New Roman" w:cs="Times New Roman"/>
          <w:color w:val="auto"/>
          <w:sz w:val="24"/>
          <w:highlight w:val="none"/>
        </w:rPr>
        <w:t xml:space="preserve">3.4.1 </w:t>
      </w:r>
      <w:r>
        <w:rPr>
          <w:rFonts w:ascii="Times New Roman" w:cs="Times New Roman"/>
          <w:color w:val="auto"/>
          <w:spacing w:val="-8"/>
          <w:sz w:val="24"/>
          <w:highlight w:val="none"/>
        </w:rPr>
        <w:t>项要求提交投标保证金的，评标委员会将否决其投标。</w:t>
      </w:r>
    </w:p>
    <w:p>
      <w:pPr>
        <w:keepNext w:val="0"/>
        <w:keepLines w:val="0"/>
        <w:pageBreakBefore w:val="0"/>
        <w:widowControl w:val="0"/>
        <w:tabs>
          <w:tab w:val="left" w:pos="1450"/>
        </w:tabs>
        <w:kinsoku/>
        <w:wordWrap/>
        <w:overflowPunct/>
        <w:topLinePunct w:val="0"/>
        <w:autoSpaceDE w:val="0"/>
        <w:autoSpaceDN w:val="0"/>
        <w:bidi w:val="0"/>
        <w:adjustRightInd/>
        <w:snapToGrid/>
        <w:spacing w:line="300" w:lineRule="auto"/>
        <w:ind w:left="426" w:right="325" w:firstLine="416" w:firstLineChars="178"/>
        <w:jc w:val="both"/>
        <w:textAlignment w:val="auto"/>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3.4.3</w:t>
      </w:r>
      <w:r>
        <w:rPr>
          <w:rFonts w:ascii="Times New Roman" w:cs="Times New Roman"/>
          <w:color w:val="auto"/>
          <w:spacing w:val="-3"/>
          <w:sz w:val="24"/>
          <w:highlight w:val="none"/>
        </w:rPr>
        <w:t>招标人最迟将在中标通知书发出后</w:t>
      </w:r>
      <w:r>
        <w:rPr>
          <w:rFonts w:ascii="Times New Roman" w:hAnsi="Times New Roman" w:eastAsia="Times New Roman" w:cs="Times New Roman"/>
          <w:color w:val="auto"/>
          <w:sz w:val="24"/>
          <w:highlight w:val="none"/>
        </w:rPr>
        <w:t>5</w:t>
      </w:r>
      <w:r>
        <w:rPr>
          <w:rFonts w:ascii="Times New Roman" w:cs="Times New Roman"/>
          <w:color w:val="auto"/>
          <w:sz w:val="24"/>
          <w:highlight w:val="none"/>
        </w:rPr>
        <w:t>日内向中标候选人以外的其他投标人</w:t>
      </w:r>
      <w:r>
        <w:rPr>
          <w:rFonts w:ascii="Times New Roman" w:cs="Times New Roman"/>
          <w:color w:val="auto"/>
          <w:spacing w:val="-13"/>
          <w:sz w:val="24"/>
          <w:highlight w:val="none"/>
        </w:rPr>
        <w:t>退还投标保证金，与中标人签订合同后</w:t>
      </w:r>
      <w:r>
        <w:rPr>
          <w:rFonts w:ascii="Times New Roman" w:hAnsi="Times New Roman" w:eastAsia="Times New Roman" w:cs="Times New Roman"/>
          <w:color w:val="auto"/>
          <w:sz w:val="24"/>
          <w:highlight w:val="none"/>
        </w:rPr>
        <w:t xml:space="preserve">5 </w:t>
      </w:r>
      <w:r>
        <w:rPr>
          <w:rFonts w:ascii="Times New Roman" w:cs="Times New Roman"/>
          <w:color w:val="auto"/>
          <w:sz w:val="24"/>
          <w:highlight w:val="none"/>
        </w:rPr>
        <w:t>日内向中标人和其他中标候选人退还投标保</w:t>
      </w:r>
      <w:r>
        <w:rPr>
          <w:rFonts w:ascii="Times New Roman" w:cs="Times New Roman"/>
          <w:color w:val="auto"/>
          <w:spacing w:val="-9"/>
          <w:sz w:val="24"/>
          <w:highlight w:val="none"/>
        </w:rPr>
        <w:t>证金。投标保证金以现金或支票形式递交的，招标人应同时退还投标保证金的银行同期活期存款利息，且退还至投标人的基本账户。</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849"/>
        <w:textAlignment w:val="auto"/>
        <w:rPr>
          <w:rFonts w:ascii="Times New Roman" w:hAnsi="Times New Roman" w:cs="Times New Roman"/>
          <w:color w:val="auto"/>
          <w:highlight w:val="none"/>
        </w:rPr>
      </w:pPr>
      <w:r>
        <w:rPr>
          <w:rFonts w:ascii="Times New Roman" w:cs="Times New Roman"/>
          <w:color w:val="auto"/>
          <w:highlight w:val="none"/>
        </w:rPr>
        <w:t>利息计算原则见投标人须知前附表。</w:t>
      </w:r>
    </w:p>
    <w:p>
      <w:pPr>
        <w:keepNext w:val="0"/>
        <w:keepLines w:val="0"/>
        <w:pageBreakBefore w:val="0"/>
        <w:widowControl w:val="0"/>
        <w:tabs>
          <w:tab w:val="left" w:pos="1450"/>
        </w:tabs>
        <w:kinsoku/>
        <w:wordWrap/>
        <w:overflowPunct/>
        <w:topLinePunct w:val="0"/>
        <w:autoSpaceDE w:val="0"/>
        <w:autoSpaceDN w:val="0"/>
        <w:bidi w:val="0"/>
        <w:adjustRightInd/>
        <w:snapToGrid/>
        <w:spacing w:line="300" w:lineRule="auto"/>
        <w:ind w:left="849"/>
        <w:textAlignment w:val="auto"/>
        <w:rPr>
          <w:rFonts w:ascii="Times New Roman" w:hAnsi="Times New Roman" w:cs="Times New Roman"/>
          <w:color w:val="auto"/>
          <w:sz w:val="24"/>
          <w:highlight w:val="none"/>
        </w:rPr>
      </w:pPr>
      <w:r>
        <w:rPr>
          <w:rFonts w:ascii="Times New Roman" w:hAnsi="Times New Roman" w:cs="Times New Roman"/>
          <w:color w:val="auto"/>
          <w:spacing w:val="-3"/>
          <w:sz w:val="24"/>
          <w:highlight w:val="none"/>
        </w:rPr>
        <w:t>3.4.4</w:t>
      </w:r>
      <w:r>
        <w:rPr>
          <w:rFonts w:ascii="Times New Roman" w:cs="Times New Roman"/>
          <w:color w:val="auto"/>
          <w:sz w:val="24"/>
          <w:highlight w:val="none"/>
        </w:rPr>
        <w:t>有下列情形之一的，投标保证金将不予退还：</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）投标人在投标有效期内撤销投标文件；</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369" w:right="327" w:firstLine="360"/>
        <w:textAlignment w:val="auto"/>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2</w:t>
      </w:r>
      <w:r>
        <w:rPr>
          <w:rFonts w:ascii="Times New Roman" w:cs="Times New Roman"/>
          <w:color w:val="auto"/>
          <w:spacing w:val="-11"/>
          <w:highlight w:val="none"/>
        </w:rPr>
        <w:t>）</w:t>
      </w:r>
      <w:r>
        <w:rPr>
          <w:rFonts w:ascii="Times New Roman" w:cs="Times New Roman"/>
          <w:color w:val="auto"/>
          <w:spacing w:val="-5"/>
          <w:highlight w:val="none"/>
        </w:rPr>
        <w:t>中标人在收到中标通知书后，无正当理由不与招标人订立合同，在签订合同时向招标人提出附加条件，或不按照招标文件要求提交履约保证金；</w:t>
      </w:r>
    </w:p>
    <w:p>
      <w:pPr>
        <w:pStyle w:val="20"/>
        <w:keepNext w:val="0"/>
        <w:keepLines w:val="0"/>
        <w:pageBreakBefore w:val="0"/>
        <w:widowControl w:val="0"/>
        <w:kinsoku/>
        <w:wordWrap/>
        <w:overflowPunct/>
        <w:topLinePunct w:val="0"/>
        <w:autoSpaceDE w:val="0"/>
        <w:autoSpaceDN w:val="0"/>
        <w:bidi w:val="0"/>
        <w:adjustRightInd/>
        <w:snapToGrid/>
        <w:spacing w:line="300" w:lineRule="auto"/>
        <w:ind w:left="729"/>
        <w:textAlignment w:val="auto"/>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）发生投标人须知前附表规定的其他可以不予退还投标保证金的情形。</w:t>
      </w:r>
    </w:p>
    <w:p>
      <w:pPr>
        <w:pStyle w:val="86"/>
        <w:keepNext w:val="0"/>
        <w:keepLines w:val="0"/>
        <w:pageBreakBefore w:val="0"/>
        <w:widowControl w:val="0"/>
        <w:numPr>
          <w:ilvl w:val="1"/>
          <w:numId w:val="4"/>
        </w:numPr>
        <w:tabs>
          <w:tab w:val="left" w:pos="910"/>
        </w:tabs>
        <w:kinsoku/>
        <w:wordWrap/>
        <w:overflowPunct/>
        <w:topLinePunct w:val="0"/>
        <w:autoSpaceDE w:val="0"/>
        <w:autoSpaceDN w:val="0"/>
        <w:bidi w:val="0"/>
        <w:adjustRightInd/>
        <w:snapToGrid/>
        <w:spacing w:line="300" w:lineRule="auto"/>
        <w:textAlignment w:val="auto"/>
        <w:rPr>
          <w:rFonts w:ascii="黑体" w:eastAsia="黑体"/>
          <w:color w:val="auto"/>
          <w:sz w:val="24"/>
          <w:highlight w:val="none"/>
        </w:rPr>
      </w:pPr>
      <w:bookmarkStart w:id="240" w:name="_bookmark52"/>
      <w:bookmarkEnd w:id="240"/>
      <w:bookmarkStart w:id="241" w:name="_bookmark53"/>
      <w:bookmarkEnd w:id="241"/>
      <w:r>
        <w:rPr>
          <w:rFonts w:hint="eastAsia" w:ascii="黑体" w:eastAsia="黑体"/>
          <w:color w:val="auto"/>
          <w:sz w:val="24"/>
          <w:highlight w:val="none"/>
        </w:rPr>
        <w:t>资格审查资料（适用于未进行资格预审的）</w:t>
      </w:r>
    </w:p>
    <w:p>
      <w:pPr>
        <w:keepNext w:val="0"/>
        <w:keepLines w:val="0"/>
        <w:pageBreakBefore w:val="0"/>
        <w:widowControl w:val="0"/>
        <w:kinsoku/>
        <w:wordWrap/>
        <w:overflowPunct/>
        <w:topLinePunct w:val="0"/>
        <w:autoSpaceDE w:val="0"/>
        <w:autoSpaceDN w:val="0"/>
        <w:bidi w:val="0"/>
        <w:adjustRightInd/>
        <w:snapToGrid/>
        <w:spacing w:line="300" w:lineRule="auto"/>
        <w:ind w:left="480" w:leftChars="218" w:firstLine="540" w:firstLineChars="225"/>
        <w:textAlignment w:val="auto"/>
        <w:rPr>
          <w:color w:val="auto"/>
          <w:sz w:val="24"/>
          <w:highlight w:val="none"/>
        </w:rPr>
      </w:pPr>
      <w:r>
        <w:rPr>
          <w:rFonts w:hint="eastAsia"/>
          <w:color w:val="auto"/>
          <w:sz w:val="24"/>
          <w:highlight w:val="none"/>
        </w:rPr>
        <w:t>除投标人须知前附表另有规定外，投标人应按下列规定提供资格审查资料，以证明其满足本章第1.4款规定的资质、财务、业绩、信誉等要求。</w:t>
      </w:r>
    </w:p>
    <w:p>
      <w:pPr>
        <w:keepNext w:val="0"/>
        <w:keepLines w:val="0"/>
        <w:pageBreakBefore w:val="0"/>
        <w:widowControl w:val="0"/>
        <w:kinsoku/>
        <w:wordWrap/>
        <w:overflowPunct/>
        <w:topLinePunct w:val="0"/>
        <w:autoSpaceDE w:val="0"/>
        <w:autoSpaceDN w:val="0"/>
        <w:bidi w:val="0"/>
        <w:adjustRightInd/>
        <w:snapToGrid/>
        <w:spacing w:line="300" w:lineRule="auto"/>
        <w:ind w:left="480" w:leftChars="218" w:firstLine="526" w:firstLineChars="225"/>
        <w:textAlignment w:val="auto"/>
        <w:rPr>
          <w:color w:val="auto"/>
          <w:sz w:val="24"/>
          <w:highlight w:val="none"/>
        </w:rPr>
      </w:pPr>
      <w:r>
        <w:rPr>
          <w:rFonts w:hint="eastAsia" w:ascii="Times New Roman" w:hAnsi="Times New Roman" w:cs="Times New Roman"/>
          <w:color w:val="auto"/>
          <w:spacing w:val="-3"/>
          <w:sz w:val="24"/>
          <w:highlight w:val="none"/>
        </w:rPr>
        <w:t>3.5.1</w:t>
      </w:r>
      <w:r>
        <w:rPr>
          <w:color w:val="auto"/>
          <w:sz w:val="24"/>
          <w:highlight w:val="none"/>
        </w:rPr>
        <w:t>“投标人基本情况表”应附企业法人营业执照副本</w:t>
      </w:r>
      <w:r>
        <w:rPr>
          <w:rFonts w:hint="eastAsia"/>
          <w:color w:val="auto"/>
          <w:sz w:val="24"/>
          <w:highlight w:val="none"/>
        </w:rPr>
        <w:t>和组织机构代码证副本（按照“三证合一”或“五证合一”登记制度进行登记的，可仅提供营业执照副本，下同）</w:t>
      </w:r>
      <w:r>
        <w:rPr>
          <w:color w:val="auto"/>
          <w:sz w:val="24"/>
          <w:highlight w:val="none"/>
        </w:rPr>
        <w:t>、施工资质证书副本、安全生产许可证副本、基本账户开户许可证的复印件</w:t>
      </w:r>
      <w:r>
        <w:rPr>
          <w:rStyle w:val="55"/>
          <w:color w:val="auto"/>
          <w:sz w:val="24"/>
          <w:highlight w:val="none"/>
        </w:rPr>
        <w:footnoteReference w:id="1"/>
      </w:r>
      <w:r>
        <w:rPr>
          <w:rFonts w:hint="eastAsia"/>
          <w:color w:val="auto"/>
          <w:sz w:val="24"/>
          <w:highlight w:val="none"/>
        </w:rPr>
        <w:t>，投标人在交通运输部“全国公路建设市场信用信息管理系统”公路工程施工资质企业名录中的网页截图复印件，投标人在全国企业信用信息公示系统中基础信息（体现股东及出资详细信息）的网页</w:t>
      </w:r>
      <w:r>
        <w:rPr>
          <w:rFonts w:hint="eastAsia"/>
          <w:color w:val="auto"/>
          <w:sz w:val="24"/>
          <w:highlight w:val="none"/>
          <w:lang w:val="en-US"/>
        </w:rPr>
        <w:t>截图</w:t>
      </w:r>
      <w:r>
        <w:rPr>
          <w:rFonts w:hint="eastAsia"/>
          <w:color w:val="auto"/>
          <w:sz w:val="24"/>
          <w:highlight w:val="none"/>
        </w:rPr>
        <w:t>或由法定的社会验资机构出具的验资报告或注册地工商部门出具的股东出资情况证明复印件。</w:t>
      </w:r>
    </w:p>
    <w:p>
      <w:pPr>
        <w:spacing w:line="360" w:lineRule="auto"/>
        <w:ind w:left="480" w:leftChars="218" w:firstLine="60" w:firstLineChars="25"/>
        <w:rPr>
          <w:color w:val="auto"/>
          <w:sz w:val="24"/>
          <w:highlight w:val="none"/>
        </w:rPr>
      </w:pPr>
      <w:r>
        <w:rPr>
          <w:color w:val="auto"/>
          <w:sz w:val="24"/>
          <w:highlight w:val="none"/>
        </w:rPr>
        <w:t xml:space="preserve"> </w:t>
      </w:r>
      <w:r>
        <w:rPr>
          <w:rFonts w:hint="eastAsia"/>
          <w:color w:val="auto"/>
          <w:sz w:val="24"/>
          <w:highlight w:val="none"/>
          <w:lang w:val="en-US"/>
        </w:rPr>
        <w:t xml:space="preserve">  </w:t>
      </w:r>
      <w:r>
        <w:rPr>
          <w:rFonts w:hint="eastAsia"/>
          <w:color w:val="auto"/>
          <w:sz w:val="24"/>
          <w:highlight w:val="none"/>
        </w:rPr>
        <w:t>企业法人营业执照副本和组织机构代码证副本、施工资质证书副本、安全生产许可证副本、基本帐户开户许可证的复印件应提供全本（证书封面、封底、空白页除外），应包括投标人名称、投标人其他相关信息、颁发机构名称、投标人信息变更情况等关键页在内，并逐页加盖投标人单位章。</w:t>
      </w:r>
    </w:p>
    <w:p>
      <w:pPr>
        <w:spacing w:line="360" w:lineRule="auto"/>
        <w:ind w:left="480" w:leftChars="218" w:firstLine="468" w:firstLineChars="200"/>
        <w:rPr>
          <w:color w:val="auto"/>
          <w:sz w:val="24"/>
          <w:highlight w:val="none"/>
        </w:rPr>
      </w:pPr>
      <w:r>
        <w:rPr>
          <w:rFonts w:hint="eastAsia" w:ascii="Times New Roman" w:hAnsi="Times New Roman" w:cs="Times New Roman"/>
          <w:color w:val="auto"/>
          <w:spacing w:val="-3"/>
          <w:sz w:val="24"/>
          <w:highlight w:val="none"/>
        </w:rPr>
        <w:t>3.5.2</w:t>
      </w:r>
      <w:r>
        <w:rPr>
          <w:rFonts w:hint="eastAsia"/>
          <w:color w:val="auto"/>
          <w:sz w:val="24"/>
          <w:highlight w:val="non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left="480" w:leftChars="218" w:firstLine="468" w:firstLineChars="200"/>
        <w:rPr>
          <w:color w:val="auto"/>
          <w:sz w:val="24"/>
          <w:highlight w:val="none"/>
        </w:rPr>
      </w:pPr>
      <w:r>
        <w:rPr>
          <w:rFonts w:hint="eastAsia" w:ascii="Times New Roman" w:hAnsi="Times New Roman" w:cs="Times New Roman"/>
          <w:color w:val="auto"/>
          <w:spacing w:val="-3"/>
          <w:sz w:val="24"/>
          <w:highlight w:val="none"/>
        </w:rPr>
        <w:t xml:space="preserve">3.5.3 </w:t>
      </w:r>
      <w:r>
        <w:rPr>
          <w:color w:val="auto"/>
          <w:sz w:val="24"/>
          <w:highlight w:val="none"/>
        </w:rPr>
        <w:t>“近年完成的类似项目情况表” 应附在交通运输部“公路建设市场信用信息管理系统”</w:t>
      </w:r>
      <w:r>
        <w:rPr>
          <w:rFonts w:hint="eastAsia"/>
          <w:color w:val="auto"/>
          <w:sz w:val="24"/>
          <w:highlight w:val="none"/>
        </w:rPr>
        <w:t>并公开的主包已建业绩或分包已建业绩，具体时间要求见投标人须知前附表。</w:t>
      </w:r>
    </w:p>
    <w:p>
      <w:pPr>
        <w:spacing w:line="360" w:lineRule="auto"/>
        <w:ind w:left="480" w:leftChars="218" w:firstLine="480" w:firstLineChars="200"/>
        <w:rPr>
          <w:color w:val="auto"/>
          <w:sz w:val="24"/>
          <w:highlight w:val="none"/>
        </w:rPr>
      </w:pPr>
      <w:r>
        <w:rPr>
          <w:color w:val="auto"/>
          <w:sz w:val="24"/>
          <w:highlight w:val="none"/>
        </w:rPr>
        <w:t>“近年完成的类似项目</w:t>
      </w:r>
      <w:r>
        <w:rPr>
          <w:rFonts w:hint="eastAsia"/>
          <w:color w:val="auto"/>
          <w:sz w:val="24"/>
          <w:highlight w:val="none"/>
        </w:rPr>
        <w:t>情况表</w:t>
      </w:r>
      <w:r>
        <w:rPr>
          <w:color w:val="auto"/>
          <w:sz w:val="24"/>
          <w:highlight w:val="none"/>
        </w:rPr>
        <w:t>”应</w:t>
      </w:r>
      <w:r>
        <w:rPr>
          <w:rFonts w:hint="eastAsia"/>
          <w:color w:val="auto"/>
          <w:sz w:val="24"/>
          <w:highlight w:val="none"/>
        </w:rPr>
        <w:t>附在</w:t>
      </w:r>
      <w:r>
        <w:rPr>
          <w:color w:val="auto"/>
          <w:sz w:val="24"/>
          <w:highlight w:val="none"/>
        </w:rPr>
        <w:t>交通运输部“全国公路建设市场信用信息管理系统”</w:t>
      </w:r>
      <w:r>
        <w:rPr>
          <w:rFonts w:hint="eastAsia"/>
          <w:color w:val="auto"/>
          <w:sz w:val="24"/>
          <w:highlight w:val="none"/>
        </w:rPr>
        <w:t>（网址：http://glxy.mot.gov.cn/BM/）中查询到的企业“业绩信息”相关项目网页截图复印件，即包括“项目名称”、“标段类型”、“合同价”、“主要工程量”、“项目主要管理人员”等栏目在内的项目详细信息网页截图复印件。在交通运输部“</w:t>
      </w:r>
      <w:r>
        <w:rPr>
          <w:color w:val="auto"/>
          <w:sz w:val="24"/>
          <w:highlight w:val="none"/>
        </w:rPr>
        <w:t>全国公路建设市场信用信息管理系统</w:t>
      </w:r>
      <w:r>
        <w:rPr>
          <w:rFonts w:hint="eastAsia"/>
          <w:color w:val="auto"/>
          <w:sz w:val="24"/>
          <w:highlight w:val="none"/>
        </w:rPr>
        <w:t>”中无法查询，但要在省级交通运输主管部门“公路建设市场信用信息管理系统”中查询的，应附省级交通运输主管部门“公路建设市场信用信息管理系统”中查询到的网页截图复印件。除网页截图复印件外，投标人无需在提供任何业绩证明材料。</w:t>
      </w:r>
    </w:p>
    <w:p>
      <w:pPr>
        <w:spacing w:line="360" w:lineRule="auto"/>
        <w:ind w:left="480" w:leftChars="218" w:firstLine="480" w:firstLineChars="200"/>
        <w:rPr>
          <w:color w:val="auto"/>
          <w:sz w:val="24"/>
          <w:highlight w:val="none"/>
        </w:rPr>
      </w:pPr>
      <w:r>
        <w:rPr>
          <w:rFonts w:hint="eastAsia"/>
          <w:color w:val="auto"/>
          <w:sz w:val="24"/>
          <w:highlight w:val="none"/>
        </w:rPr>
        <w:t>如投标人未提供相关项目网页截图复印件或相关项目网页截图中的信息无法证实投标人满足招标文件规定的资格审查条件（业绩最低要求），则该项目业绩不予认定。</w:t>
      </w:r>
    </w:p>
    <w:p>
      <w:pPr>
        <w:spacing w:line="360" w:lineRule="auto"/>
        <w:ind w:left="480" w:leftChars="218" w:firstLine="526" w:firstLineChars="225"/>
        <w:rPr>
          <w:color w:val="auto"/>
          <w:sz w:val="24"/>
          <w:szCs w:val="24"/>
          <w:highlight w:val="none"/>
        </w:rPr>
      </w:pPr>
      <w:r>
        <w:rPr>
          <w:rFonts w:hint="eastAsia"/>
          <w:color w:val="auto"/>
          <w:spacing w:val="-3"/>
          <w:sz w:val="24"/>
          <w:szCs w:val="24"/>
          <w:highlight w:val="none"/>
        </w:rPr>
        <w:t>3.5.4</w:t>
      </w:r>
      <w:r>
        <w:rPr>
          <w:rFonts w:hint="eastAsia"/>
          <w:color w:val="auto"/>
          <w:sz w:val="24"/>
          <w:szCs w:val="24"/>
          <w:highlight w:val="none"/>
        </w:rPr>
        <w:t>“投标人的信誉情况”应附投标人在全国企业信用信息公示系统中未被列入严重违法失信企业名单、在“信用中国”网站中未被列入失信被执行人名单的网页截图复印件，通过辽宁省社会信用体系建设领导小组办公室认定的备案信用中介机构核发的信用报告</w:t>
      </w:r>
      <w:r>
        <w:rPr>
          <w:rFonts w:hint="eastAsia"/>
          <w:color w:val="auto"/>
          <w:sz w:val="24"/>
          <w:szCs w:val="24"/>
          <w:highlight w:val="none"/>
          <w:lang w:val="en-US"/>
        </w:rPr>
        <w:t>复印件</w:t>
      </w:r>
      <w:r>
        <w:rPr>
          <w:rFonts w:hint="eastAsia"/>
          <w:color w:val="auto"/>
          <w:sz w:val="24"/>
          <w:szCs w:val="24"/>
          <w:highlight w:val="none"/>
        </w:rPr>
        <w:t>或</w:t>
      </w:r>
      <w:r>
        <w:rPr>
          <w:rFonts w:hint="eastAsia"/>
          <w:color w:val="auto"/>
          <w:sz w:val="24"/>
          <w:szCs w:val="24"/>
          <w:highlight w:val="none"/>
          <w:lang w:val="en-US"/>
        </w:rPr>
        <w:t>通过</w:t>
      </w:r>
      <w:r>
        <w:rPr>
          <w:rFonts w:hint="eastAsia"/>
          <w:color w:val="auto"/>
          <w:sz w:val="24"/>
          <w:szCs w:val="24"/>
          <w:highlight w:val="none"/>
        </w:rPr>
        <w:t>“信用中国（辽宁）” （</w:t>
      </w:r>
      <w:r>
        <w:rPr>
          <w:color w:val="auto"/>
          <w:highlight w:val="none"/>
        </w:rPr>
        <w:fldChar w:fldCharType="begin"/>
      </w:r>
      <w:r>
        <w:rPr>
          <w:color w:val="auto"/>
          <w:highlight w:val="none"/>
        </w:rPr>
        <w:instrText xml:space="preserve"> HYPERLINK "http://www.xyln.net/" </w:instrText>
      </w:r>
      <w:r>
        <w:rPr>
          <w:color w:val="auto"/>
          <w:highlight w:val="none"/>
        </w:rPr>
        <w:fldChar w:fldCharType="separate"/>
      </w:r>
      <w:r>
        <w:rPr>
          <w:rFonts w:hint="eastAsia"/>
          <w:color w:val="auto"/>
          <w:sz w:val="24"/>
          <w:szCs w:val="24"/>
          <w:highlight w:val="none"/>
        </w:rPr>
        <w:t>www.xyln.net/</w:t>
      </w:r>
      <w:r>
        <w:rPr>
          <w:rFonts w:hint="eastAsia"/>
          <w:color w:val="auto"/>
          <w:sz w:val="24"/>
          <w:szCs w:val="24"/>
          <w:highlight w:val="none"/>
        </w:rPr>
        <w:fldChar w:fldCharType="end"/>
      </w:r>
      <w:r>
        <w:rPr>
          <w:rFonts w:hint="eastAsia"/>
          <w:color w:val="auto"/>
          <w:sz w:val="24"/>
          <w:szCs w:val="24"/>
          <w:highlight w:val="none"/>
        </w:rPr>
        <w:t>）及相关网站公示的企业信用报告</w:t>
      </w:r>
      <w:r>
        <w:rPr>
          <w:rFonts w:hint="eastAsia"/>
          <w:color w:val="auto"/>
          <w:sz w:val="24"/>
          <w:szCs w:val="24"/>
          <w:highlight w:val="none"/>
          <w:lang w:val="en-US"/>
        </w:rPr>
        <w:t>网页截图</w:t>
      </w:r>
      <w:r>
        <w:rPr>
          <w:rFonts w:hint="eastAsia"/>
          <w:color w:val="auto"/>
          <w:sz w:val="24"/>
          <w:szCs w:val="24"/>
          <w:highlight w:val="none"/>
        </w:rPr>
        <w:t>复印件（</w:t>
      </w:r>
      <w:r>
        <w:rPr>
          <w:rFonts w:hint="eastAsia"/>
          <w:color w:val="auto"/>
          <w:sz w:val="24"/>
          <w:szCs w:val="24"/>
          <w:highlight w:val="none"/>
          <w:lang w:val="en-US"/>
        </w:rPr>
        <w:t>应包括企业名称、企业信用等级、有效期、核发机构等关键页在内</w:t>
      </w:r>
      <w:r>
        <w:rPr>
          <w:rFonts w:hint="eastAsia"/>
          <w:color w:val="auto"/>
          <w:sz w:val="24"/>
          <w:szCs w:val="24"/>
          <w:highlight w:val="none"/>
        </w:rPr>
        <w:t>）。</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3.5.5</w:t>
      </w:r>
      <w:r>
        <w:rPr>
          <w:rFonts w:hint="eastAsia"/>
          <w:color w:val="auto"/>
          <w:sz w:val="24"/>
          <w:highlight w:val="none"/>
        </w:rPr>
        <w:t>“拟委任的项目经理和项目总工资历表”应附项目经理和项目总工的身份</w:t>
      </w:r>
      <w:r>
        <w:rPr>
          <w:rFonts w:hint="eastAsia"/>
          <w:color w:val="auto"/>
          <w:sz w:val="24"/>
          <w:highlight w:val="none"/>
          <w:lang w:val="en-US"/>
        </w:rPr>
        <w:t xml:space="preserve">      </w:t>
      </w:r>
      <w:r>
        <w:rPr>
          <w:rFonts w:hint="eastAsia"/>
          <w:color w:val="auto"/>
          <w:sz w:val="24"/>
          <w:highlight w:val="none"/>
        </w:rPr>
        <w:t>证、职称资格证书以及资格审查条件所要求的其了相关证书（如建造注册证书、安全生产</w:t>
      </w:r>
      <w:r>
        <w:rPr>
          <w:rFonts w:hint="eastAsia"/>
          <w:color w:val="auto"/>
          <w:sz w:val="24"/>
          <w:highlight w:val="none"/>
          <w:lang w:val="en-US"/>
        </w:rPr>
        <w:t xml:space="preserve">  </w:t>
      </w:r>
      <w:r>
        <w:rPr>
          <w:rFonts w:hint="eastAsia"/>
          <w:color w:val="auto"/>
          <w:sz w:val="24"/>
          <w:highlight w:val="none"/>
        </w:rPr>
        <w:t>考核合格证书等）的复印件，建造师注册证书、安全生产考核合格证书在政府相关部门网站上公开信息的网页截图复印件，投标人所属社保机构出具的拟委任的项目经理和项目总工的社保缴费证明或其他能够证明拟委任的项目经理和项目总工参加社保的有效证明材料复印件。</w:t>
      </w:r>
    </w:p>
    <w:p>
      <w:pPr>
        <w:spacing w:line="360" w:lineRule="auto"/>
        <w:ind w:left="480" w:leftChars="218" w:firstLine="540" w:firstLineChars="225"/>
        <w:rPr>
          <w:color w:val="auto"/>
          <w:sz w:val="24"/>
          <w:highlight w:val="none"/>
        </w:rPr>
      </w:pPr>
      <w:r>
        <w:rPr>
          <w:rFonts w:hint="eastAsia"/>
          <w:color w:val="auto"/>
          <w:sz w:val="24"/>
          <w:highlight w:val="none"/>
        </w:rPr>
        <w:t>“拟委任的项目经理和项目总工资历表”还应附交通运输部“全国公路建设市场信用信息管理系统”中载明的、能够证明项目经理和项目总工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需在提供任何业绩证明材料。如投标人未提供相关业绩网页截图复印件或相关业绩网页截图中的信息无法证实投标人满足招标文件规定的资格审查条件（项目经理和项目总工最低要求），则该业绩不予认定。</w:t>
      </w:r>
    </w:p>
    <w:p>
      <w:pPr>
        <w:spacing w:line="360" w:lineRule="auto"/>
        <w:ind w:left="480" w:leftChars="218" w:firstLine="540" w:firstLineChars="225"/>
        <w:rPr>
          <w:color w:val="auto"/>
          <w:sz w:val="24"/>
          <w:highlight w:val="none"/>
        </w:rPr>
      </w:pPr>
      <w:r>
        <w:rPr>
          <w:rFonts w:hint="eastAsia"/>
          <w:color w:val="auto"/>
          <w:sz w:val="24"/>
          <w:highlight w:val="none"/>
        </w:rPr>
        <w:t>如项目经理或项目总工目前仍在其他项目上任职，则投标人应提供由该项目发包人出具的、承诺上述人员能够从该项目撤离的书面证明材料原件。</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3.5.6</w:t>
      </w:r>
      <w:r>
        <w:rPr>
          <w:rFonts w:hint="eastAsia"/>
          <w:color w:val="auto"/>
          <w:sz w:val="24"/>
          <w:highlight w:val="none"/>
        </w:rPr>
        <w:t>“拟委任的其他管理和技术人员汇总表”（如有）应填报满足本章前附表附录6规定的其他人员的相关信息。“拟委任的其他管理和技术人员资历表”（如有）中相关人员应附身份证、职称资格证书以及资格审查条件所要求的其他相关证书的复印件，相关业绩证明材料复印件，以及投标人所属社保机构出具的社保缴费证明或其他能够证明其参加社保的有效证明材料复印件。</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3.5.7</w:t>
      </w:r>
      <w:r>
        <w:rPr>
          <w:rFonts w:hint="eastAsia"/>
          <w:color w:val="auto"/>
          <w:sz w:val="24"/>
          <w:highlight w:val="none"/>
        </w:rPr>
        <w:t>“拟投入本标段的主要施工机械表”、“拟配备本标段的主要材料试验、测量、质检仪器设备表”（如有）应填报满足本章前附表附录7规定的机械设备和试验检测设备。</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3.5.8</w:t>
      </w:r>
      <w:r>
        <w:rPr>
          <w:rFonts w:hint="eastAsia"/>
          <w:color w:val="auto"/>
          <w:sz w:val="24"/>
          <w:highlight w:val="none"/>
        </w:rPr>
        <w:t>投标人须知前附表规定接受联合体投标的，本章第3.5.1项至第3.5.7项规定的表格和资料应包括联合体各方相关情况。</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3.5.9</w:t>
      </w:r>
      <w:r>
        <w:rPr>
          <w:rFonts w:hint="eastAsia"/>
          <w:color w:val="auto"/>
          <w:sz w:val="24"/>
          <w:highlight w:val="none"/>
        </w:rPr>
        <w:t>除合同条款约定的特殊情形外，投标人在投标文件中填报的项目经理和项目总工不允许更换。</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3.5.10</w:t>
      </w:r>
      <w:r>
        <w:rPr>
          <w:rFonts w:hint="eastAsia"/>
          <w:color w:val="auto"/>
          <w:sz w:val="24"/>
          <w:highlight w:val="none"/>
        </w:rPr>
        <w:t>投标人在投标文件中填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pPr>
        <w:spacing w:line="360" w:lineRule="auto"/>
        <w:ind w:left="480" w:leftChars="218" w:firstLine="526" w:firstLineChars="225"/>
        <w:rPr>
          <w:color w:val="auto"/>
          <w:sz w:val="24"/>
          <w:highlight w:val="none"/>
        </w:rPr>
      </w:pPr>
      <w:r>
        <w:rPr>
          <w:rFonts w:hint="eastAsia" w:ascii="Times New Roman" w:hAnsi="Times New Roman" w:cs="Times New Roman"/>
          <w:color w:val="auto"/>
          <w:spacing w:val="-3"/>
          <w:sz w:val="24"/>
          <w:highlight w:val="none"/>
        </w:rPr>
        <w:t>3.5.11</w:t>
      </w:r>
      <w:r>
        <w:rPr>
          <w:rFonts w:hint="eastAsia"/>
          <w:color w:val="auto"/>
          <w:sz w:val="24"/>
          <w:highlight w:val="none"/>
        </w:rPr>
        <w:t>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pPr>
        <w:pStyle w:val="86"/>
        <w:numPr>
          <w:ilvl w:val="1"/>
          <w:numId w:val="4"/>
        </w:numPr>
        <w:tabs>
          <w:tab w:val="left" w:pos="850"/>
        </w:tabs>
        <w:adjustRightInd w:val="0"/>
        <w:snapToGrid w:val="0"/>
        <w:spacing w:line="324" w:lineRule="auto"/>
        <w:ind w:left="849" w:hanging="480"/>
        <w:rPr>
          <w:rFonts w:ascii="黑体" w:eastAsia="黑体"/>
          <w:color w:val="auto"/>
          <w:sz w:val="24"/>
          <w:highlight w:val="none"/>
        </w:rPr>
      </w:pPr>
      <w:bookmarkStart w:id="242" w:name="_bookmark54"/>
      <w:bookmarkEnd w:id="242"/>
      <w:r>
        <w:rPr>
          <w:rFonts w:hint="eastAsia" w:ascii="黑体" w:eastAsia="黑体"/>
          <w:color w:val="auto"/>
          <w:sz w:val="24"/>
          <w:highlight w:val="none"/>
        </w:rPr>
        <w:t>备选投标方案</w:t>
      </w:r>
    </w:p>
    <w:p>
      <w:pPr>
        <w:pStyle w:val="86"/>
        <w:numPr>
          <w:ilvl w:val="2"/>
          <w:numId w:val="4"/>
        </w:numPr>
        <w:tabs>
          <w:tab w:val="left" w:pos="1450"/>
        </w:tabs>
        <w:adjustRightInd w:val="0"/>
        <w:snapToGrid w:val="0"/>
        <w:spacing w:line="324" w:lineRule="auto"/>
        <w:ind w:right="331" w:firstLine="480"/>
        <w:rPr>
          <w:rFonts w:ascii="Times New Roman" w:hAnsi="Times New Roman" w:cs="Times New Roman"/>
          <w:color w:val="auto"/>
          <w:sz w:val="24"/>
          <w:highlight w:val="none"/>
        </w:rPr>
      </w:pPr>
      <w:r>
        <w:rPr>
          <w:rFonts w:ascii="Times New Roman" w:cs="Times New Roman"/>
          <w:color w:val="auto"/>
          <w:sz w:val="24"/>
          <w:highlight w:val="none"/>
        </w:rPr>
        <w:t>除投标人须知前附表规定允许外，投标人不得递交备选投标方案，否则其投标将被否决。</w:t>
      </w:r>
    </w:p>
    <w:p>
      <w:pPr>
        <w:pStyle w:val="86"/>
        <w:numPr>
          <w:ilvl w:val="2"/>
          <w:numId w:val="4"/>
        </w:numPr>
        <w:tabs>
          <w:tab w:val="left" w:pos="1450"/>
        </w:tabs>
        <w:adjustRightInd w:val="0"/>
        <w:snapToGrid w:val="0"/>
        <w:spacing w:line="324" w:lineRule="auto"/>
        <w:ind w:right="326" w:firstLine="480"/>
        <w:jc w:val="both"/>
        <w:rPr>
          <w:rFonts w:ascii="Times New Roman" w:hAnsi="Times New Roman" w:cs="Times New Roman"/>
          <w:color w:val="auto"/>
          <w:sz w:val="24"/>
          <w:highlight w:val="none"/>
        </w:rPr>
      </w:pPr>
      <w:r>
        <w:rPr>
          <w:rFonts w:ascii="Times New Roman" w:cs="Times New Roman"/>
          <w:color w:val="auto"/>
          <w:sz w:val="24"/>
          <w:highlight w:val="none"/>
        </w:rPr>
        <w:t>允许投标人递交备选投标方案的，只有中标人所递交的备选投标方案方可</w:t>
      </w:r>
      <w:r>
        <w:rPr>
          <w:rFonts w:ascii="Times New Roman" w:cs="Times New Roman"/>
          <w:color w:val="auto"/>
          <w:spacing w:val="-10"/>
          <w:sz w:val="24"/>
          <w:highlight w:val="none"/>
        </w:rPr>
        <w:t>予以考虑。评标委员会认为中标人的备选投标方案优于其按照招标文件要求编制的投标方案的，招标人可以接受该备选投标方案。</w:t>
      </w:r>
    </w:p>
    <w:p>
      <w:pPr>
        <w:pStyle w:val="86"/>
        <w:numPr>
          <w:ilvl w:val="2"/>
          <w:numId w:val="4"/>
        </w:numPr>
        <w:tabs>
          <w:tab w:val="left" w:pos="1450"/>
        </w:tabs>
        <w:adjustRightInd w:val="0"/>
        <w:snapToGrid w:val="0"/>
        <w:spacing w:line="324" w:lineRule="auto"/>
        <w:ind w:right="328" w:firstLine="480"/>
        <w:rPr>
          <w:rFonts w:ascii="Times New Roman" w:hAnsi="Times New Roman" w:cs="Times New Roman"/>
          <w:color w:val="auto"/>
          <w:sz w:val="24"/>
          <w:highlight w:val="none"/>
        </w:rPr>
      </w:pPr>
      <w:r>
        <w:rPr>
          <w:rFonts w:ascii="Times New Roman" w:cs="Times New Roman"/>
          <w:color w:val="auto"/>
          <w:sz w:val="24"/>
          <w:highlight w:val="none"/>
        </w:rPr>
        <w:t>投标人提供两个或两个以上投标报价，或在投标文件中提供一个报价，但同时提供两个或两个以上施工组织设计的，视为提供备选方案。</w:t>
      </w:r>
    </w:p>
    <w:p>
      <w:pPr>
        <w:pStyle w:val="86"/>
        <w:numPr>
          <w:ilvl w:val="1"/>
          <w:numId w:val="4"/>
        </w:numPr>
        <w:tabs>
          <w:tab w:val="left" w:pos="850"/>
        </w:tabs>
        <w:adjustRightInd w:val="0"/>
        <w:snapToGrid w:val="0"/>
        <w:spacing w:line="324" w:lineRule="auto"/>
        <w:ind w:left="849" w:hanging="480"/>
        <w:rPr>
          <w:rFonts w:ascii="黑体" w:eastAsia="黑体"/>
          <w:color w:val="auto"/>
          <w:sz w:val="24"/>
          <w:highlight w:val="none"/>
        </w:rPr>
      </w:pPr>
      <w:bookmarkStart w:id="243" w:name="_bookmark55"/>
      <w:bookmarkEnd w:id="243"/>
      <w:r>
        <w:rPr>
          <w:rFonts w:hint="eastAsia" w:ascii="黑体" w:eastAsia="黑体"/>
          <w:color w:val="auto"/>
          <w:sz w:val="24"/>
          <w:highlight w:val="none"/>
        </w:rPr>
        <w:t>投标文件的编制</w:t>
      </w:r>
    </w:p>
    <w:p>
      <w:pPr>
        <w:pStyle w:val="86"/>
        <w:numPr>
          <w:ilvl w:val="2"/>
          <w:numId w:val="4"/>
        </w:numPr>
        <w:tabs>
          <w:tab w:val="left" w:pos="1450"/>
        </w:tabs>
        <w:adjustRightInd w:val="0"/>
        <w:snapToGrid w:val="0"/>
        <w:spacing w:line="324" w:lineRule="auto"/>
        <w:ind w:right="205" w:firstLine="480"/>
        <w:jc w:val="both"/>
        <w:rPr>
          <w:rFonts w:ascii="Times New Roman" w:hAnsi="Times New Roman" w:cs="Times New Roman"/>
          <w:color w:val="auto"/>
          <w:sz w:val="24"/>
          <w:highlight w:val="none"/>
        </w:rPr>
      </w:pPr>
      <w:r>
        <w:rPr>
          <w:rFonts w:ascii="Times New Roman" w:cs="Times New Roman"/>
          <w:color w:val="auto"/>
          <w:sz w:val="24"/>
          <w:highlight w:val="none"/>
        </w:rPr>
        <w:t>投标文件应按第九章</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投标文件格式</w:t>
      </w:r>
      <w:r>
        <w:rPr>
          <w:rFonts w:ascii="Times New Roman" w:hAnsi="Times New Roman" w:eastAsia="Times New Roman" w:cs="Times New Roman"/>
          <w:color w:val="auto"/>
          <w:sz w:val="24"/>
          <w:highlight w:val="none"/>
        </w:rPr>
        <w:t>”</w:t>
      </w:r>
      <w:r>
        <w:rPr>
          <w:rFonts w:ascii="Times New Roman" w:cs="Times New Roman"/>
          <w:color w:val="auto"/>
          <w:spacing w:val="-9"/>
          <w:sz w:val="24"/>
          <w:highlight w:val="none"/>
        </w:rPr>
        <w:t>进行编写，如有必要，可以增加附页，作为投标文件的组成部分。其中，投标函附录在满足招标文件实质性要求的基础上，可以提出比招标文件要求更有利于招标人的承诺。</w:t>
      </w:r>
    </w:p>
    <w:p>
      <w:pPr>
        <w:pStyle w:val="86"/>
        <w:numPr>
          <w:ilvl w:val="2"/>
          <w:numId w:val="4"/>
        </w:numPr>
        <w:tabs>
          <w:tab w:val="left" w:pos="1450"/>
        </w:tabs>
        <w:adjustRightInd w:val="0"/>
        <w:snapToGrid w:val="0"/>
        <w:spacing w:line="324" w:lineRule="auto"/>
        <w:ind w:right="205" w:firstLine="480"/>
        <w:jc w:val="both"/>
        <w:rPr>
          <w:rFonts w:ascii="Times New Roman" w:hAnsi="Times New Roman" w:cs="Times New Roman"/>
          <w:color w:val="auto"/>
          <w:spacing w:val="-9"/>
          <w:sz w:val="24"/>
          <w:highlight w:val="none"/>
        </w:rPr>
      </w:pPr>
      <w:r>
        <w:rPr>
          <w:rFonts w:ascii="Times New Roman" w:cs="Times New Roman"/>
          <w:color w:val="auto"/>
          <w:sz w:val="24"/>
          <w:highlight w:val="none"/>
        </w:rPr>
        <w:t>投标文件应对招标文件有关工期、投标有效期、质量要求、安全目标、技</w:t>
      </w:r>
      <w:r>
        <w:rPr>
          <w:rFonts w:ascii="Times New Roman" w:cs="Times New Roman"/>
          <w:color w:val="auto"/>
          <w:spacing w:val="-9"/>
          <w:sz w:val="24"/>
          <w:highlight w:val="none"/>
        </w:rPr>
        <w:t>术标准和要求、招标范围等实质性内容作出响应。</w:t>
      </w:r>
    </w:p>
    <w:p>
      <w:pPr>
        <w:pStyle w:val="86"/>
        <w:numPr>
          <w:ilvl w:val="2"/>
          <w:numId w:val="4"/>
        </w:numPr>
        <w:tabs>
          <w:tab w:val="left" w:pos="1450"/>
        </w:tabs>
        <w:adjustRightInd w:val="0"/>
        <w:snapToGrid w:val="0"/>
        <w:spacing w:line="324" w:lineRule="auto"/>
        <w:ind w:right="205" w:firstLine="480"/>
        <w:jc w:val="both"/>
        <w:rPr>
          <w:rFonts w:ascii="Times New Roman" w:hAnsi="Times New Roman" w:cs="Times New Roman"/>
          <w:color w:val="auto"/>
          <w:spacing w:val="-9"/>
          <w:sz w:val="24"/>
          <w:highlight w:val="none"/>
        </w:rPr>
      </w:pPr>
      <w:r>
        <w:rPr>
          <w:rFonts w:ascii="Times New Roman" w:cs="Times New Roman"/>
          <w:color w:val="auto"/>
          <w:spacing w:val="-9"/>
          <w:sz w:val="24"/>
          <w:highlight w:val="none"/>
        </w:rPr>
        <w:t>法定代表人或其委托代理人签字之处，必须由相关人员亲笔签名或印章；明确要求投标人加盖单位章之处，必须加盖单位章。其中，投标函、调价函及对投标文件的澄清和说明应加盖投标人单位章，或由投标人的法定代表人或其委托代理人签字。</w:t>
      </w:r>
    </w:p>
    <w:p>
      <w:pPr>
        <w:pStyle w:val="20"/>
        <w:adjustRightInd w:val="0"/>
        <w:snapToGrid w:val="0"/>
        <w:spacing w:line="324" w:lineRule="auto"/>
        <w:ind w:left="369" w:right="325" w:firstLine="479"/>
        <w:jc w:val="both"/>
        <w:rPr>
          <w:rFonts w:ascii="Times New Roman" w:hAnsi="Times New Roman" w:cs="Times New Roman"/>
          <w:color w:val="auto"/>
          <w:highlight w:val="none"/>
        </w:rPr>
      </w:pPr>
      <w:r>
        <w:rPr>
          <w:rFonts w:ascii="Times New Roman" w:cs="Times New Roman"/>
          <w:color w:val="auto"/>
          <w:spacing w:val="-6"/>
          <w:highlight w:val="none"/>
        </w:rPr>
        <w:t>如果投标文件由委托代理人签署，则投标人须提交授权委托书，授权委托书应按第九章</w:t>
      </w:r>
      <w:r>
        <w:rPr>
          <w:rFonts w:ascii="Times New Roman" w:hAnsi="Times New Roman" w:eastAsia="Times New Roman" w:cs="Times New Roman"/>
          <w:color w:val="auto"/>
          <w:spacing w:val="-6"/>
          <w:highlight w:val="none"/>
        </w:rPr>
        <w:t>“</w:t>
      </w:r>
      <w:r>
        <w:rPr>
          <w:rFonts w:ascii="Times New Roman" w:cs="Times New Roman"/>
          <w:color w:val="auto"/>
          <w:spacing w:val="-6"/>
          <w:highlight w:val="none"/>
        </w:rPr>
        <w:t>投标文件格式</w:t>
      </w:r>
      <w:r>
        <w:rPr>
          <w:rFonts w:ascii="Times New Roman" w:hAnsi="Times New Roman" w:eastAsia="Times New Roman" w:cs="Times New Roman"/>
          <w:color w:val="auto"/>
          <w:spacing w:val="-6"/>
          <w:highlight w:val="none"/>
        </w:rPr>
        <w:t>”</w:t>
      </w:r>
      <w:r>
        <w:rPr>
          <w:rFonts w:ascii="Times New Roman" w:cs="Times New Roman"/>
          <w:color w:val="auto"/>
          <w:spacing w:val="-10"/>
          <w:highlight w:val="none"/>
        </w:rPr>
        <w:t>的要求出具。</w:t>
      </w:r>
    </w:p>
    <w:p>
      <w:pPr>
        <w:pStyle w:val="20"/>
        <w:adjustRightInd w:val="0"/>
        <w:snapToGrid w:val="0"/>
        <w:spacing w:line="324" w:lineRule="auto"/>
        <w:ind w:left="369" w:right="324" w:firstLine="479"/>
        <w:jc w:val="both"/>
        <w:rPr>
          <w:rFonts w:ascii="Times New Roman" w:hAnsi="Times New Roman" w:cs="Times New Roman"/>
          <w:color w:val="auto"/>
          <w:highlight w:val="none"/>
        </w:rPr>
      </w:pPr>
      <w:r>
        <w:rPr>
          <w:rFonts w:ascii="Times New Roman" w:cs="Times New Roman"/>
          <w:color w:val="auto"/>
          <w:spacing w:val="-5"/>
          <w:highlight w:val="none"/>
        </w:rPr>
        <w:t>如果由投标人的法定代表人亲自签署投标文件，则投标人须提交法定代表人身份证明，身份证明应符合第九章</w:t>
      </w:r>
      <w:r>
        <w:rPr>
          <w:rFonts w:ascii="Times New Roman" w:hAnsi="Times New Roman" w:eastAsia="Times New Roman" w:cs="Times New Roman"/>
          <w:color w:val="auto"/>
          <w:spacing w:val="-5"/>
          <w:highlight w:val="none"/>
        </w:rPr>
        <w:t>“</w:t>
      </w:r>
      <w:r>
        <w:rPr>
          <w:rFonts w:ascii="Times New Roman" w:cs="Times New Roman"/>
          <w:color w:val="auto"/>
          <w:spacing w:val="-5"/>
          <w:highlight w:val="none"/>
        </w:rPr>
        <w:t>投标文件格式</w:t>
      </w:r>
      <w:r>
        <w:rPr>
          <w:rFonts w:ascii="Times New Roman" w:hAnsi="Times New Roman" w:eastAsia="Times New Roman" w:cs="Times New Roman"/>
          <w:color w:val="auto"/>
          <w:spacing w:val="-5"/>
          <w:highlight w:val="none"/>
        </w:rPr>
        <w:t>”</w:t>
      </w:r>
      <w:r>
        <w:rPr>
          <w:rFonts w:ascii="Times New Roman" w:cs="Times New Roman"/>
          <w:color w:val="auto"/>
          <w:spacing w:val="-5"/>
          <w:highlight w:val="none"/>
        </w:rPr>
        <w:t>的要求。</w:t>
      </w:r>
    </w:p>
    <w:p>
      <w:pPr>
        <w:pStyle w:val="20"/>
        <w:adjustRightInd w:val="0"/>
        <w:snapToGrid w:val="0"/>
        <w:spacing w:line="324" w:lineRule="auto"/>
        <w:ind w:left="369" w:right="324" w:firstLine="479"/>
        <w:jc w:val="both"/>
        <w:rPr>
          <w:rFonts w:ascii="Times New Roman" w:hAnsi="Times New Roman" w:cs="Times New Roman"/>
          <w:color w:val="auto"/>
          <w:highlight w:val="none"/>
        </w:rPr>
      </w:pPr>
      <w:r>
        <w:rPr>
          <w:rFonts w:ascii="Times New Roman" w:cs="Times New Roman"/>
          <w:color w:val="auto"/>
          <w:spacing w:val="-8"/>
          <w:highlight w:val="none"/>
        </w:rPr>
        <w:t>以联合体形式参与投标的，投标文件由联合体牵头人的法定代表人或其委托代理</w:t>
      </w:r>
      <w:r>
        <w:rPr>
          <w:rFonts w:ascii="Times New Roman" w:cs="Times New Roman"/>
          <w:color w:val="auto"/>
          <w:spacing w:val="-12"/>
          <w:highlight w:val="none"/>
        </w:rPr>
        <w:t>人按上述规定签署并加盖联合体牵头人单位章。法定代表人授权委托书或法定代表人身份证明须由联合体牵头人按上述规定出具。</w:t>
      </w:r>
    </w:p>
    <w:p>
      <w:pPr>
        <w:pStyle w:val="20"/>
        <w:adjustRightInd w:val="0"/>
        <w:snapToGrid w:val="0"/>
        <w:spacing w:line="324" w:lineRule="auto"/>
        <w:ind w:left="369" w:right="325" w:firstLine="479"/>
        <w:jc w:val="both"/>
        <w:rPr>
          <w:rFonts w:ascii="Times New Roman" w:hAnsi="Times New Roman" w:cs="Times New Roman"/>
          <w:color w:val="auto"/>
          <w:highlight w:val="none"/>
        </w:rPr>
      </w:pPr>
      <w:r>
        <w:rPr>
          <w:rFonts w:ascii="Times New Roman" w:cs="Times New Roman"/>
          <w:color w:val="auto"/>
          <w:spacing w:val="-6"/>
          <w:highlight w:val="none"/>
        </w:rPr>
        <w:t>投标文件应尽量避免涂改、行间插字或删除。如果出现上述情况，改动之处应由投标人的法定代表人或其授权的代理人签字或盖单位章。</w:t>
      </w:r>
    </w:p>
    <w:p>
      <w:pPr>
        <w:pStyle w:val="86"/>
        <w:numPr>
          <w:ilvl w:val="2"/>
          <w:numId w:val="4"/>
        </w:numPr>
        <w:tabs>
          <w:tab w:val="left" w:pos="1452"/>
        </w:tabs>
        <w:adjustRightInd w:val="0"/>
        <w:snapToGrid w:val="0"/>
        <w:spacing w:line="324" w:lineRule="auto"/>
        <w:ind w:right="326" w:firstLine="480"/>
        <w:jc w:val="both"/>
        <w:rPr>
          <w:rFonts w:ascii="Times New Roman" w:hAnsi="Times New Roman" w:cs="Times New Roman"/>
          <w:color w:val="auto"/>
          <w:sz w:val="24"/>
          <w:highlight w:val="none"/>
        </w:rPr>
      </w:pPr>
      <w:r>
        <w:rPr>
          <w:rFonts w:ascii="Times New Roman" w:cs="Times New Roman"/>
          <w:color w:val="auto"/>
          <w:sz w:val="24"/>
          <w:highlight w:val="none"/>
        </w:rPr>
        <w:t>投标文件正本一份</w:t>
      </w:r>
      <w:r>
        <w:rPr>
          <w:rFonts w:ascii="Times New Roman" w:hAnsi="Times New Roman" w:eastAsia="Times New Roman" w:cs="Times New Roman"/>
          <w:color w:val="auto"/>
          <w:spacing w:val="22"/>
          <w:sz w:val="24"/>
          <w:highlight w:val="none"/>
        </w:rPr>
        <w:t xml:space="preserve">, </w:t>
      </w:r>
      <w:r>
        <w:rPr>
          <w:rFonts w:ascii="Times New Roman" w:cs="Times New Roman"/>
          <w:color w:val="auto"/>
          <w:sz w:val="24"/>
          <w:highlight w:val="none"/>
        </w:rPr>
        <w:t>副本份数见投标人须知前附表。正本和副本的封面右上角上应清楚地标记</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正本</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或</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副本</w:t>
      </w:r>
      <w:r>
        <w:rPr>
          <w:rFonts w:ascii="Times New Roman" w:hAnsi="Times New Roman" w:eastAsia="Times New Roman" w:cs="Times New Roman"/>
          <w:color w:val="auto"/>
          <w:sz w:val="24"/>
          <w:highlight w:val="none"/>
        </w:rPr>
        <w:t>”</w:t>
      </w:r>
      <w:r>
        <w:rPr>
          <w:rFonts w:ascii="Times New Roman" w:cs="Times New Roman"/>
          <w:color w:val="auto"/>
          <w:spacing w:val="-6"/>
          <w:sz w:val="24"/>
          <w:highlight w:val="none"/>
        </w:rPr>
        <w:t>字样。投标人应根据投标人须知前附表要求提供</w:t>
      </w:r>
      <w:r>
        <w:rPr>
          <w:rFonts w:ascii="Times New Roman" w:cs="Times New Roman"/>
          <w:color w:val="auto"/>
          <w:spacing w:val="-11"/>
          <w:sz w:val="24"/>
          <w:highlight w:val="none"/>
        </w:rPr>
        <w:t>电子版文件。当副本和正本不一致或电子版文件和纸质正本文件不一致时，以纸质正本文件为准。</w:t>
      </w:r>
    </w:p>
    <w:p>
      <w:pPr>
        <w:pStyle w:val="86"/>
        <w:numPr>
          <w:ilvl w:val="2"/>
          <w:numId w:val="4"/>
        </w:numPr>
        <w:tabs>
          <w:tab w:val="left" w:pos="1450"/>
        </w:tabs>
        <w:adjustRightInd w:val="0"/>
        <w:snapToGrid w:val="0"/>
        <w:spacing w:line="324" w:lineRule="auto"/>
        <w:ind w:right="324" w:firstLine="480"/>
        <w:jc w:val="both"/>
        <w:rPr>
          <w:rFonts w:ascii="Times New Roman" w:hAnsi="Times New Roman" w:cs="Times New Roman"/>
          <w:color w:val="auto"/>
          <w:sz w:val="24"/>
          <w:highlight w:val="none"/>
        </w:rPr>
      </w:pPr>
      <w:r>
        <w:rPr>
          <w:rFonts w:ascii="Times New Roman" w:cs="Times New Roman"/>
          <w:color w:val="auto"/>
          <w:sz w:val="24"/>
          <w:highlight w:val="none"/>
        </w:rPr>
        <w:t>投标文件的正本与副本应分别装订成册（</w:t>
      </w:r>
      <w:r>
        <w:rPr>
          <w:rFonts w:ascii="Times New Roman" w:hAnsi="Times New Roman" w:eastAsia="Times New Roman" w:cs="Times New Roman"/>
          <w:color w:val="auto"/>
          <w:spacing w:val="-1"/>
          <w:w w:val="99"/>
          <w:sz w:val="24"/>
          <w:highlight w:val="none"/>
        </w:rPr>
        <w:t>A</w:t>
      </w:r>
      <w:r>
        <w:rPr>
          <w:rFonts w:ascii="Times New Roman" w:hAnsi="Times New Roman" w:eastAsia="Times New Roman" w:cs="Times New Roman"/>
          <w:color w:val="auto"/>
          <w:w w:val="99"/>
          <w:sz w:val="24"/>
          <w:highlight w:val="none"/>
        </w:rPr>
        <w:t>4</w:t>
      </w:r>
      <w:r>
        <w:rPr>
          <w:rFonts w:ascii="Times New Roman" w:cs="Times New Roman"/>
          <w:color w:val="auto"/>
          <w:sz w:val="24"/>
          <w:highlight w:val="none"/>
        </w:rPr>
        <w:t>纸幅</w:t>
      </w:r>
      <w:r>
        <w:rPr>
          <w:rFonts w:ascii="Times New Roman" w:cs="Times New Roman"/>
          <w:color w:val="auto"/>
          <w:spacing w:val="-120"/>
          <w:sz w:val="24"/>
          <w:highlight w:val="none"/>
        </w:rPr>
        <w:t>）</w:t>
      </w:r>
      <w:r>
        <w:rPr>
          <w:rFonts w:ascii="Times New Roman" w:cs="Times New Roman"/>
          <w:color w:val="auto"/>
          <w:sz w:val="24"/>
          <w:highlight w:val="none"/>
        </w:rPr>
        <w:t>，编制目录并逐页标注</w:t>
      </w:r>
      <w:r>
        <w:rPr>
          <w:rFonts w:ascii="Times New Roman" w:cs="Times New Roman"/>
          <w:color w:val="auto"/>
          <w:spacing w:val="-10"/>
          <w:sz w:val="24"/>
          <w:highlight w:val="none"/>
        </w:rPr>
        <w:t>连续页码。投标文件不得采用活页夹装订，否则，招标人对由于投标文件装订松散而造成的丢失或其他后果不承担任何责任。装订的其他要求见投标人须知前附表。</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244" w:name="_bookmark56"/>
      <w:bookmarkEnd w:id="244"/>
      <w:bookmarkStart w:id="245" w:name="_Toc26310"/>
      <w:bookmarkStart w:id="246" w:name="_Toc4517"/>
      <w:bookmarkStart w:id="247" w:name="_Toc26672"/>
      <w:bookmarkStart w:id="248" w:name="_Toc19883"/>
      <w:bookmarkStart w:id="249" w:name="_Toc15064"/>
      <w:bookmarkStart w:id="250" w:name="_Toc18580"/>
      <w:bookmarkStart w:id="251" w:name="_Toc17898"/>
      <w:bookmarkStart w:id="252" w:name="_Toc1350"/>
      <w:bookmarkStart w:id="253" w:name="_Toc3538"/>
      <w:bookmarkStart w:id="254" w:name="_Toc1761"/>
      <w:bookmarkStart w:id="255" w:name="_Toc25621"/>
      <w:bookmarkStart w:id="256" w:name="_Toc31674"/>
      <w:bookmarkStart w:id="257" w:name="_Toc16194"/>
      <w:bookmarkStart w:id="258" w:name="_Toc4807"/>
      <w:bookmarkStart w:id="259" w:name="_Toc21518"/>
      <w:bookmarkStart w:id="260" w:name="_Toc7913"/>
      <w:bookmarkStart w:id="261" w:name="_Toc25321"/>
      <w:r>
        <w:rPr>
          <w:rFonts w:hint="eastAsia" w:ascii="黑体" w:eastAsia="黑体"/>
          <w:color w:val="auto"/>
          <w:sz w:val="28"/>
          <w:highlight w:val="none"/>
        </w:rPr>
        <w:t>投标</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62" w:name="_bookmark57"/>
      <w:bookmarkEnd w:id="262"/>
      <w:r>
        <w:rPr>
          <w:rFonts w:hint="eastAsia" w:ascii="黑体" w:eastAsia="黑体"/>
          <w:color w:val="auto"/>
          <w:sz w:val="24"/>
          <w:highlight w:val="none"/>
        </w:rPr>
        <w:t>投标文件的密封和标识</w:t>
      </w:r>
    </w:p>
    <w:p>
      <w:pPr>
        <w:pStyle w:val="20"/>
        <w:adjustRightInd w:val="0"/>
        <w:snapToGrid w:val="0"/>
        <w:spacing w:line="324" w:lineRule="auto"/>
        <w:ind w:left="849"/>
        <w:rPr>
          <w:rFonts w:ascii="Times New Roman" w:hAnsi="Times New Roman" w:cs="Times New Roman"/>
          <w:color w:val="auto"/>
          <w:highlight w:val="none"/>
        </w:rPr>
      </w:pPr>
      <w:r>
        <w:rPr>
          <w:rFonts w:ascii="Times New Roman" w:cs="Times New Roman"/>
          <w:color w:val="auto"/>
          <w:highlight w:val="none"/>
        </w:rPr>
        <w:t>若采用双信封形式，第</w:t>
      </w:r>
      <w:r>
        <w:rPr>
          <w:rFonts w:ascii="Times New Roman" w:hAnsi="Times New Roman" w:eastAsia="Times New Roman" w:cs="Times New Roman"/>
          <w:color w:val="auto"/>
          <w:highlight w:val="none"/>
        </w:rPr>
        <w:t xml:space="preserve">4.1.1 </w:t>
      </w:r>
      <w:r>
        <w:rPr>
          <w:rFonts w:ascii="Times New Roman" w:cs="Times New Roman"/>
          <w:color w:val="auto"/>
          <w:highlight w:val="none"/>
        </w:rPr>
        <w:t>项和第</w:t>
      </w:r>
      <w:r>
        <w:rPr>
          <w:rFonts w:ascii="Times New Roman" w:hAnsi="Times New Roman" w:eastAsia="Times New Roman" w:cs="Times New Roman"/>
          <w:color w:val="auto"/>
          <w:highlight w:val="none"/>
        </w:rPr>
        <w:t xml:space="preserve">4.1.2 </w:t>
      </w:r>
      <w:r>
        <w:rPr>
          <w:rFonts w:ascii="Times New Roman" w:cs="Times New Roman"/>
          <w:color w:val="auto"/>
          <w:highlight w:val="none"/>
        </w:rPr>
        <w:t>项采用以下条款：</w:t>
      </w:r>
    </w:p>
    <w:p>
      <w:pPr>
        <w:tabs>
          <w:tab w:val="left" w:pos="1450"/>
        </w:tabs>
        <w:adjustRightInd w:val="0"/>
        <w:snapToGrid w:val="0"/>
        <w:spacing w:line="324" w:lineRule="auto"/>
        <w:ind w:left="376" w:leftChars="171" w:right="205" w:firstLine="460" w:firstLineChars="202"/>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4.1.1</w:t>
      </w:r>
      <w:r>
        <w:rPr>
          <w:rFonts w:ascii="Times New Roman" w:cs="Times New Roman"/>
          <w:color w:val="auto"/>
          <w:spacing w:val="-6"/>
          <w:sz w:val="24"/>
          <w:highlight w:val="none"/>
        </w:rPr>
        <w:t>投标文件应采用双信封形式密封。投标文件第一个信封</w:t>
      </w:r>
      <w:r>
        <w:rPr>
          <w:rFonts w:ascii="Times New Roman" w:cs="Times New Roman"/>
          <w:color w:val="auto"/>
          <w:sz w:val="24"/>
          <w:highlight w:val="none"/>
        </w:rPr>
        <w:t>（商务及技术文件）</w:t>
      </w:r>
      <w:r>
        <w:rPr>
          <w:rFonts w:ascii="Times New Roman" w:cs="Times New Roman"/>
          <w:color w:val="auto"/>
          <w:spacing w:val="-5"/>
          <w:sz w:val="24"/>
          <w:highlight w:val="none"/>
        </w:rPr>
        <w:t>以及第二个信封</w:t>
      </w:r>
      <w:r>
        <w:rPr>
          <w:rFonts w:ascii="Times New Roman" w:cs="Times New Roman"/>
          <w:color w:val="auto"/>
          <w:sz w:val="24"/>
          <w:highlight w:val="none"/>
        </w:rPr>
        <w:t>（报价文件</w:t>
      </w:r>
      <w:r>
        <w:rPr>
          <w:rFonts w:ascii="Times New Roman" w:cs="Times New Roman"/>
          <w:color w:val="auto"/>
          <w:spacing w:val="-31"/>
          <w:sz w:val="24"/>
          <w:highlight w:val="none"/>
        </w:rPr>
        <w:t>）</w:t>
      </w:r>
      <w:r>
        <w:rPr>
          <w:rFonts w:ascii="Times New Roman" w:cs="Times New Roman"/>
          <w:color w:val="auto"/>
          <w:spacing w:val="-4"/>
          <w:sz w:val="24"/>
          <w:highlight w:val="none"/>
        </w:rPr>
        <w:t>应单独密封包装。商务及技术文件的正本与副本应统一</w:t>
      </w:r>
      <w:r>
        <w:rPr>
          <w:rFonts w:ascii="Times New Roman" w:cs="Times New Roman"/>
          <w:color w:val="auto"/>
          <w:spacing w:val="-9"/>
          <w:sz w:val="24"/>
          <w:highlight w:val="none"/>
        </w:rPr>
        <w:t>密封在一个封套中。报价文件的正本与副本、投标文件电子版文件</w:t>
      </w:r>
      <w:r>
        <w:rPr>
          <w:rFonts w:ascii="Times New Roman" w:cs="Times New Roman"/>
          <w:color w:val="auto"/>
          <w:sz w:val="24"/>
          <w:highlight w:val="none"/>
        </w:rPr>
        <w:t>（如需要</w:t>
      </w:r>
      <w:r>
        <w:rPr>
          <w:rFonts w:ascii="Times New Roman" w:cs="Times New Roman"/>
          <w:color w:val="auto"/>
          <w:spacing w:val="-24"/>
          <w:sz w:val="24"/>
          <w:highlight w:val="none"/>
        </w:rPr>
        <w:t>）</w:t>
      </w:r>
      <w:r>
        <w:rPr>
          <w:rFonts w:ascii="Times New Roman" w:cs="Times New Roman"/>
          <w:color w:val="auto"/>
          <w:sz w:val="24"/>
          <w:highlight w:val="none"/>
        </w:rPr>
        <w:t>以及填</w:t>
      </w:r>
      <w:r>
        <w:rPr>
          <w:rFonts w:ascii="Times New Roman" w:cs="Times New Roman"/>
          <w:color w:val="auto"/>
          <w:spacing w:val="-4"/>
          <w:sz w:val="24"/>
          <w:highlight w:val="none"/>
        </w:rPr>
        <w:t>写完毕的工程量固化清单电子文件</w:t>
      </w:r>
      <w:r>
        <w:rPr>
          <w:rFonts w:ascii="Times New Roman" w:cs="Times New Roman"/>
          <w:color w:val="auto"/>
          <w:sz w:val="24"/>
          <w:highlight w:val="none"/>
        </w:rPr>
        <w:t>（如采用工程量固化清单形式</w:t>
      </w:r>
      <w:r>
        <w:rPr>
          <w:rFonts w:ascii="Times New Roman" w:cs="Times New Roman"/>
          <w:color w:val="auto"/>
          <w:spacing w:val="-46"/>
          <w:sz w:val="24"/>
          <w:highlight w:val="none"/>
        </w:rPr>
        <w:t>）</w:t>
      </w:r>
      <w:r>
        <w:rPr>
          <w:rFonts w:ascii="Times New Roman" w:cs="Times New Roman"/>
          <w:color w:val="auto"/>
          <w:sz w:val="24"/>
          <w:highlight w:val="none"/>
        </w:rPr>
        <w:t>应统一密封在另一</w:t>
      </w:r>
      <w:r>
        <w:rPr>
          <w:rFonts w:ascii="Times New Roman" w:cs="Times New Roman"/>
          <w:color w:val="auto"/>
          <w:spacing w:val="-10"/>
          <w:sz w:val="24"/>
          <w:highlight w:val="none"/>
        </w:rPr>
        <w:t>个封套中。封套应加贴封条，并在封套的封口处加盖投标人单位章或由投标人的法定代表人或其委托代理人签字。</w:t>
      </w:r>
    </w:p>
    <w:p>
      <w:pPr>
        <w:pStyle w:val="20"/>
        <w:adjustRightInd w:val="0"/>
        <w:snapToGrid w:val="0"/>
        <w:spacing w:line="324" w:lineRule="auto"/>
        <w:ind w:left="849"/>
        <w:rPr>
          <w:rFonts w:ascii="Times New Roman" w:hAnsi="Times New Roman" w:cs="Times New Roman"/>
          <w:color w:val="auto"/>
          <w:highlight w:val="none"/>
        </w:rPr>
      </w:pPr>
      <w:r>
        <w:rPr>
          <w:rFonts w:ascii="Times New Roman" w:cs="Times New Roman"/>
          <w:color w:val="auto"/>
          <w:highlight w:val="none"/>
        </w:rPr>
        <w:t>采用银行保函形式提交投标保证金的，银行保函原件应密封在单独的封套中。</w:t>
      </w:r>
    </w:p>
    <w:p>
      <w:pPr>
        <w:tabs>
          <w:tab w:val="left" w:pos="1450"/>
        </w:tabs>
        <w:adjustRightInd w:val="0"/>
        <w:snapToGrid w:val="0"/>
        <w:spacing w:line="324" w:lineRule="auto"/>
        <w:ind w:left="849"/>
        <w:rPr>
          <w:rFonts w:ascii="Times New Roman" w:hAnsi="Times New Roman" w:cs="Times New Roman"/>
          <w:color w:val="auto"/>
          <w:sz w:val="24"/>
          <w:highlight w:val="none"/>
        </w:rPr>
      </w:pPr>
      <w:r>
        <w:rPr>
          <w:rFonts w:ascii="Times New Roman" w:hAnsi="Times New Roman" w:cs="Times New Roman"/>
          <w:color w:val="auto"/>
          <w:spacing w:val="-6"/>
          <w:sz w:val="24"/>
          <w:highlight w:val="none"/>
        </w:rPr>
        <w:t>4.1.2</w:t>
      </w:r>
      <w:r>
        <w:rPr>
          <w:rFonts w:ascii="Times New Roman" w:cs="Times New Roman"/>
          <w:color w:val="auto"/>
          <w:spacing w:val="-3"/>
          <w:sz w:val="24"/>
          <w:highlight w:val="none"/>
        </w:rPr>
        <w:t>投标文件第一个信封</w:t>
      </w:r>
      <w:r>
        <w:rPr>
          <w:rFonts w:ascii="Times New Roman" w:cs="Times New Roman"/>
          <w:color w:val="auto"/>
          <w:sz w:val="24"/>
          <w:highlight w:val="none"/>
        </w:rPr>
        <w:t>（商务及技术文件</w:t>
      </w:r>
      <w:r>
        <w:rPr>
          <w:rFonts w:ascii="Times New Roman" w:cs="Times New Roman"/>
          <w:color w:val="auto"/>
          <w:spacing w:val="-120"/>
          <w:sz w:val="24"/>
          <w:highlight w:val="none"/>
        </w:rPr>
        <w:t>）</w:t>
      </w:r>
      <w:r>
        <w:rPr>
          <w:rFonts w:ascii="Times New Roman" w:cs="Times New Roman"/>
          <w:color w:val="auto"/>
          <w:spacing w:val="-9"/>
          <w:sz w:val="24"/>
          <w:highlight w:val="none"/>
        </w:rPr>
        <w:t>、第二个信封</w:t>
      </w:r>
      <w:r>
        <w:rPr>
          <w:rFonts w:ascii="Times New Roman" w:cs="Times New Roman"/>
          <w:color w:val="auto"/>
          <w:sz w:val="24"/>
          <w:highlight w:val="none"/>
        </w:rPr>
        <w:t>（报价文件</w:t>
      </w:r>
      <w:r>
        <w:rPr>
          <w:rFonts w:ascii="Times New Roman" w:cs="Times New Roman"/>
          <w:color w:val="auto"/>
          <w:spacing w:val="-24"/>
          <w:sz w:val="24"/>
          <w:highlight w:val="none"/>
        </w:rPr>
        <w:t>）</w:t>
      </w:r>
      <w:r>
        <w:rPr>
          <w:rFonts w:ascii="Times New Roman" w:cs="Times New Roman"/>
          <w:color w:val="auto"/>
          <w:sz w:val="24"/>
          <w:highlight w:val="none"/>
        </w:rPr>
        <w:t>以及银</w:t>
      </w:r>
    </w:p>
    <w:p>
      <w:pPr>
        <w:pStyle w:val="20"/>
        <w:adjustRightInd w:val="0"/>
        <w:snapToGrid w:val="0"/>
        <w:spacing w:line="324" w:lineRule="auto"/>
        <w:ind w:left="369"/>
        <w:rPr>
          <w:rFonts w:ascii="Times New Roman" w:hAnsi="Times New Roman" w:cs="Times New Roman"/>
          <w:color w:val="auto"/>
          <w:highlight w:val="none"/>
        </w:rPr>
      </w:pPr>
      <w:r>
        <w:rPr>
          <w:rFonts w:ascii="Times New Roman" w:cs="Times New Roman"/>
          <w:color w:val="auto"/>
          <w:highlight w:val="none"/>
        </w:rPr>
        <w:t>行保函封套上应写明的内容见投标人须知前附表。</w:t>
      </w:r>
    </w:p>
    <w:p>
      <w:pPr>
        <w:pStyle w:val="20"/>
        <w:adjustRightInd w:val="0"/>
        <w:snapToGrid w:val="0"/>
        <w:spacing w:line="324" w:lineRule="auto"/>
        <w:ind w:left="369" w:firstLine="456" w:firstLineChars="200"/>
        <w:rPr>
          <w:rFonts w:ascii="Times New Roman" w:hAnsi="Times New Roman" w:cs="Times New Roman"/>
          <w:color w:val="auto"/>
          <w:highlight w:val="none"/>
        </w:rPr>
      </w:pPr>
      <w:r>
        <w:rPr>
          <w:rFonts w:ascii="Times New Roman" w:hAnsi="Times New Roman" w:cs="Times New Roman"/>
          <w:color w:val="auto"/>
          <w:spacing w:val="-6"/>
          <w:highlight w:val="none"/>
        </w:rPr>
        <w:t>4.1.</w:t>
      </w:r>
      <w:r>
        <w:rPr>
          <w:rFonts w:hint="eastAsia" w:ascii="Times New Roman" w:hAnsi="Times New Roman" w:cs="Times New Roman"/>
          <w:color w:val="auto"/>
          <w:spacing w:val="-6"/>
          <w:highlight w:val="none"/>
        </w:rPr>
        <w:t>3</w:t>
      </w:r>
      <w:r>
        <w:rPr>
          <w:rFonts w:ascii="Times New Roman" w:cs="Times New Roman"/>
          <w:color w:val="auto"/>
          <w:spacing w:val="-10"/>
          <w:highlight w:val="none"/>
        </w:rPr>
        <w:t>未按本章第</w:t>
      </w:r>
      <w:r>
        <w:rPr>
          <w:rFonts w:ascii="Times New Roman" w:hAnsi="Times New Roman" w:eastAsia="Times New Roman" w:cs="Times New Roman"/>
          <w:color w:val="auto"/>
          <w:highlight w:val="none"/>
        </w:rPr>
        <w:t xml:space="preserve">4.1.1 </w:t>
      </w:r>
      <w:r>
        <w:rPr>
          <w:rFonts w:ascii="Times New Roman" w:cs="Times New Roman"/>
          <w:color w:val="auto"/>
          <w:highlight w:val="none"/>
        </w:rPr>
        <w:t>项要求密封的投标文件，招标人将予以拒收。</w:t>
      </w:r>
    </w:p>
    <w:p>
      <w:pPr>
        <w:pStyle w:val="86"/>
        <w:numPr>
          <w:ilvl w:val="1"/>
          <w:numId w:val="5"/>
        </w:numPr>
        <w:tabs>
          <w:tab w:val="left" w:pos="910"/>
        </w:tabs>
        <w:adjustRightInd w:val="0"/>
        <w:snapToGrid w:val="0"/>
        <w:spacing w:line="324" w:lineRule="auto"/>
        <w:ind w:left="909" w:hanging="540"/>
        <w:rPr>
          <w:rFonts w:ascii="黑体" w:eastAsia="黑体"/>
          <w:color w:val="auto"/>
          <w:sz w:val="24"/>
          <w:highlight w:val="none"/>
        </w:rPr>
      </w:pPr>
      <w:bookmarkStart w:id="263" w:name="_bookmark58"/>
      <w:bookmarkEnd w:id="263"/>
      <w:r>
        <w:rPr>
          <w:rFonts w:hint="eastAsia" w:ascii="黑体" w:eastAsia="黑体"/>
          <w:color w:val="auto"/>
          <w:sz w:val="24"/>
          <w:highlight w:val="none"/>
        </w:rPr>
        <w:t>投标文件的递交</w:t>
      </w:r>
    </w:p>
    <w:p>
      <w:pPr>
        <w:pStyle w:val="86"/>
        <w:numPr>
          <w:ilvl w:val="0"/>
          <w:numId w:val="6"/>
        </w:numPr>
        <w:tabs>
          <w:tab w:val="left" w:pos="1450"/>
        </w:tabs>
        <w:adjustRightInd w:val="0"/>
        <w:snapToGrid w:val="0"/>
        <w:spacing w:line="324" w:lineRule="auto"/>
        <w:rPr>
          <w:rFonts w:ascii="Times New Roman" w:cs="Times New Roman"/>
          <w:vanish/>
          <w:color w:val="auto"/>
          <w:sz w:val="24"/>
          <w:highlight w:val="none"/>
        </w:rPr>
      </w:pPr>
    </w:p>
    <w:p>
      <w:pPr>
        <w:tabs>
          <w:tab w:val="left" w:pos="1450"/>
        </w:tabs>
        <w:adjustRightInd w:val="0"/>
        <w:snapToGrid w:val="0"/>
        <w:spacing w:line="324" w:lineRule="auto"/>
        <w:ind w:left="440" w:leftChars="200" w:right="330" w:rightChars="150"/>
        <w:rPr>
          <w:rFonts w:ascii="Times New Roman" w:hAnsi="Times New Roman" w:cs="Times New Roman"/>
          <w:color w:val="auto"/>
          <w:sz w:val="24"/>
          <w:highlight w:val="none"/>
        </w:rPr>
      </w:pPr>
      <w:r>
        <w:rPr>
          <w:rFonts w:hint="eastAsia" w:ascii="Times New Roman" w:cs="Times New Roman"/>
          <w:color w:val="auto"/>
          <w:sz w:val="24"/>
          <w:highlight w:val="none"/>
        </w:rPr>
        <w:t xml:space="preserve">       4.2.1</w:t>
      </w:r>
      <w:r>
        <w:rPr>
          <w:rFonts w:ascii="Times New Roman" w:cs="Times New Roman"/>
          <w:color w:val="auto"/>
          <w:sz w:val="24"/>
          <w:highlight w:val="none"/>
        </w:rPr>
        <w:t>投标人应在第一章</w:t>
      </w:r>
      <w:r>
        <w:rPr>
          <w:rFonts w:ascii="Times New Roman" w:hAnsi="Times New Roman" w:cs="Times New Roman"/>
          <w:color w:val="auto"/>
          <w:sz w:val="24"/>
          <w:highlight w:val="none"/>
        </w:rPr>
        <w:t>“</w:t>
      </w:r>
      <w:r>
        <w:rPr>
          <w:rFonts w:ascii="Times New Roman" w:cs="Times New Roman"/>
          <w:color w:val="auto"/>
          <w:sz w:val="24"/>
          <w:highlight w:val="none"/>
        </w:rPr>
        <w:t>招标公告</w:t>
      </w:r>
      <w:r>
        <w:rPr>
          <w:rFonts w:ascii="Times New Roman" w:hAnsi="Times New Roman" w:cs="Times New Roman"/>
          <w:color w:val="auto"/>
          <w:sz w:val="24"/>
          <w:highlight w:val="none"/>
        </w:rPr>
        <w:t>”</w:t>
      </w:r>
      <w:r>
        <w:rPr>
          <w:rFonts w:ascii="Times New Roman" w:cs="Times New Roman"/>
          <w:color w:val="auto"/>
          <w:sz w:val="24"/>
          <w:highlight w:val="none"/>
        </w:rPr>
        <w:t>或</w:t>
      </w:r>
      <w:r>
        <w:rPr>
          <w:rFonts w:ascii="Times New Roman" w:hAnsi="Times New Roman" w:cs="Times New Roman"/>
          <w:color w:val="auto"/>
          <w:sz w:val="24"/>
          <w:highlight w:val="none"/>
        </w:rPr>
        <w:t>“</w:t>
      </w:r>
      <w:r>
        <w:rPr>
          <w:rFonts w:ascii="Times New Roman" w:cs="Times New Roman"/>
          <w:color w:val="auto"/>
          <w:sz w:val="24"/>
          <w:highlight w:val="none"/>
        </w:rPr>
        <w:t>投标邀请书</w:t>
      </w:r>
      <w:r>
        <w:rPr>
          <w:rFonts w:ascii="Times New Roman" w:hAnsi="Times New Roman" w:cs="Times New Roman"/>
          <w:color w:val="auto"/>
          <w:sz w:val="24"/>
          <w:highlight w:val="none"/>
        </w:rPr>
        <w:t>”</w:t>
      </w:r>
      <w:r>
        <w:rPr>
          <w:rFonts w:ascii="Times New Roman" w:cs="Times New Roman"/>
          <w:color w:val="auto"/>
          <w:sz w:val="24"/>
          <w:highlight w:val="none"/>
        </w:rPr>
        <w:t>规定的投标截止时间前递交投标文件。</w:t>
      </w:r>
    </w:p>
    <w:p>
      <w:pPr>
        <w:tabs>
          <w:tab w:val="left" w:pos="1450"/>
        </w:tabs>
        <w:adjustRightInd w:val="0"/>
        <w:snapToGrid w:val="0"/>
        <w:spacing w:line="324" w:lineRule="auto"/>
        <w:ind w:right="150"/>
        <w:rPr>
          <w:rFonts w:ascii="Times New Roman" w:hAnsi="Times New Roman" w:cs="Times New Roman"/>
          <w:color w:val="auto"/>
          <w:sz w:val="24"/>
          <w:highlight w:val="none"/>
        </w:rPr>
      </w:pPr>
      <w:r>
        <w:rPr>
          <w:rFonts w:hint="eastAsia" w:ascii="Times New Roman" w:cs="Times New Roman"/>
          <w:color w:val="auto"/>
          <w:sz w:val="24"/>
          <w:highlight w:val="none"/>
        </w:rPr>
        <w:t xml:space="preserve">              4.2.2</w:t>
      </w:r>
      <w:r>
        <w:rPr>
          <w:rFonts w:ascii="Times New Roman" w:cs="Times New Roman"/>
          <w:color w:val="auto"/>
          <w:sz w:val="24"/>
          <w:highlight w:val="none"/>
        </w:rPr>
        <w:t>投标人递交投标文件的地点：见第一章</w:t>
      </w:r>
      <w:r>
        <w:rPr>
          <w:rFonts w:ascii="Times New Roman" w:hAnsi="Times New Roman" w:cs="Times New Roman"/>
          <w:color w:val="auto"/>
          <w:sz w:val="24"/>
          <w:highlight w:val="none"/>
        </w:rPr>
        <w:t>“</w:t>
      </w:r>
      <w:r>
        <w:rPr>
          <w:rFonts w:ascii="Times New Roman" w:cs="Times New Roman"/>
          <w:color w:val="auto"/>
          <w:sz w:val="24"/>
          <w:highlight w:val="none"/>
        </w:rPr>
        <w:t>招标公告</w:t>
      </w:r>
      <w:r>
        <w:rPr>
          <w:rFonts w:ascii="Times New Roman" w:hAnsi="Times New Roman" w:cs="Times New Roman"/>
          <w:color w:val="auto"/>
          <w:sz w:val="24"/>
          <w:highlight w:val="none"/>
        </w:rPr>
        <w:t>”</w:t>
      </w:r>
      <w:r>
        <w:rPr>
          <w:rFonts w:ascii="Times New Roman" w:cs="Times New Roman"/>
          <w:color w:val="auto"/>
          <w:sz w:val="24"/>
          <w:highlight w:val="none"/>
        </w:rPr>
        <w:t>或</w:t>
      </w:r>
      <w:r>
        <w:rPr>
          <w:rFonts w:ascii="Times New Roman" w:hAnsi="Times New Roman" w:cs="Times New Roman"/>
          <w:color w:val="auto"/>
          <w:sz w:val="24"/>
          <w:highlight w:val="none"/>
        </w:rPr>
        <w:t>“</w:t>
      </w:r>
      <w:r>
        <w:rPr>
          <w:rFonts w:ascii="Times New Roman" w:cs="Times New Roman"/>
          <w:color w:val="auto"/>
          <w:sz w:val="24"/>
          <w:highlight w:val="none"/>
        </w:rPr>
        <w:t>投标邀请书</w:t>
      </w:r>
      <w:r>
        <w:rPr>
          <w:rFonts w:ascii="Times New Roman" w:hAnsi="Times New Roman" w:cs="Times New Roman"/>
          <w:color w:val="auto"/>
          <w:sz w:val="24"/>
          <w:highlight w:val="none"/>
        </w:rPr>
        <w:t>”</w:t>
      </w:r>
      <w:r>
        <w:rPr>
          <w:rFonts w:ascii="Times New Roman" w:cs="Times New Roman"/>
          <w:color w:val="auto"/>
          <w:sz w:val="24"/>
          <w:highlight w:val="none"/>
        </w:rPr>
        <w:t>。</w:t>
      </w:r>
    </w:p>
    <w:p>
      <w:pPr>
        <w:tabs>
          <w:tab w:val="left" w:pos="1450"/>
        </w:tabs>
        <w:adjustRightInd w:val="0"/>
        <w:snapToGrid w:val="0"/>
        <w:spacing w:line="324" w:lineRule="auto"/>
        <w:ind w:left="440" w:leftChars="200" w:right="147"/>
        <w:rPr>
          <w:rFonts w:ascii="Times New Roman" w:hAnsi="Times New Roman" w:cs="Times New Roman"/>
          <w:color w:val="auto"/>
          <w:sz w:val="24"/>
          <w:highlight w:val="none"/>
        </w:rPr>
      </w:pPr>
      <w:r>
        <w:rPr>
          <w:rFonts w:hint="eastAsia" w:ascii="Times New Roman" w:cs="Times New Roman"/>
          <w:color w:val="auto"/>
          <w:sz w:val="24"/>
          <w:highlight w:val="none"/>
        </w:rPr>
        <w:t xml:space="preserve">       4.2.3</w:t>
      </w:r>
      <w:r>
        <w:rPr>
          <w:rFonts w:ascii="Times New Roman" w:cs="Times New Roman"/>
          <w:color w:val="auto"/>
          <w:sz w:val="24"/>
          <w:highlight w:val="none"/>
        </w:rPr>
        <w:t>除投标人须知前附表另有规定外，投标人所递交的投标文件不予退还。投标人少于</w:t>
      </w:r>
      <w:r>
        <w:rPr>
          <w:rFonts w:ascii="Times New Roman" w:hAnsi="Times New Roman" w:eastAsia="Times New Roman" w:cs="Times New Roman"/>
          <w:color w:val="auto"/>
          <w:sz w:val="24"/>
          <w:highlight w:val="none"/>
        </w:rPr>
        <w:t xml:space="preserve">3 </w:t>
      </w:r>
      <w:r>
        <w:rPr>
          <w:rFonts w:ascii="Times New Roman" w:cs="Times New Roman"/>
          <w:color w:val="auto"/>
          <w:sz w:val="24"/>
          <w:highlight w:val="none"/>
        </w:rPr>
        <w:t>个的，投标文件当场退还给投标人。</w:t>
      </w:r>
    </w:p>
    <w:p>
      <w:pPr>
        <w:tabs>
          <w:tab w:val="left" w:pos="1331"/>
        </w:tabs>
        <w:adjustRightInd w:val="0"/>
        <w:snapToGrid w:val="0"/>
        <w:spacing w:line="324" w:lineRule="auto"/>
        <w:ind w:right="150"/>
        <w:rPr>
          <w:rFonts w:ascii="Times New Roman" w:hAnsi="Times New Roman" w:cs="Times New Roman"/>
          <w:color w:val="auto"/>
          <w:sz w:val="24"/>
          <w:highlight w:val="none"/>
        </w:rPr>
      </w:pPr>
      <w:r>
        <w:rPr>
          <w:rFonts w:hint="eastAsia" w:ascii="Times New Roman" w:cs="Times New Roman"/>
          <w:color w:val="auto"/>
          <w:sz w:val="24"/>
          <w:highlight w:val="none"/>
        </w:rPr>
        <w:t xml:space="preserve">              4.2.4</w:t>
      </w:r>
      <w:r>
        <w:rPr>
          <w:rFonts w:ascii="Times New Roman" w:cs="Times New Roman"/>
          <w:color w:val="auto"/>
          <w:sz w:val="24"/>
          <w:highlight w:val="none"/>
        </w:rPr>
        <w:t>招标人收到投标文件后，向投标人出具签收凭证。</w:t>
      </w:r>
    </w:p>
    <w:p>
      <w:pPr>
        <w:tabs>
          <w:tab w:val="left" w:pos="1450"/>
        </w:tabs>
        <w:adjustRightInd w:val="0"/>
        <w:snapToGrid w:val="0"/>
        <w:spacing w:line="324" w:lineRule="auto"/>
        <w:ind w:right="150"/>
        <w:rPr>
          <w:rFonts w:ascii="Times New Roman" w:hAnsi="Times New Roman" w:cs="Times New Roman"/>
          <w:color w:val="auto"/>
          <w:sz w:val="24"/>
          <w:highlight w:val="none"/>
        </w:rPr>
      </w:pPr>
      <w:r>
        <w:rPr>
          <w:rFonts w:hint="eastAsia" w:ascii="Times New Roman" w:cs="Times New Roman"/>
          <w:color w:val="auto"/>
          <w:sz w:val="24"/>
          <w:highlight w:val="none"/>
        </w:rPr>
        <w:t xml:space="preserve">              4.2.5</w:t>
      </w:r>
      <w:r>
        <w:rPr>
          <w:rFonts w:ascii="Times New Roman" w:cs="Times New Roman"/>
          <w:color w:val="auto"/>
          <w:sz w:val="24"/>
          <w:highlight w:val="none"/>
        </w:rPr>
        <w:t>逾期送达的或未送达指定地点的投标文件，招标人将予以拒收。</w:t>
      </w:r>
    </w:p>
    <w:p>
      <w:pPr>
        <w:pStyle w:val="86"/>
        <w:numPr>
          <w:ilvl w:val="1"/>
          <w:numId w:val="5"/>
        </w:numPr>
        <w:tabs>
          <w:tab w:val="left" w:pos="850"/>
        </w:tabs>
        <w:adjustRightInd w:val="0"/>
        <w:snapToGrid w:val="0"/>
        <w:spacing w:line="324" w:lineRule="auto"/>
        <w:ind w:left="849" w:hanging="480"/>
        <w:rPr>
          <w:rFonts w:ascii="黑体" w:eastAsia="黑体"/>
          <w:color w:val="auto"/>
          <w:sz w:val="24"/>
          <w:highlight w:val="none"/>
        </w:rPr>
      </w:pPr>
      <w:bookmarkStart w:id="264" w:name="_bookmark59"/>
      <w:bookmarkEnd w:id="264"/>
      <w:r>
        <w:rPr>
          <w:rFonts w:hint="eastAsia" w:ascii="黑体" w:eastAsia="黑体"/>
          <w:color w:val="auto"/>
          <w:sz w:val="24"/>
          <w:highlight w:val="none"/>
        </w:rPr>
        <w:t>投标文件的修改与撤回</w:t>
      </w:r>
    </w:p>
    <w:p>
      <w:pPr>
        <w:tabs>
          <w:tab w:val="left" w:pos="1450"/>
        </w:tabs>
        <w:adjustRightInd w:val="0"/>
        <w:snapToGrid w:val="0"/>
        <w:spacing w:line="324" w:lineRule="auto"/>
        <w:ind w:left="426" w:right="325" w:firstLine="422" w:firstLineChars="176"/>
        <w:rPr>
          <w:color w:val="auto"/>
          <w:sz w:val="24"/>
          <w:highlight w:val="none"/>
        </w:rPr>
      </w:pPr>
      <w:r>
        <w:rPr>
          <w:rFonts w:hint="eastAsia" w:ascii="Times New Roman" w:cs="Times New Roman"/>
          <w:color w:val="auto"/>
          <w:sz w:val="24"/>
          <w:highlight w:val="none"/>
        </w:rPr>
        <w:t>4.3.1</w:t>
      </w:r>
      <w:r>
        <w:rPr>
          <w:rFonts w:ascii="Times New Roman" w:cs="Times New Roman"/>
          <w:color w:val="auto"/>
          <w:sz w:val="24"/>
          <w:highlight w:val="none"/>
        </w:rPr>
        <w:t>在本章第 4.2.1 项规定的投标截止时间前，投标人可以修改或撤回已递交的</w:t>
      </w:r>
      <w:r>
        <w:rPr>
          <w:color w:val="auto"/>
          <w:spacing w:val="-8"/>
          <w:sz w:val="24"/>
          <w:highlight w:val="none"/>
        </w:rPr>
        <w:t>投标文件，但应以书面形式通知招标人。</w:t>
      </w:r>
    </w:p>
    <w:p>
      <w:pPr>
        <w:tabs>
          <w:tab w:val="left" w:pos="426"/>
        </w:tabs>
        <w:adjustRightInd w:val="0"/>
        <w:snapToGrid w:val="0"/>
        <w:spacing w:line="324" w:lineRule="auto"/>
        <w:ind w:left="426" w:firstLine="422" w:firstLineChars="176"/>
        <w:rPr>
          <w:color w:val="auto"/>
          <w:spacing w:val="-8"/>
          <w:sz w:val="24"/>
          <w:highlight w:val="none"/>
        </w:rPr>
      </w:pPr>
      <w:r>
        <w:rPr>
          <w:rFonts w:hint="eastAsia" w:ascii="Times New Roman" w:cs="Times New Roman"/>
          <w:color w:val="auto"/>
          <w:sz w:val="24"/>
          <w:highlight w:val="none"/>
        </w:rPr>
        <w:t>4.3.2</w:t>
      </w:r>
      <w:r>
        <w:rPr>
          <w:rFonts w:hint="eastAsia"/>
          <w:color w:val="auto"/>
          <w:spacing w:val="-8"/>
          <w:sz w:val="24"/>
          <w:highlight w:val="none"/>
        </w:rPr>
        <w:t>投标人修改或撤回已递交投标文件的书面通知应按照</w:t>
      </w:r>
      <w:r>
        <w:rPr>
          <w:color w:val="auto"/>
          <w:highlight w:val="none"/>
        </w:rPr>
        <w:fldChar w:fldCharType="begin"/>
      </w:r>
      <w:r>
        <w:rPr>
          <w:color w:val="auto"/>
          <w:highlight w:val="none"/>
        </w:rPr>
        <w:instrText xml:space="preserve"> HYPERLINK \l "_3.7_投标文件的编制（适用于纸质招标文件）" </w:instrText>
      </w:r>
      <w:r>
        <w:rPr>
          <w:color w:val="auto"/>
          <w:highlight w:val="none"/>
        </w:rPr>
        <w:fldChar w:fldCharType="separate"/>
      </w:r>
      <w:r>
        <w:rPr>
          <w:rFonts w:hint="eastAsia"/>
          <w:color w:val="auto"/>
          <w:spacing w:val="-8"/>
          <w:sz w:val="24"/>
          <w:highlight w:val="none"/>
        </w:rPr>
        <w:t>本章第</w:t>
      </w:r>
      <w:r>
        <w:rPr>
          <w:color w:val="auto"/>
          <w:spacing w:val="-8"/>
          <w:sz w:val="24"/>
          <w:highlight w:val="none"/>
        </w:rPr>
        <w:t xml:space="preserve">3.7.3 </w:t>
      </w:r>
      <w:r>
        <w:rPr>
          <w:rFonts w:hint="eastAsia"/>
          <w:color w:val="auto"/>
          <w:spacing w:val="-8"/>
          <w:sz w:val="24"/>
          <w:highlight w:val="none"/>
        </w:rPr>
        <w:t>项</w:t>
      </w:r>
      <w:r>
        <w:rPr>
          <w:rFonts w:hint="eastAsia"/>
          <w:color w:val="auto"/>
          <w:spacing w:val="-8"/>
          <w:sz w:val="24"/>
          <w:highlight w:val="none"/>
        </w:rPr>
        <w:fldChar w:fldCharType="end"/>
      </w:r>
      <w:r>
        <w:rPr>
          <w:rFonts w:hint="eastAsia"/>
          <w:color w:val="auto"/>
          <w:spacing w:val="-8"/>
          <w:sz w:val="24"/>
          <w:highlight w:val="none"/>
        </w:rPr>
        <w:t>的要求签字或盖章。招标人收到书面通知后，向投标人出具签收凭证。</w:t>
      </w:r>
    </w:p>
    <w:p>
      <w:pPr>
        <w:tabs>
          <w:tab w:val="left" w:pos="1450"/>
        </w:tabs>
        <w:adjustRightInd w:val="0"/>
        <w:snapToGrid w:val="0"/>
        <w:spacing w:line="324" w:lineRule="auto"/>
        <w:ind w:left="426" w:right="324" w:firstLine="422" w:firstLineChars="176"/>
        <w:rPr>
          <w:color w:val="auto"/>
          <w:sz w:val="24"/>
          <w:highlight w:val="none"/>
        </w:rPr>
      </w:pPr>
      <w:r>
        <w:rPr>
          <w:rFonts w:hint="eastAsia" w:ascii="Times New Roman" w:cs="Times New Roman"/>
          <w:color w:val="auto"/>
          <w:sz w:val="24"/>
          <w:highlight w:val="none"/>
        </w:rPr>
        <w:t>4.3.3</w:t>
      </w:r>
      <w:r>
        <w:rPr>
          <w:color w:val="auto"/>
          <w:spacing w:val="-2"/>
          <w:sz w:val="24"/>
          <w:highlight w:val="none"/>
        </w:rPr>
        <w:t xml:space="preserve">投标人撤回投标文件的，招标人自收到投标人书面撤回通知之日起 </w:t>
      </w:r>
      <w:r>
        <w:rPr>
          <w:rFonts w:ascii="Times New Roman" w:eastAsia="Times New Roman"/>
          <w:color w:val="auto"/>
          <w:sz w:val="24"/>
          <w:highlight w:val="none"/>
        </w:rPr>
        <w:t>5</w:t>
      </w:r>
      <w:r>
        <w:rPr>
          <w:color w:val="auto"/>
          <w:sz w:val="24"/>
          <w:highlight w:val="none"/>
        </w:rPr>
        <w:t>日内退还已收取的投标保证金。</w:t>
      </w:r>
    </w:p>
    <w:p>
      <w:pPr>
        <w:tabs>
          <w:tab w:val="left" w:pos="1450"/>
        </w:tabs>
        <w:adjustRightInd w:val="0"/>
        <w:snapToGrid w:val="0"/>
        <w:spacing w:line="324" w:lineRule="auto"/>
        <w:ind w:left="426" w:right="324" w:firstLine="422" w:firstLineChars="176"/>
        <w:rPr>
          <w:color w:val="auto"/>
          <w:sz w:val="24"/>
          <w:highlight w:val="none"/>
        </w:rPr>
      </w:pPr>
      <w:r>
        <w:rPr>
          <w:rFonts w:hint="eastAsia" w:ascii="Times New Roman" w:cs="Times New Roman"/>
          <w:color w:val="auto"/>
          <w:sz w:val="24"/>
          <w:highlight w:val="none"/>
        </w:rPr>
        <w:t>4.3.4</w:t>
      </w:r>
      <w:r>
        <w:rPr>
          <w:color w:val="auto"/>
          <w:spacing w:val="-2"/>
          <w:sz w:val="24"/>
          <w:highlight w:val="none"/>
        </w:rPr>
        <w:t xml:space="preserve">修改的内容为投标文件的组成部分。修改的投标文件应按照本章第 </w:t>
      </w:r>
      <w:r>
        <w:rPr>
          <w:rFonts w:ascii="Times New Roman" w:hAnsi="Times New Roman" w:eastAsia="Times New Roman"/>
          <w:color w:val="auto"/>
          <w:sz w:val="24"/>
          <w:highlight w:val="none"/>
        </w:rPr>
        <w:t>3</w:t>
      </w:r>
      <w:r>
        <w:rPr>
          <w:color w:val="auto"/>
          <w:sz w:val="24"/>
          <w:highlight w:val="none"/>
        </w:rPr>
        <w:t>条、</w:t>
      </w:r>
      <w:r>
        <w:rPr>
          <w:color w:val="auto"/>
          <w:spacing w:val="-31"/>
          <w:sz w:val="24"/>
          <w:highlight w:val="none"/>
        </w:rPr>
        <w:t xml:space="preserve">第 </w:t>
      </w:r>
      <w:r>
        <w:rPr>
          <w:rFonts w:ascii="Times New Roman" w:hAnsi="Times New Roman" w:eastAsia="Times New Roman"/>
          <w:color w:val="auto"/>
          <w:sz w:val="24"/>
          <w:highlight w:val="none"/>
        </w:rPr>
        <w:t>4</w:t>
      </w:r>
      <w:r>
        <w:rPr>
          <w:color w:val="auto"/>
          <w:sz w:val="24"/>
          <w:highlight w:val="none"/>
        </w:rPr>
        <w:t>条的规定进行编制、密封、标记和递交，并标明</w:t>
      </w:r>
      <w:r>
        <w:rPr>
          <w:rFonts w:ascii="Times New Roman" w:hAnsi="Times New Roman" w:eastAsia="Times New Roman"/>
          <w:color w:val="auto"/>
          <w:sz w:val="24"/>
          <w:highlight w:val="none"/>
        </w:rPr>
        <w:t>“</w:t>
      </w:r>
      <w:r>
        <w:rPr>
          <w:color w:val="auto"/>
          <w:sz w:val="24"/>
          <w:highlight w:val="none"/>
        </w:rPr>
        <w:t>修改</w:t>
      </w:r>
      <w:r>
        <w:rPr>
          <w:rFonts w:ascii="Times New Roman" w:hAnsi="Times New Roman" w:eastAsia="Times New Roman"/>
          <w:color w:val="auto"/>
          <w:sz w:val="24"/>
          <w:highlight w:val="none"/>
        </w:rPr>
        <w:t>”</w:t>
      </w:r>
      <w:r>
        <w:rPr>
          <w:color w:val="auto"/>
          <w:sz w:val="24"/>
          <w:highlight w:val="none"/>
        </w:rPr>
        <w:t>字样。</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265" w:name="_bookmark60"/>
      <w:bookmarkEnd w:id="265"/>
      <w:bookmarkStart w:id="266" w:name="_Toc2345"/>
      <w:bookmarkStart w:id="267" w:name="_Toc10854"/>
      <w:bookmarkStart w:id="268" w:name="_Toc28903"/>
      <w:bookmarkStart w:id="269" w:name="_Toc316"/>
      <w:bookmarkStart w:id="270" w:name="_Toc5558"/>
      <w:bookmarkStart w:id="271" w:name="_Toc6752"/>
      <w:bookmarkStart w:id="272" w:name="_Toc31770"/>
      <w:bookmarkStart w:id="273" w:name="_Toc32467"/>
      <w:bookmarkStart w:id="274" w:name="_Toc10043"/>
      <w:bookmarkStart w:id="275" w:name="_Toc31576"/>
      <w:bookmarkStart w:id="276" w:name="_Toc5008"/>
      <w:bookmarkStart w:id="277" w:name="_Toc7433"/>
      <w:bookmarkStart w:id="278" w:name="_Toc29069"/>
      <w:bookmarkStart w:id="279" w:name="_Toc12399"/>
      <w:bookmarkStart w:id="280" w:name="_Toc4351"/>
      <w:bookmarkStart w:id="281" w:name="_Toc22479"/>
      <w:bookmarkStart w:id="282" w:name="_Toc8234"/>
      <w:r>
        <w:rPr>
          <w:rFonts w:hint="eastAsia" w:ascii="黑体" w:eastAsia="黑体"/>
          <w:color w:val="auto"/>
          <w:sz w:val="28"/>
          <w:highlight w:val="none"/>
        </w:rPr>
        <w:t>开标</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283" w:name="_bookmark61"/>
      <w:bookmarkEnd w:id="283"/>
      <w:r>
        <w:rPr>
          <w:rFonts w:hint="eastAsia" w:ascii="黑体" w:eastAsia="黑体"/>
          <w:color w:val="auto"/>
          <w:sz w:val="24"/>
          <w:highlight w:val="none"/>
        </w:rPr>
        <w:t>开标时间和地点</w:t>
      </w:r>
    </w:p>
    <w:p>
      <w:pPr>
        <w:pStyle w:val="20"/>
        <w:adjustRightInd w:val="0"/>
        <w:snapToGrid w:val="0"/>
        <w:spacing w:line="324" w:lineRule="auto"/>
        <w:ind w:left="849"/>
        <w:rPr>
          <w:color w:val="auto"/>
          <w:highlight w:val="none"/>
        </w:rPr>
      </w:pPr>
      <w:r>
        <w:rPr>
          <w:color w:val="auto"/>
          <w:highlight w:val="none"/>
        </w:rPr>
        <w:t xml:space="preserve">招标人在本章第 </w:t>
      </w:r>
      <w:r>
        <w:rPr>
          <w:rFonts w:ascii="Times New Roman" w:eastAsia="Times New Roman"/>
          <w:color w:val="auto"/>
          <w:highlight w:val="none"/>
        </w:rPr>
        <w:t xml:space="preserve">4.2.1 </w:t>
      </w:r>
      <w:r>
        <w:rPr>
          <w:color w:val="auto"/>
          <w:highlight w:val="none"/>
        </w:rPr>
        <w:t>项规定的投标截止时间（开标时间）和投标人须知前附表</w:t>
      </w:r>
    </w:p>
    <w:p>
      <w:pPr>
        <w:pStyle w:val="20"/>
        <w:adjustRightInd w:val="0"/>
        <w:snapToGrid w:val="0"/>
        <w:spacing w:line="324" w:lineRule="auto"/>
        <w:ind w:left="369" w:right="327"/>
        <w:rPr>
          <w:color w:val="auto"/>
          <w:highlight w:val="none"/>
        </w:rPr>
      </w:pPr>
      <w:r>
        <w:rPr>
          <w:color w:val="auto"/>
          <w:spacing w:val="-2"/>
          <w:highlight w:val="none"/>
        </w:rPr>
        <w:t>规定的地点对收到的投标文件第一个信封</w:t>
      </w:r>
      <w:r>
        <w:rPr>
          <w:color w:val="auto"/>
          <w:highlight w:val="none"/>
        </w:rPr>
        <w:t>（商务及技术文件</w:t>
      </w:r>
      <w:r>
        <w:rPr>
          <w:color w:val="auto"/>
          <w:spacing w:val="-32"/>
          <w:highlight w:val="none"/>
        </w:rPr>
        <w:t>）</w:t>
      </w:r>
      <w:r>
        <w:rPr>
          <w:color w:val="auto"/>
          <w:spacing w:val="-6"/>
          <w:highlight w:val="none"/>
        </w:rPr>
        <w:t>公开开标，并邀请所有投标人的法定代表人或其委托代理人准时参加。</w:t>
      </w:r>
    </w:p>
    <w:p>
      <w:pPr>
        <w:pStyle w:val="20"/>
        <w:adjustRightInd w:val="0"/>
        <w:snapToGrid w:val="0"/>
        <w:spacing w:line="324" w:lineRule="auto"/>
        <w:ind w:left="369" w:right="319" w:firstLine="479"/>
        <w:rPr>
          <w:color w:val="auto"/>
          <w:highlight w:val="none"/>
        </w:rPr>
      </w:pPr>
      <w:r>
        <w:rPr>
          <w:color w:val="auto"/>
          <w:highlight w:val="none"/>
        </w:rPr>
        <w:t>招标人在投标人须知前附表规定的时间和地点对投标文件第二个信封（报价文件）公开开标，并邀请所有投标人的法定代表人或其委托代理人准时参加。</w:t>
      </w:r>
    </w:p>
    <w:p>
      <w:pPr>
        <w:pStyle w:val="20"/>
        <w:adjustRightInd w:val="0"/>
        <w:snapToGrid w:val="0"/>
        <w:spacing w:line="324" w:lineRule="auto"/>
        <w:ind w:left="369" w:right="326" w:firstLine="479"/>
        <w:rPr>
          <w:color w:val="auto"/>
          <w:spacing w:val="-4"/>
          <w:highlight w:val="none"/>
        </w:rPr>
      </w:pPr>
      <w:r>
        <w:rPr>
          <w:color w:val="auto"/>
          <w:spacing w:val="-4"/>
          <w:highlight w:val="none"/>
        </w:rPr>
        <w:t>投标人若未派法定代表人或委托代理人出席开标活动，视为该投标人默认开标结果。</w:t>
      </w:r>
    </w:p>
    <w:p>
      <w:pPr>
        <w:pStyle w:val="86"/>
        <w:numPr>
          <w:ilvl w:val="1"/>
          <w:numId w:val="7"/>
        </w:numPr>
        <w:tabs>
          <w:tab w:val="left" w:pos="790"/>
        </w:tabs>
        <w:adjustRightInd w:val="0"/>
        <w:snapToGrid w:val="0"/>
        <w:spacing w:line="324" w:lineRule="auto"/>
        <w:ind w:left="789" w:hanging="420"/>
        <w:rPr>
          <w:rFonts w:ascii="黑体" w:eastAsia="黑体"/>
          <w:color w:val="auto"/>
          <w:sz w:val="24"/>
          <w:highlight w:val="none"/>
        </w:rPr>
      </w:pPr>
      <w:bookmarkStart w:id="284" w:name="_bookmark63"/>
      <w:bookmarkEnd w:id="284"/>
      <w:r>
        <w:rPr>
          <w:rFonts w:hint="eastAsia" w:ascii="黑体" w:eastAsia="黑体"/>
          <w:color w:val="auto"/>
          <w:sz w:val="24"/>
          <w:highlight w:val="none"/>
        </w:rPr>
        <w:t>开标程序</w:t>
      </w:r>
    </w:p>
    <w:p>
      <w:pPr>
        <w:pStyle w:val="86"/>
        <w:numPr>
          <w:ilvl w:val="2"/>
          <w:numId w:val="7"/>
        </w:numPr>
        <w:tabs>
          <w:tab w:val="left" w:pos="1450"/>
        </w:tabs>
        <w:adjustRightInd w:val="0"/>
        <w:snapToGrid w:val="0"/>
        <w:spacing w:line="324" w:lineRule="auto"/>
        <w:ind w:firstLine="480"/>
        <w:rPr>
          <w:rFonts w:ascii="Times New Roman" w:hAnsi="Times New Roman" w:cs="Times New Roman"/>
          <w:color w:val="auto"/>
          <w:sz w:val="24"/>
          <w:highlight w:val="none"/>
        </w:rPr>
      </w:pPr>
      <w:r>
        <w:rPr>
          <w:rFonts w:ascii="Times New Roman" w:cs="Times New Roman"/>
          <w:color w:val="auto"/>
          <w:sz w:val="24"/>
          <w:highlight w:val="none"/>
        </w:rPr>
        <w:t>主持人按下列程序对投标文件第一个信封（商务及技术文件）进行开标：</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）宣布开标纪律；</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）公布在投标截止时间前递交投标文件的投标人数量；</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）宣布开标人、唱标人、记录人等有关人员姓名；</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）按照投标人须知前附表规定由投标人推选的代表检查投标文件的密封情况；</w:t>
      </w:r>
    </w:p>
    <w:p>
      <w:pPr>
        <w:pStyle w:val="20"/>
        <w:adjustRightInd w:val="0"/>
        <w:snapToGrid w:val="0"/>
        <w:spacing w:line="324" w:lineRule="auto"/>
        <w:ind w:left="369" w:right="327" w:firstLine="360"/>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5</w:t>
      </w:r>
      <w:r>
        <w:rPr>
          <w:rFonts w:ascii="Times New Roman" w:cs="Times New Roman"/>
          <w:color w:val="auto"/>
          <w:spacing w:val="-11"/>
          <w:highlight w:val="none"/>
        </w:rPr>
        <w:t>）</w:t>
      </w:r>
      <w:r>
        <w:rPr>
          <w:rFonts w:ascii="Times New Roman" w:cs="Times New Roman"/>
          <w:color w:val="auto"/>
          <w:spacing w:val="-3"/>
          <w:highlight w:val="none"/>
        </w:rPr>
        <w:t>按照投标人须知前附表规定的开标顺序当众开标，公布标段名称、投标人名称、投标保证金的递交情况、工期及其他内容，并记录在案；</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6</w:t>
      </w:r>
      <w:r>
        <w:rPr>
          <w:rFonts w:ascii="Times New Roman" w:cs="Times New Roman"/>
          <w:color w:val="auto"/>
          <w:highlight w:val="none"/>
        </w:rPr>
        <w:t>）投标人代表、招标人代表、记录人等有关人员在开标记录上签字确认；</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7</w:t>
      </w:r>
      <w:r>
        <w:rPr>
          <w:rFonts w:ascii="Times New Roman" w:cs="Times New Roman"/>
          <w:color w:val="auto"/>
          <w:highlight w:val="none"/>
        </w:rPr>
        <w:t>）开标结束。</w:t>
      </w:r>
    </w:p>
    <w:p>
      <w:pPr>
        <w:pStyle w:val="86"/>
        <w:numPr>
          <w:ilvl w:val="2"/>
          <w:numId w:val="7"/>
        </w:numPr>
        <w:tabs>
          <w:tab w:val="left" w:pos="1450"/>
        </w:tabs>
        <w:adjustRightInd w:val="0"/>
        <w:snapToGrid w:val="0"/>
        <w:spacing w:line="324" w:lineRule="auto"/>
        <w:ind w:right="328" w:firstLine="480"/>
        <w:rPr>
          <w:rFonts w:ascii="Times New Roman" w:hAnsi="Times New Roman" w:cs="Times New Roman"/>
          <w:color w:val="auto"/>
          <w:sz w:val="24"/>
          <w:highlight w:val="none"/>
        </w:rPr>
      </w:pPr>
      <w:r>
        <w:rPr>
          <w:rFonts w:ascii="Times New Roman" w:cs="Times New Roman"/>
          <w:color w:val="auto"/>
          <w:sz w:val="24"/>
          <w:highlight w:val="none"/>
        </w:rPr>
        <w:t>在投标文件第一个信封（商务及技术文件）开标现场，投标文件第二个信封（报价文件）不予开封，由招标人密封保存。</w:t>
      </w:r>
    </w:p>
    <w:p>
      <w:pPr>
        <w:pStyle w:val="86"/>
        <w:numPr>
          <w:ilvl w:val="2"/>
          <w:numId w:val="7"/>
        </w:numPr>
        <w:tabs>
          <w:tab w:val="left" w:pos="1450"/>
        </w:tabs>
        <w:adjustRightInd w:val="0"/>
        <w:snapToGrid w:val="0"/>
        <w:spacing w:line="324" w:lineRule="auto"/>
        <w:ind w:right="324" w:firstLine="480"/>
        <w:rPr>
          <w:rFonts w:ascii="Times New Roman" w:hAnsi="Times New Roman" w:cs="Times New Roman"/>
          <w:color w:val="auto"/>
          <w:sz w:val="24"/>
          <w:highlight w:val="none"/>
        </w:rPr>
      </w:pPr>
      <w:r>
        <w:rPr>
          <w:rFonts w:ascii="Times New Roman" w:cs="Times New Roman"/>
          <w:color w:val="auto"/>
          <w:spacing w:val="-2"/>
          <w:sz w:val="24"/>
          <w:highlight w:val="none"/>
        </w:rPr>
        <w:t>招标人将按照本章第</w:t>
      </w:r>
      <w:r>
        <w:rPr>
          <w:rFonts w:ascii="Times New Roman" w:hAnsi="Times New Roman" w:eastAsia="Times New Roman" w:cs="Times New Roman"/>
          <w:color w:val="auto"/>
          <w:sz w:val="24"/>
          <w:highlight w:val="none"/>
        </w:rPr>
        <w:t>5.1</w:t>
      </w:r>
      <w:r>
        <w:rPr>
          <w:rFonts w:ascii="Times New Roman" w:cs="Times New Roman"/>
          <w:color w:val="auto"/>
          <w:sz w:val="24"/>
          <w:highlight w:val="none"/>
        </w:rPr>
        <w:t>款规定的时间和地点对投标文件第二个信封（报价文件）进行开标。主持人按下列程序进行开标：</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）宣布开标纪律；</w:t>
      </w:r>
    </w:p>
    <w:p>
      <w:pPr>
        <w:pStyle w:val="20"/>
        <w:adjustRightInd w:val="0"/>
        <w:snapToGrid w:val="0"/>
        <w:spacing w:line="324" w:lineRule="auto"/>
        <w:ind w:left="369" w:right="329" w:firstLine="360"/>
        <w:rPr>
          <w:rFonts w:ascii="Times New Roman" w:hAnsi="Times New Roman" w:cs="Times New Roman"/>
          <w:color w:val="auto"/>
          <w:highlight w:val="none"/>
        </w:rPr>
      </w:pPr>
      <w:r>
        <w:rPr>
          <w:rFonts w:ascii="Times New Roman" w:cs="Times New Roman"/>
          <w:color w:val="auto"/>
          <w:spacing w:val="-9"/>
          <w:highlight w:val="none"/>
        </w:rPr>
        <w:t>（</w:t>
      </w:r>
      <w:r>
        <w:rPr>
          <w:rFonts w:ascii="Times New Roman" w:hAnsi="Times New Roman" w:eastAsia="Times New Roman" w:cs="Times New Roman"/>
          <w:color w:val="auto"/>
          <w:spacing w:val="-9"/>
          <w:highlight w:val="none"/>
        </w:rPr>
        <w:t>2</w:t>
      </w:r>
      <w:r>
        <w:rPr>
          <w:rFonts w:ascii="Times New Roman" w:cs="Times New Roman"/>
          <w:color w:val="auto"/>
          <w:spacing w:val="-9"/>
          <w:highlight w:val="none"/>
        </w:rPr>
        <w:t>）</w:t>
      </w:r>
      <w:r>
        <w:rPr>
          <w:rFonts w:ascii="Times New Roman" w:cs="Times New Roman"/>
          <w:color w:val="auto"/>
          <w:spacing w:val="-2"/>
          <w:highlight w:val="none"/>
        </w:rPr>
        <w:t>当众拆开投标文件第一个信封</w:t>
      </w:r>
      <w:r>
        <w:rPr>
          <w:rFonts w:ascii="Times New Roman" w:cs="Times New Roman"/>
          <w:color w:val="auto"/>
          <w:highlight w:val="none"/>
        </w:rPr>
        <w:t>（商务及技术文件</w:t>
      </w:r>
      <w:r>
        <w:rPr>
          <w:rFonts w:ascii="Times New Roman" w:cs="Times New Roman"/>
          <w:color w:val="auto"/>
          <w:spacing w:val="-24"/>
          <w:highlight w:val="none"/>
        </w:rPr>
        <w:t>）</w:t>
      </w:r>
      <w:r>
        <w:rPr>
          <w:rFonts w:ascii="Times New Roman" w:cs="Times New Roman"/>
          <w:color w:val="auto"/>
          <w:spacing w:val="-3"/>
          <w:highlight w:val="none"/>
        </w:rPr>
        <w:t>评审结果的密封袋，宣布通过投标文件第一个信封（商务及技术文件）评审的投标人名单；</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）宣布开标人、唱标人、记录人等有关人员姓名；</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）按照投标人须知前附表规定由投标人推选的代表检查投标文件的密封情况；</w:t>
      </w:r>
    </w:p>
    <w:p>
      <w:pPr>
        <w:pStyle w:val="20"/>
        <w:adjustRightInd w:val="0"/>
        <w:snapToGrid w:val="0"/>
        <w:spacing w:line="324" w:lineRule="auto"/>
        <w:ind w:left="369" w:right="325" w:firstLine="360"/>
        <w:jc w:val="both"/>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5</w:t>
      </w:r>
      <w:r>
        <w:rPr>
          <w:rFonts w:ascii="Times New Roman" w:cs="Times New Roman"/>
          <w:color w:val="auto"/>
          <w:spacing w:val="-16"/>
          <w:highlight w:val="none"/>
        </w:rPr>
        <w:t>）</w:t>
      </w:r>
      <w:r>
        <w:rPr>
          <w:rFonts w:ascii="Times New Roman" w:cs="Times New Roman"/>
          <w:color w:val="auto"/>
          <w:spacing w:val="-3"/>
          <w:highlight w:val="none"/>
        </w:rPr>
        <w:t>按照投标人须知前附表规定的开标顺序当众开标，开标人只拆封通过投标文</w:t>
      </w:r>
      <w:r>
        <w:rPr>
          <w:rFonts w:ascii="Times New Roman" w:cs="Times New Roman"/>
          <w:color w:val="auto"/>
          <w:spacing w:val="-2"/>
          <w:highlight w:val="none"/>
        </w:rPr>
        <w:t>件第一个信封</w:t>
      </w:r>
      <w:r>
        <w:rPr>
          <w:rFonts w:ascii="Times New Roman" w:cs="Times New Roman"/>
          <w:color w:val="auto"/>
          <w:spacing w:val="1"/>
          <w:highlight w:val="none"/>
        </w:rPr>
        <w:t>（</w:t>
      </w:r>
      <w:r>
        <w:rPr>
          <w:rFonts w:ascii="Times New Roman" w:cs="Times New Roman"/>
          <w:color w:val="auto"/>
          <w:highlight w:val="none"/>
        </w:rPr>
        <w:t>商务及技术文件）评审的投标文件第二个信封（报价文件</w:t>
      </w:r>
      <w:r>
        <w:rPr>
          <w:rFonts w:ascii="Times New Roman" w:cs="Times New Roman"/>
          <w:color w:val="auto"/>
          <w:spacing w:val="-120"/>
          <w:highlight w:val="none"/>
        </w:rPr>
        <w:t>）</w:t>
      </w:r>
      <w:r>
        <w:rPr>
          <w:rFonts w:ascii="Times New Roman" w:cs="Times New Roman"/>
          <w:color w:val="auto"/>
          <w:highlight w:val="none"/>
        </w:rPr>
        <w:t>，公布标段名称、投标人名称、投标报价</w:t>
      </w:r>
      <w:r>
        <w:rPr>
          <w:rFonts w:hint="eastAsia"/>
          <w:sz w:val="24"/>
          <w:vertAlign w:val="superscript"/>
          <w:lang w:val="en-US" w:eastAsia="zh-CN"/>
        </w:rPr>
        <w:t>1</w:t>
      </w:r>
      <w:r>
        <w:rPr>
          <w:rFonts w:ascii="Times New Roman" w:cs="Times New Roman"/>
          <w:color w:val="auto"/>
          <w:highlight w:val="none"/>
        </w:rPr>
        <w:t>及其他内容，并记录在案；</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6</w:t>
      </w:r>
      <w:r>
        <w:rPr>
          <w:rFonts w:ascii="Times New Roman" w:cs="Times New Roman"/>
          <w:color w:val="auto"/>
          <w:highlight w:val="none"/>
        </w:rPr>
        <w:t>）计算并宣布评标基准价；</w:t>
      </w:r>
    </w:p>
    <w:p>
      <w:pPr>
        <w:pStyle w:val="20"/>
        <w:adjustRightInd w:val="0"/>
        <w:snapToGrid w:val="0"/>
        <w:spacing w:line="324" w:lineRule="auto"/>
        <w:ind w:left="369" w:right="327" w:firstLine="360"/>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7</w:t>
      </w:r>
      <w:r>
        <w:rPr>
          <w:rFonts w:ascii="Times New Roman" w:cs="Times New Roman"/>
          <w:color w:val="auto"/>
          <w:spacing w:val="-11"/>
          <w:highlight w:val="none"/>
        </w:rPr>
        <w:t>）</w:t>
      </w:r>
      <w:r>
        <w:rPr>
          <w:rFonts w:ascii="Times New Roman" w:cs="Times New Roman"/>
          <w:color w:val="auto"/>
          <w:spacing w:val="-3"/>
          <w:highlight w:val="none"/>
        </w:rPr>
        <w:t>将未通过投标文件第一个信封</w:t>
      </w:r>
      <w:r>
        <w:rPr>
          <w:rFonts w:ascii="Times New Roman" w:cs="Times New Roman"/>
          <w:color w:val="auto"/>
          <w:highlight w:val="none"/>
        </w:rPr>
        <w:t>（商务及技术文件</w:t>
      </w:r>
      <w:r>
        <w:rPr>
          <w:rFonts w:ascii="Times New Roman" w:cs="Times New Roman"/>
          <w:color w:val="auto"/>
          <w:spacing w:val="-32"/>
          <w:highlight w:val="none"/>
        </w:rPr>
        <w:t>）</w:t>
      </w:r>
      <w:r>
        <w:rPr>
          <w:rFonts w:ascii="Times New Roman" w:cs="Times New Roman"/>
          <w:color w:val="auto"/>
          <w:highlight w:val="none"/>
        </w:rPr>
        <w:t>评审的投标文件第二个信封（报价文件）退还给投标人；</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8</w:t>
      </w:r>
      <w:r>
        <w:rPr>
          <w:rFonts w:ascii="Times New Roman" w:cs="Times New Roman"/>
          <w:color w:val="auto"/>
          <w:highlight w:val="none"/>
        </w:rPr>
        <w:t>）投标人代表、招标人代表、记录人等有关人员在开标记录上签字确认；</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9</w:t>
      </w:r>
      <w:r>
        <w:rPr>
          <w:rFonts w:ascii="Times New Roman" w:cs="Times New Roman"/>
          <w:color w:val="auto"/>
          <w:highlight w:val="none"/>
        </w:rPr>
        <w:t>）开标结束。</w:t>
      </w:r>
    </w:p>
    <w:p>
      <w:pPr>
        <w:pStyle w:val="86"/>
        <w:numPr>
          <w:ilvl w:val="2"/>
          <w:numId w:val="7"/>
        </w:numPr>
        <w:tabs>
          <w:tab w:val="left" w:pos="1450"/>
        </w:tabs>
        <w:adjustRightInd w:val="0"/>
        <w:snapToGrid w:val="0"/>
        <w:spacing w:line="324" w:lineRule="auto"/>
        <w:ind w:right="327" w:firstLine="480"/>
        <w:jc w:val="both"/>
        <w:rPr>
          <w:rFonts w:ascii="Times New Roman" w:hAnsi="Times New Roman" w:cs="Times New Roman"/>
          <w:color w:val="auto"/>
          <w:sz w:val="24"/>
          <w:highlight w:val="none"/>
        </w:rPr>
      </w:pPr>
      <w:r>
        <w:rPr>
          <w:rFonts w:ascii="Times New Roman" w:cs="Times New Roman"/>
          <w:color w:val="auto"/>
          <w:sz w:val="24"/>
          <w:highlight w:val="none"/>
        </w:rPr>
        <w:t>若采用合理低价法或综合评分法，在投标文件第二个信封（报价文件）开</w:t>
      </w:r>
      <w:r>
        <w:rPr>
          <w:rFonts w:ascii="Times New Roman" w:cs="Times New Roman"/>
          <w:color w:val="auto"/>
          <w:spacing w:val="-9"/>
          <w:sz w:val="24"/>
          <w:highlight w:val="none"/>
        </w:rPr>
        <w:t>标现场，招标人将按第三章</w:t>
      </w:r>
      <w:r>
        <w:rPr>
          <w:rFonts w:ascii="Times New Roman" w:hAnsi="Times New Roman" w:cs="Times New Roman"/>
          <w:color w:val="auto"/>
          <w:spacing w:val="-9"/>
          <w:sz w:val="24"/>
          <w:highlight w:val="none"/>
        </w:rPr>
        <w:t>“</w:t>
      </w:r>
      <w:r>
        <w:rPr>
          <w:rFonts w:ascii="Times New Roman" w:cs="Times New Roman"/>
          <w:color w:val="auto"/>
          <w:spacing w:val="-9"/>
          <w:sz w:val="24"/>
          <w:highlight w:val="none"/>
        </w:rPr>
        <w:t>评标办法</w:t>
      </w:r>
      <w:r>
        <w:rPr>
          <w:rFonts w:ascii="Times New Roman" w:hAnsi="Times New Roman" w:cs="Times New Roman"/>
          <w:color w:val="auto"/>
          <w:spacing w:val="-9"/>
          <w:sz w:val="24"/>
          <w:highlight w:val="none"/>
        </w:rPr>
        <w:t>”</w:t>
      </w:r>
      <w:r>
        <w:rPr>
          <w:rFonts w:ascii="Times New Roman" w:cs="Times New Roman"/>
          <w:color w:val="auto"/>
          <w:spacing w:val="-9"/>
          <w:sz w:val="24"/>
          <w:highlight w:val="none"/>
        </w:rPr>
        <w:t>规定的原则计算并宣布评标基准价。若招标人发现投标文件出现以下任一情况，其投标报价将不再参加评标基准价的计算：</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）未在投标函上填写投标总价；</w:t>
      </w:r>
    </w:p>
    <w:p>
      <w:pPr>
        <w:pStyle w:val="20"/>
        <w:adjustRightInd w:val="0"/>
        <w:snapToGrid w:val="0"/>
        <w:spacing w:line="324" w:lineRule="auto"/>
        <w:ind w:left="729"/>
        <w:rPr>
          <w:rFonts w:ascii="Times New Roman" w:cs="Times New Roman"/>
          <w:color w:val="auto"/>
          <w:spacing w:val="-1"/>
          <w:highlight w:val="none"/>
        </w:rPr>
      </w:pPr>
    </w:p>
    <w:p>
      <w:pPr>
        <w:pStyle w:val="20"/>
        <w:adjustRightInd w:val="0"/>
        <w:snapToGrid w:val="0"/>
        <w:spacing w:line="324" w:lineRule="auto"/>
        <w:ind w:left="729"/>
        <w:rPr>
          <w:rFonts w:ascii="Times New Roman" w:cs="Times New Roman"/>
          <w:color w:val="auto"/>
          <w:spacing w:val="-1"/>
          <w:highlight w:val="none"/>
        </w:rPr>
      </w:pPr>
    </w:p>
    <w:p>
      <w:pPr>
        <w:pStyle w:val="20"/>
        <w:adjustRightInd w:val="0"/>
        <w:snapToGrid w:val="0"/>
        <w:spacing w:line="324" w:lineRule="auto"/>
        <w:ind w:left="729"/>
        <w:rPr>
          <w:rFonts w:ascii="Times New Roman" w:cs="Times New Roman"/>
          <w:color w:val="auto"/>
          <w:spacing w:val="-1"/>
          <w:highlight w:val="none"/>
        </w:rPr>
      </w:pPr>
      <w:r>
        <w:rPr>
          <w:position w:val="8"/>
          <w:sz w:val="9"/>
        </w:rPr>
        <w:t xml:space="preserve">① </w:t>
      </w:r>
      <w:r>
        <w:rPr>
          <w:sz w:val="18"/>
        </w:rPr>
        <w:t>若投标函或调价函中的投标价大小写金额不一致，应以大写金额为准。</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spacing w:val="-1"/>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）投标报价或调价函中的报价超出招标人公布的最高投标限价（如有</w:t>
      </w:r>
      <w:r>
        <w:rPr>
          <w:rFonts w:ascii="Times New Roman" w:cs="Times New Roman"/>
          <w:color w:val="auto"/>
          <w:spacing w:val="-120"/>
          <w:highlight w:val="none"/>
        </w:rPr>
        <w:t>）</w:t>
      </w:r>
      <w:r>
        <w:rPr>
          <w:rFonts w:ascii="Times New Roman" w:cs="Times New Roman"/>
          <w:color w:val="auto"/>
          <w:highlight w:val="none"/>
        </w:rPr>
        <w:t>；</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）投标报价或调价函中报价的大写金额无法确定具体数值；</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）投标函上填写的标段号与投标文件封套上标记的标段号不一致。</w:t>
      </w:r>
    </w:p>
    <w:p>
      <w:pPr>
        <w:pStyle w:val="20"/>
        <w:adjustRightInd w:val="0"/>
        <w:snapToGrid w:val="0"/>
        <w:spacing w:line="324" w:lineRule="auto"/>
        <w:ind w:left="369" w:right="324" w:firstLine="479"/>
        <w:jc w:val="both"/>
        <w:rPr>
          <w:rFonts w:ascii="Times New Roman" w:hAnsi="Times New Roman" w:cs="Times New Roman"/>
          <w:color w:val="auto"/>
          <w:highlight w:val="none"/>
        </w:rPr>
      </w:pPr>
      <w:r>
        <w:rPr>
          <w:rFonts w:ascii="Times New Roman" w:cs="Times New Roman"/>
          <w:color w:val="auto"/>
          <w:spacing w:val="-5"/>
          <w:highlight w:val="none"/>
        </w:rPr>
        <w:t>如果投标人认为某一标段的评标基准价计算有误，有权在开标现场提出，经招标</w:t>
      </w:r>
      <w:r>
        <w:rPr>
          <w:rFonts w:ascii="Times New Roman" w:cs="Times New Roman"/>
          <w:color w:val="auto"/>
          <w:spacing w:val="-12"/>
          <w:highlight w:val="none"/>
        </w:rPr>
        <w:t>人当场核实确认之后，可重新宣布评标基准价。开标现场宣布的评标基准价除计算有误经评标委员会修正外，在整个评标期间保持不变，不随任何因素发生变化。</w:t>
      </w:r>
    </w:p>
    <w:p>
      <w:pPr>
        <w:pStyle w:val="86"/>
        <w:numPr>
          <w:ilvl w:val="2"/>
          <w:numId w:val="7"/>
        </w:numPr>
        <w:tabs>
          <w:tab w:val="left" w:pos="1450"/>
        </w:tabs>
        <w:spacing w:before="1" w:line="312" w:lineRule="auto"/>
        <w:ind w:right="233" w:firstLine="480"/>
        <w:rPr>
          <w:sz w:val="24"/>
        </w:rPr>
      </w:pPr>
      <w:r>
        <w:rPr>
          <w:rFonts w:ascii="Times New Roman" w:cs="Times New Roman"/>
          <w:color w:val="auto"/>
          <w:sz w:val="24"/>
          <w:highlight w:val="none"/>
        </w:rPr>
        <w:t>在投标文件第一个信封（商务及技术文件）或第二个信封（报价文件）开标过程中，若招标人宣读的内容与投标文件不符，投标人有权在开标现场提出疑问，</w:t>
      </w:r>
      <w:r>
        <w:rPr>
          <w:rFonts w:ascii="Times New Roman" w:cs="Times New Roman"/>
          <w:color w:val="auto"/>
          <w:spacing w:val="-7"/>
          <w:sz w:val="24"/>
          <w:highlight w:val="none"/>
        </w:rPr>
        <w:t>经招标人当场核查确认之后，可重新宣读其投标文件。若投标人现场未提出疑问，则</w:t>
      </w:r>
      <w:r>
        <w:rPr>
          <w:rFonts w:ascii="Times New Roman" w:cs="Times New Roman"/>
          <w:color w:val="auto"/>
          <w:sz w:val="24"/>
          <w:highlight w:val="none"/>
        </w:rPr>
        <w:t>认为投标人已确认招标人</w:t>
      </w:r>
      <w:r>
        <w:rPr>
          <w:sz w:val="24"/>
        </w:rPr>
        <w:t>宣读的内容。</w:t>
      </w:r>
    </w:p>
    <w:p>
      <w:pPr>
        <w:pStyle w:val="20"/>
        <w:spacing w:line="307" w:lineRule="exact"/>
        <w:ind w:left="849"/>
      </w:pPr>
      <w:r>
        <w:t xml:space="preserve">若采用单信封形式，第 </w:t>
      </w:r>
      <w:r>
        <w:rPr>
          <w:rFonts w:ascii="Times New Roman" w:eastAsia="Times New Roman"/>
        </w:rPr>
        <w:t xml:space="preserve">5.2 </w:t>
      </w:r>
      <w:r>
        <w:t>款采用以下条款：</w:t>
      </w:r>
    </w:p>
    <w:p>
      <w:pPr>
        <w:pStyle w:val="20"/>
        <w:spacing w:before="1"/>
        <w:rPr>
          <w:sz w:val="19"/>
        </w:rPr>
      </w:pPr>
    </w:p>
    <w:p>
      <w:pPr>
        <w:pStyle w:val="86"/>
        <w:numPr>
          <w:ilvl w:val="0"/>
          <w:numId w:val="0"/>
        </w:numPr>
        <w:tabs>
          <w:tab w:val="left" w:pos="790"/>
        </w:tabs>
        <w:ind w:left="369" w:leftChars="0"/>
        <w:rPr>
          <w:rFonts w:ascii="黑体" w:eastAsia="黑体"/>
          <w:sz w:val="24"/>
        </w:rPr>
      </w:pPr>
      <w:bookmarkStart w:id="285" w:name="_bookmark64"/>
      <w:bookmarkEnd w:id="285"/>
      <w:r>
        <w:rPr>
          <w:rFonts w:hint="eastAsia" w:ascii="黑体" w:eastAsia="黑体"/>
          <w:sz w:val="24"/>
          <w:lang w:val="en-US" w:eastAsia="zh-CN"/>
        </w:rPr>
        <w:t>5.2</w:t>
      </w:r>
      <w:r>
        <w:rPr>
          <w:rFonts w:hint="eastAsia" w:ascii="黑体" w:eastAsia="黑体"/>
          <w:sz w:val="24"/>
        </w:rPr>
        <w:t>开标程序</w:t>
      </w:r>
    </w:p>
    <w:p>
      <w:pPr>
        <w:pStyle w:val="20"/>
        <w:rPr>
          <w:rFonts w:ascii="黑体"/>
          <w:sz w:val="26"/>
        </w:rPr>
      </w:pPr>
    </w:p>
    <w:p>
      <w:pPr>
        <w:pStyle w:val="86"/>
        <w:numPr>
          <w:ilvl w:val="0"/>
          <w:numId w:val="0"/>
        </w:numPr>
        <w:tabs>
          <w:tab w:val="left" w:pos="1450"/>
        </w:tabs>
        <w:spacing w:before="1"/>
        <w:ind w:left="849" w:leftChars="0"/>
        <w:rPr>
          <w:sz w:val="24"/>
        </w:rPr>
      </w:pPr>
      <w:r>
        <w:rPr>
          <w:rFonts w:hint="eastAsia"/>
          <w:sz w:val="24"/>
          <w:lang w:val="en-US" w:eastAsia="zh-CN"/>
        </w:rPr>
        <w:t>5.2.1</w:t>
      </w:r>
      <w:r>
        <w:rPr>
          <w:sz w:val="24"/>
        </w:rPr>
        <w:t>主持人按下列程序进行开标：</w:t>
      </w:r>
    </w:p>
    <w:p>
      <w:pPr>
        <w:pStyle w:val="20"/>
        <w:spacing w:before="90"/>
        <w:ind w:left="729"/>
      </w:pPr>
      <w:r>
        <w:t>（</w:t>
      </w:r>
      <w:r>
        <w:rPr>
          <w:rFonts w:ascii="Times New Roman" w:eastAsia="Times New Roman"/>
        </w:rPr>
        <w:t>1</w:t>
      </w:r>
      <w:r>
        <w:t>）宣布开标纪律；</w:t>
      </w:r>
    </w:p>
    <w:p>
      <w:pPr>
        <w:pStyle w:val="20"/>
        <w:spacing w:before="94"/>
        <w:ind w:left="729"/>
      </w:pPr>
      <w:r>
        <w:t>（</w:t>
      </w:r>
      <w:r>
        <w:rPr>
          <w:rFonts w:ascii="Times New Roman" w:eastAsia="Times New Roman"/>
        </w:rPr>
        <w:t>2</w:t>
      </w:r>
      <w:r>
        <w:t>）公布在投标截止时间前递交投标文件的投标人数量；</w:t>
      </w:r>
    </w:p>
    <w:p>
      <w:pPr>
        <w:pStyle w:val="20"/>
        <w:spacing w:before="93"/>
        <w:ind w:left="729"/>
      </w:pPr>
      <w:r>
        <w:t>（</w:t>
      </w:r>
      <w:r>
        <w:rPr>
          <w:rFonts w:ascii="Times New Roman" w:eastAsia="Times New Roman"/>
        </w:rPr>
        <w:t>3</w:t>
      </w:r>
      <w:r>
        <w:t>）宣布开标人、唱标人、记录人等有关人员姓名；</w:t>
      </w:r>
    </w:p>
    <w:p>
      <w:pPr>
        <w:pStyle w:val="20"/>
        <w:spacing w:before="91"/>
        <w:ind w:left="729"/>
      </w:pPr>
      <w:r>
        <w:t>（</w:t>
      </w:r>
      <w:r>
        <w:rPr>
          <w:rFonts w:ascii="Times New Roman" w:eastAsia="Times New Roman"/>
        </w:rPr>
        <w:t>4</w:t>
      </w:r>
      <w:r>
        <w:t>）按照投标人须知前附表规定由投标人推选的代表检查投标文件的密封情况；</w:t>
      </w:r>
    </w:p>
    <w:p>
      <w:pPr>
        <w:pStyle w:val="20"/>
        <w:spacing w:before="93"/>
        <w:ind w:left="729"/>
      </w:pPr>
      <w:r>
        <w:t>（</w:t>
      </w:r>
      <w:r>
        <w:rPr>
          <w:rFonts w:ascii="Times New Roman" w:eastAsia="Times New Roman"/>
        </w:rPr>
        <w:t>5</w:t>
      </w:r>
      <w:r>
        <w:t>）按照投标人须知前附表规定的开标顺序当众开标，公布标段名称、投标人名</w:t>
      </w:r>
    </w:p>
    <w:p>
      <w:pPr>
        <w:pStyle w:val="20"/>
        <w:spacing w:before="73"/>
        <w:ind w:left="369"/>
      </w:pPr>
      <w:r>
        <w:t>称、投标保证金的递交情况、投标报价</w:t>
      </w:r>
      <w:r>
        <w:rPr>
          <w:position w:val="11"/>
          <w:sz w:val="12"/>
        </w:rPr>
        <w:t>①</w:t>
      </w:r>
      <w:r>
        <w:t>、工期及其他内容，并记录在案；</w:t>
      </w:r>
    </w:p>
    <w:p>
      <w:pPr>
        <w:pStyle w:val="20"/>
        <w:spacing w:before="91"/>
        <w:ind w:left="729"/>
      </w:pPr>
      <w:r>
        <w:t>（</w:t>
      </w:r>
      <w:r>
        <w:rPr>
          <w:rFonts w:ascii="Times New Roman" w:eastAsia="Times New Roman"/>
        </w:rPr>
        <w:t>6</w:t>
      </w:r>
      <w:r>
        <w:t>）计算并宣布评标基准价；</w:t>
      </w:r>
    </w:p>
    <w:p>
      <w:pPr>
        <w:pStyle w:val="20"/>
        <w:spacing w:before="94"/>
        <w:ind w:left="729"/>
      </w:pPr>
      <w:r>
        <w:t>（</w:t>
      </w:r>
      <w:r>
        <w:rPr>
          <w:rFonts w:ascii="Times New Roman" w:eastAsia="Times New Roman"/>
        </w:rPr>
        <w:t>7</w:t>
      </w:r>
      <w:r>
        <w:t>）投标人代表、招标人代表、记录人等有关人员在开标记录上签字确认；</w:t>
      </w:r>
    </w:p>
    <w:p>
      <w:pPr>
        <w:pStyle w:val="20"/>
        <w:spacing w:before="93"/>
        <w:ind w:left="729"/>
      </w:pPr>
      <w:r>
        <w:t>（</w:t>
      </w:r>
      <w:r>
        <w:rPr>
          <w:rFonts w:ascii="Times New Roman" w:eastAsia="Times New Roman"/>
        </w:rPr>
        <w:t>8</w:t>
      </w:r>
      <w:r>
        <w:t>）开标结束。</w:t>
      </w:r>
    </w:p>
    <w:p>
      <w:pPr>
        <w:pStyle w:val="86"/>
        <w:numPr>
          <w:ilvl w:val="0"/>
          <w:numId w:val="0"/>
        </w:numPr>
        <w:tabs>
          <w:tab w:val="left" w:pos="1450"/>
        </w:tabs>
        <w:spacing w:before="91" w:line="312" w:lineRule="auto"/>
        <w:ind w:left="480" w:leftChars="218" w:right="206" w:rightChars="0" w:firstLine="240" w:firstLineChars="100"/>
        <w:rPr>
          <w:sz w:val="24"/>
        </w:rPr>
      </w:pPr>
      <w:r>
        <w:rPr>
          <w:rFonts w:hint="eastAsia"/>
          <w:sz w:val="24"/>
          <w:lang w:val="en-US" w:eastAsia="zh-CN"/>
        </w:rPr>
        <w:t>5.2.2</w:t>
      </w:r>
      <w:r>
        <w:rPr>
          <w:sz w:val="24"/>
        </w:rPr>
        <w:t>若采用合理低价法或综合评分法，在开标现场，招标人将按第三章“评标</w:t>
      </w:r>
      <w:r>
        <w:rPr>
          <w:spacing w:val="-16"/>
          <w:sz w:val="24"/>
        </w:rPr>
        <w:t>办法”规定的原则计算并宣布评标基准价。若招标人发现投标文件出现以下任一情况， 其投标报价将不再参加评标基准价的计算：</w:t>
      </w:r>
    </w:p>
    <w:p>
      <w:pPr>
        <w:pStyle w:val="20"/>
        <w:spacing w:before="1"/>
        <w:ind w:left="729"/>
      </w:pPr>
      <w:r>
        <w:t>（</w:t>
      </w:r>
      <w:r>
        <w:rPr>
          <w:rFonts w:ascii="Times New Roman" w:eastAsia="Times New Roman"/>
        </w:rPr>
        <w:t>1</w:t>
      </w:r>
      <w:r>
        <w:t>）未在投标函上填写投标总价；</w:t>
      </w:r>
    </w:p>
    <w:p>
      <w:pPr>
        <w:pStyle w:val="20"/>
        <w:spacing w:before="94"/>
        <w:ind w:left="729"/>
      </w:pPr>
      <w:r>
        <w:rPr>
          <w:spacing w:val="-1"/>
        </w:rPr>
        <w:t>（</w:t>
      </w:r>
      <w:r>
        <w:rPr>
          <w:rFonts w:ascii="Times New Roman" w:eastAsia="Times New Roman"/>
        </w:rPr>
        <w:t>2</w:t>
      </w:r>
      <w:r>
        <w:t>）投标报价或调价函中的报价超出招标人公布的最高投标限价（如有</w:t>
      </w:r>
      <w:r>
        <w:rPr>
          <w:spacing w:val="-120"/>
        </w:rPr>
        <w:t>）</w:t>
      </w:r>
      <w:r>
        <w:t>；</w:t>
      </w:r>
    </w:p>
    <w:p>
      <w:pPr>
        <w:pStyle w:val="20"/>
        <w:spacing w:before="93"/>
        <w:ind w:left="729"/>
      </w:pPr>
      <w:r>
        <w:t>（</w:t>
      </w:r>
      <w:r>
        <w:rPr>
          <w:rFonts w:ascii="Times New Roman" w:eastAsia="Times New Roman"/>
        </w:rPr>
        <w:t>3</w:t>
      </w:r>
      <w:r>
        <w:t>）投标报价或调价函中报价的大写金额无法确定具体数值；</w:t>
      </w:r>
    </w:p>
    <w:p>
      <w:pPr>
        <w:pStyle w:val="20"/>
        <w:spacing w:before="91"/>
        <w:ind w:left="729"/>
      </w:pPr>
      <w:r>
        <w:t>（</w:t>
      </w:r>
      <w:r>
        <w:rPr>
          <w:rFonts w:ascii="Times New Roman" w:eastAsia="Times New Roman"/>
        </w:rPr>
        <w:t>4</w:t>
      </w:r>
      <w:r>
        <w:t>）投标函上填写的标段号与投标文件封套上标记的标段号不一致。</w:t>
      </w:r>
    </w:p>
    <w:p>
      <w:pPr>
        <w:pStyle w:val="20"/>
        <w:spacing w:before="93" w:line="312" w:lineRule="auto"/>
        <w:ind w:left="369" w:right="324" w:firstLine="479"/>
        <w:jc w:val="both"/>
      </w:pPr>
      <w:r>
        <w:rPr>
          <w:spacing w:val="-5"/>
        </w:rPr>
        <w:t>如果投标人认为某一标段的评标基准价计算有误，有权在开标现场提出，经招标</w:t>
      </w:r>
      <w:r>
        <w:rPr>
          <w:spacing w:val="-12"/>
        </w:rPr>
        <w:t>人当场核实确认之后，可重新宣布评标基准价。开标现场宣布的评标基准价除计算有误经评标委员会修正外，在整个评标期间保持不变，不随任何因素发生变化。</w:t>
      </w:r>
    </w:p>
    <w:p>
      <w:pPr>
        <w:pStyle w:val="86"/>
        <w:numPr>
          <w:ilvl w:val="0"/>
          <w:numId w:val="0"/>
        </w:numPr>
        <w:tabs>
          <w:tab w:val="left" w:pos="1450"/>
        </w:tabs>
        <w:spacing w:before="1" w:line="312" w:lineRule="auto"/>
        <w:ind w:left="480" w:leftChars="218" w:right="327" w:rightChars="0" w:firstLine="180" w:firstLineChars="200"/>
        <w:jc w:val="both"/>
        <w:rPr>
          <w:rFonts w:hint="eastAsia"/>
          <w:sz w:val="24"/>
          <w:lang w:val="en-US" w:eastAsia="zh-CN"/>
        </w:rPr>
      </w:pPr>
      <w:r>
        <w:rPr>
          <w:position w:val="8"/>
          <w:sz w:val="9"/>
        </w:rPr>
        <w:t xml:space="preserve">① </w:t>
      </w:r>
      <w:r>
        <w:rPr>
          <w:sz w:val="18"/>
        </w:rPr>
        <w:t>若投标函或调价函中的投标价大小写金额不一致，应以大写金额为准。</w:t>
      </w:r>
    </w:p>
    <w:p>
      <w:pPr>
        <w:pStyle w:val="86"/>
        <w:numPr>
          <w:ilvl w:val="0"/>
          <w:numId w:val="0"/>
        </w:numPr>
        <w:tabs>
          <w:tab w:val="left" w:pos="1450"/>
        </w:tabs>
        <w:spacing w:before="1" w:line="312" w:lineRule="auto"/>
        <w:ind w:left="480" w:leftChars="218" w:right="327" w:rightChars="0" w:firstLine="480" w:firstLineChars="200"/>
        <w:jc w:val="both"/>
        <w:rPr>
          <w:sz w:val="24"/>
        </w:rPr>
      </w:pPr>
      <w:r>
        <w:rPr>
          <w:rFonts w:hint="eastAsia"/>
          <w:sz w:val="24"/>
          <w:lang w:val="en-US" w:eastAsia="zh-CN"/>
        </w:rPr>
        <w:t>5.2.3</w:t>
      </w:r>
      <w:r>
        <w:rPr>
          <w:sz w:val="24"/>
        </w:rPr>
        <w:t xml:space="preserve">若招标人宣读的内容与投标文件不符，投标人有权在开标现场提出疑问， </w:t>
      </w:r>
      <w:r>
        <w:rPr>
          <w:spacing w:val="-7"/>
          <w:sz w:val="24"/>
        </w:rPr>
        <w:t>经招标人当场核查确认之后，可重新宣读其投标文件。若投标人现场未提出疑问，则</w:t>
      </w:r>
      <w:r>
        <w:rPr>
          <w:sz w:val="24"/>
        </w:rPr>
        <w:t>认为投标人已确认招标人宣读的内容。</w:t>
      </w:r>
    </w:p>
    <w:p>
      <w:pPr>
        <w:pStyle w:val="86"/>
        <w:numPr>
          <w:ilvl w:val="1"/>
          <w:numId w:val="8"/>
        </w:numPr>
        <w:tabs>
          <w:tab w:val="left" w:pos="910"/>
        </w:tabs>
        <w:spacing w:before="152"/>
        <w:ind w:left="909" w:hanging="540"/>
        <w:rPr>
          <w:rFonts w:ascii="黑体" w:eastAsia="黑体"/>
          <w:sz w:val="24"/>
        </w:rPr>
      </w:pPr>
      <w:bookmarkStart w:id="286" w:name="_bookmark65"/>
      <w:bookmarkEnd w:id="286"/>
      <w:r>
        <w:rPr>
          <w:rFonts w:hint="eastAsia" w:ascii="黑体" w:eastAsia="黑体"/>
          <w:sz w:val="24"/>
        </w:rPr>
        <w:t>开标异议</w:t>
      </w:r>
    </w:p>
    <w:p>
      <w:pPr>
        <w:pStyle w:val="20"/>
        <w:rPr>
          <w:rFonts w:ascii="黑体"/>
          <w:sz w:val="26"/>
        </w:rPr>
      </w:pPr>
    </w:p>
    <w:p>
      <w:pPr>
        <w:pStyle w:val="20"/>
        <w:adjustRightInd w:val="0"/>
        <w:snapToGrid w:val="0"/>
        <w:spacing w:line="324" w:lineRule="auto"/>
        <w:ind w:left="369" w:right="206" w:firstLine="479"/>
        <w:rPr>
          <w:color w:val="auto"/>
          <w:highlight w:val="none"/>
        </w:rPr>
      </w:pPr>
      <w:r>
        <w:rPr>
          <w:spacing w:val="-13"/>
        </w:rPr>
        <w:t>投标人对开标有异议的，应在开标现场提出，招标人当场作出答复，并制作记录， 有异议的投标人代表、招标人代表、记录人等有关人员在记录上签字确认</w:t>
      </w:r>
      <w:r>
        <w:rPr>
          <w:color w:val="auto"/>
          <w:spacing w:val="-13"/>
          <w:highlight w:val="none"/>
        </w:rPr>
        <w:t>。</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287" w:name="_bookmark66"/>
      <w:bookmarkEnd w:id="287"/>
      <w:bookmarkStart w:id="288" w:name="_Toc15158"/>
      <w:bookmarkStart w:id="289" w:name="_Toc18564"/>
      <w:bookmarkStart w:id="290" w:name="_Toc23432"/>
      <w:bookmarkStart w:id="291" w:name="_Toc29524"/>
      <w:bookmarkStart w:id="292" w:name="_Toc22459"/>
      <w:bookmarkStart w:id="293" w:name="_Toc31633"/>
      <w:bookmarkStart w:id="294" w:name="_Toc24477"/>
      <w:bookmarkStart w:id="295" w:name="_Toc12999"/>
      <w:bookmarkStart w:id="296" w:name="_Toc3104"/>
      <w:bookmarkStart w:id="297" w:name="_Toc24291"/>
      <w:bookmarkStart w:id="298" w:name="_Toc28553"/>
      <w:bookmarkStart w:id="299" w:name="_Toc26451"/>
      <w:bookmarkStart w:id="300" w:name="_Toc14615"/>
      <w:bookmarkStart w:id="301" w:name="_Toc2904"/>
      <w:bookmarkStart w:id="302" w:name="_Toc15813"/>
      <w:bookmarkStart w:id="303" w:name="_Toc30487"/>
      <w:bookmarkStart w:id="304" w:name="_Toc13576"/>
      <w:r>
        <w:rPr>
          <w:rFonts w:hint="eastAsia" w:ascii="黑体" w:eastAsia="黑体"/>
          <w:color w:val="auto"/>
          <w:sz w:val="28"/>
          <w:highlight w:val="none"/>
        </w:rPr>
        <w:t>评标</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86"/>
        <w:numPr>
          <w:ilvl w:val="1"/>
          <w:numId w:val="2"/>
        </w:numPr>
        <w:tabs>
          <w:tab w:val="left" w:pos="910"/>
        </w:tabs>
        <w:adjustRightInd w:val="0"/>
        <w:snapToGrid w:val="0"/>
        <w:spacing w:line="324" w:lineRule="auto"/>
        <w:ind w:left="909" w:hanging="540"/>
        <w:rPr>
          <w:rFonts w:ascii="黑体" w:eastAsia="黑体"/>
          <w:color w:val="auto"/>
          <w:sz w:val="24"/>
          <w:highlight w:val="none"/>
        </w:rPr>
      </w:pPr>
      <w:bookmarkStart w:id="305" w:name="_bookmark67"/>
      <w:bookmarkEnd w:id="305"/>
      <w:r>
        <w:rPr>
          <w:rFonts w:hint="eastAsia" w:ascii="黑体" w:eastAsia="黑体"/>
          <w:color w:val="auto"/>
          <w:sz w:val="24"/>
          <w:highlight w:val="none"/>
        </w:rPr>
        <w:t>评标委员会</w:t>
      </w:r>
    </w:p>
    <w:p>
      <w:pPr>
        <w:pStyle w:val="20"/>
        <w:adjustRightInd w:val="0"/>
        <w:snapToGrid w:val="0"/>
        <w:spacing w:line="324" w:lineRule="auto"/>
        <w:ind w:left="284"/>
        <w:rPr>
          <w:rFonts w:ascii="Times New Roman" w:hAnsi="Times New Roman" w:cs="Times New Roman"/>
          <w:color w:val="auto"/>
          <w:highlight w:val="none"/>
        </w:rPr>
      </w:pPr>
      <w:r>
        <w:rPr>
          <w:rFonts w:ascii="Times New Roman" w:hAnsi="Times New Roman" w:cs="Times New Roman"/>
          <w:color w:val="auto"/>
          <w:highlight w:val="none"/>
        </w:rPr>
        <w:t>6.1.1</w:t>
      </w:r>
      <w:r>
        <w:rPr>
          <w:rFonts w:ascii="Times New Roman" w:cs="Times New Roman"/>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w:t>
      </w:r>
      <w:r>
        <w:rPr>
          <w:color w:val="auto"/>
          <w:highlight w:val="none"/>
        </w:rPr>
        <w:fldChar w:fldCharType="begin"/>
      </w:r>
      <w:r>
        <w:rPr>
          <w:color w:val="auto"/>
          <w:highlight w:val="none"/>
        </w:rPr>
        <w:instrText xml:space="preserve"> HYPERLINK \l "_评标委员会" </w:instrText>
      </w:r>
      <w:r>
        <w:rPr>
          <w:color w:val="auto"/>
          <w:highlight w:val="none"/>
        </w:rPr>
        <w:fldChar w:fldCharType="separate"/>
      </w:r>
      <w:r>
        <w:rPr>
          <w:rFonts w:ascii="Times New Roman" w:cs="Times New Roman"/>
          <w:color w:val="auto"/>
          <w:highlight w:val="none"/>
        </w:rPr>
        <w:t>投标人须知前附表</w:t>
      </w:r>
      <w:r>
        <w:rPr>
          <w:rFonts w:ascii="Times New Roman" w:cs="Times New Roman"/>
          <w:color w:val="auto"/>
          <w:highlight w:val="none"/>
        </w:rPr>
        <w:fldChar w:fldCharType="end"/>
      </w:r>
      <w:r>
        <w:rPr>
          <w:rFonts w:ascii="Times New Roman" w:cs="Times New Roman"/>
          <w:color w:val="auto"/>
          <w:szCs w:val="21"/>
          <w:highlight w:val="none"/>
        </w:rPr>
        <w:t>。</w:t>
      </w:r>
    </w:p>
    <w:p>
      <w:pPr>
        <w:pStyle w:val="86"/>
        <w:numPr>
          <w:ilvl w:val="2"/>
          <w:numId w:val="9"/>
        </w:numPr>
        <w:tabs>
          <w:tab w:val="left" w:pos="1450"/>
        </w:tabs>
        <w:adjustRightInd w:val="0"/>
        <w:snapToGrid w:val="0"/>
        <w:spacing w:line="324" w:lineRule="auto"/>
        <w:ind w:firstLine="480"/>
        <w:rPr>
          <w:rFonts w:ascii="Times New Roman" w:hAnsi="Times New Roman" w:cs="Times New Roman"/>
          <w:color w:val="auto"/>
          <w:sz w:val="24"/>
          <w:highlight w:val="none"/>
        </w:rPr>
      </w:pPr>
      <w:r>
        <w:rPr>
          <w:rFonts w:ascii="Times New Roman" w:cs="Times New Roman"/>
          <w:color w:val="auto"/>
          <w:sz w:val="24"/>
          <w:highlight w:val="none"/>
        </w:rPr>
        <w:t>评标委员会成员有下列情形之一的，应主动提出回避：</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1</w:t>
      </w:r>
      <w:r>
        <w:rPr>
          <w:rFonts w:ascii="Times New Roman" w:cs="Times New Roman"/>
          <w:color w:val="auto"/>
          <w:highlight w:val="none"/>
        </w:rPr>
        <w:t>）为负责招标项目监督管理的交通运输主管部门的工作人员；</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2</w:t>
      </w:r>
      <w:r>
        <w:rPr>
          <w:rFonts w:ascii="Times New Roman" w:cs="Times New Roman"/>
          <w:color w:val="auto"/>
          <w:highlight w:val="none"/>
        </w:rPr>
        <w:t>）与投标人法定代表人或其委托代理人有近亲属关系；</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）为投标人的工作人员或退休人员；</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）与投标人有其他利害关系，可能影响评标活动公正性；</w:t>
      </w:r>
    </w:p>
    <w:p>
      <w:pPr>
        <w:pStyle w:val="20"/>
        <w:adjustRightInd w:val="0"/>
        <w:snapToGrid w:val="0"/>
        <w:spacing w:line="324" w:lineRule="auto"/>
        <w:ind w:left="729"/>
        <w:rPr>
          <w:rFonts w:ascii="Times New Roman" w:hAnsi="Times New Roman" w:cs="Times New Roman"/>
          <w:color w:val="auto"/>
          <w:spacing w:val="-6"/>
          <w:highlight w:val="none"/>
        </w:rPr>
      </w:pPr>
      <w:r>
        <w:rPr>
          <w:rFonts w:ascii="Times New Roman" w:cs="Times New Roman"/>
          <w:color w:val="auto"/>
          <w:spacing w:val="-1"/>
          <w:highlight w:val="none"/>
        </w:rPr>
        <w:t>（</w:t>
      </w:r>
      <w:r>
        <w:rPr>
          <w:rFonts w:ascii="Times New Roman" w:hAnsi="Times New Roman" w:eastAsia="Times New Roman" w:cs="Times New Roman"/>
          <w:color w:val="auto"/>
          <w:highlight w:val="none"/>
        </w:rPr>
        <w:t>5</w:t>
      </w:r>
      <w:r>
        <w:rPr>
          <w:rFonts w:ascii="Times New Roman" w:cs="Times New Roman"/>
          <w:color w:val="auto"/>
          <w:spacing w:val="-106"/>
          <w:highlight w:val="none"/>
        </w:rPr>
        <w:t>）</w:t>
      </w:r>
      <w:r>
        <w:rPr>
          <w:rFonts w:ascii="Times New Roman" w:cs="Times New Roman"/>
          <w:color w:val="auto"/>
          <w:spacing w:val="-6"/>
          <w:highlight w:val="none"/>
        </w:rPr>
        <w:t>在与招标投标有关的活动中有过违法违规行为、曾受过行政处罚或刑事处罚。</w:t>
      </w:r>
    </w:p>
    <w:p>
      <w:pPr>
        <w:adjustRightInd w:val="0"/>
        <w:snapToGrid w:val="0"/>
        <w:spacing w:line="324" w:lineRule="auto"/>
        <w:ind w:left="284" w:firstLine="444" w:firstLineChars="185"/>
        <w:rPr>
          <w:rFonts w:ascii="Times New Roman" w:hAnsi="Times New Roman" w:cs="Times New Roman"/>
          <w:color w:val="auto"/>
          <w:sz w:val="24"/>
          <w:highlight w:val="none"/>
        </w:rPr>
      </w:pPr>
      <w:r>
        <w:rPr>
          <w:rFonts w:ascii="Times New Roman" w:hAnsi="Times New Roman" w:cs="Times New Roman"/>
          <w:color w:val="auto"/>
          <w:sz w:val="24"/>
          <w:highlight w:val="none"/>
        </w:rPr>
        <w:t>6.1.3</w:t>
      </w:r>
      <w:r>
        <w:rPr>
          <w:rFonts w:ascii="Times New Roman" w:cs="Times New Roman"/>
          <w:color w:val="auto"/>
          <w:sz w:val="24"/>
          <w:highlight w:val="none"/>
        </w:rPr>
        <w:t>评标过程中，评标委员会成员有回避事由、擅离职守或因健康等原因不能</w:t>
      </w:r>
      <w:r>
        <w:rPr>
          <w:rFonts w:ascii="Times New Roman" w:cs="Times New Roman"/>
          <w:color w:val="auto"/>
          <w:spacing w:val="-9"/>
          <w:sz w:val="24"/>
          <w:highlight w:val="none"/>
        </w:rPr>
        <w:t>继续评标的，招标人有权更换。被更换的评标委员会成员作出的评审结论无效，由更换后的评标委员会成员重新进行评审。</w:t>
      </w:r>
    </w:p>
    <w:p>
      <w:pPr>
        <w:pStyle w:val="86"/>
        <w:numPr>
          <w:ilvl w:val="1"/>
          <w:numId w:val="9"/>
        </w:numPr>
        <w:tabs>
          <w:tab w:val="left" w:pos="850"/>
        </w:tabs>
        <w:adjustRightInd w:val="0"/>
        <w:snapToGrid w:val="0"/>
        <w:spacing w:line="324" w:lineRule="auto"/>
        <w:ind w:left="849" w:hanging="480"/>
        <w:jc w:val="left"/>
        <w:rPr>
          <w:rFonts w:ascii="黑体" w:eastAsia="黑体"/>
          <w:color w:val="auto"/>
          <w:sz w:val="24"/>
          <w:highlight w:val="none"/>
        </w:rPr>
      </w:pPr>
      <w:bookmarkStart w:id="306" w:name="_bookmark68"/>
      <w:bookmarkEnd w:id="306"/>
      <w:r>
        <w:rPr>
          <w:rFonts w:hint="eastAsia" w:ascii="黑体" w:eastAsia="黑体"/>
          <w:color w:val="auto"/>
          <w:sz w:val="24"/>
          <w:highlight w:val="none"/>
        </w:rPr>
        <w:t>评标原则</w:t>
      </w:r>
      <w:r>
        <w:rPr>
          <w:rFonts w:ascii="黑体" w:eastAsia="黑体"/>
          <w:color w:val="auto"/>
          <w:sz w:val="24"/>
          <w:highlight w:val="none"/>
        </w:rPr>
        <w:br w:type="textWrapping" w:clear="all"/>
      </w:r>
      <w:r>
        <w:rPr>
          <w:rFonts w:hint="eastAsia" w:ascii="Times New Roman" w:cs="Times New Roman"/>
          <w:color w:val="auto"/>
          <w:spacing w:val="-9"/>
          <w:sz w:val="24"/>
          <w:highlight w:val="none"/>
        </w:rPr>
        <w:t>评标活动遵循公平、公正、科学和择优的原则。</w:t>
      </w:r>
    </w:p>
    <w:p>
      <w:pPr>
        <w:pStyle w:val="86"/>
        <w:numPr>
          <w:ilvl w:val="1"/>
          <w:numId w:val="9"/>
        </w:numPr>
        <w:tabs>
          <w:tab w:val="left" w:pos="850"/>
        </w:tabs>
        <w:adjustRightInd w:val="0"/>
        <w:snapToGrid w:val="0"/>
        <w:spacing w:line="324" w:lineRule="auto"/>
        <w:ind w:left="849" w:hanging="480"/>
        <w:jc w:val="left"/>
        <w:rPr>
          <w:rFonts w:ascii="黑体" w:eastAsia="黑体"/>
          <w:color w:val="auto"/>
          <w:sz w:val="24"/>
          <w:highlight w:val="none"/>
        </w:rPr>
      </w:pPr>
      <w:bookmarkStart w:id="307" w:name="_bookmark69"/>
      <w:bookmarkEnd w:id="307"/>
      <w:r>
        <w:rPr>
          <w:rFonts w:hint="eastAsia" w:ascii="黑体" w:eastAsia="黑体"/>
          <w:color w:val="auto"/>
          <w:sz w:val="24"/>
          <w:highlight w:val="none"/>
        </w:rPr>
        <w:t>评标</w:t>
      </w:r>
    </w:p>
    <w:p>
      <w:pPr>
        <w:tabs>
          <w:tab w:val="left" w:pos="1452"/>
        </w:tabs>
        <w:adjustRightInd w:val="0"/>
        <w:snapToGrid w:val="0"/>
        <w:spacing w:line="324" w:lineRule="auto"/>
        <w:ind w:left="370" w:leftChars="168" w:right="326" w:firstLine="480" w:firstLineChars="200"/>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6.3.1</w:t>
      </w:r>
      <w:r>
        <w:rPr>
          <w:rFonts w:ascii="Times New Roman" w:cs="Times New Roman"/>
          <w:color w:val="auto"/>
          <w:sz w:val="24"/>
          <w:highlight w:val="none"/>
        </w:rPr>
        <w:t>评标委员会按照第三章</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评标办法</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规定的方法、评审因素、标准和程序对</w:t>
      </w:r>
      <w:r>
        <w:rPr>
          <w:rFonts w:ascii="Times New Roman" w:cs="Times New Roman"/>
          <w:color w:val="auto"/>
          <w:spacing w:val="-3"/>
          <w:sz w:val="24"/>
          <w:highlight w:val="none"/>
        </w:rPr>
        <w:t>投标文件进行评审。第三章</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评标办法</w:t>
      </w:r>
      <w:r>
        <w:rPr>
          <w:rFonts w:ascii="Times New Roman" w:hAnsi="Times New Roman" w:eastAsia="Times New Roman" w:cs="Times New Roman"/>
          <w:color w:val="auto"/>
          <w:sz w:val="24"/>
          <w:highlight w:val="none"/>
        </w:rPr>
        <w:t>”</w:t>
      </w:r>
      <w:r>
        <w:rPr>
          <w:rFonts w:ascii="Times New Roman" w:cs="Times New Roman"/>
          <w:color w:val="auto"/>
          <w:spacing w:val="-5"/>
          <w:sz w:val="24"/>
          <w:highlight w:val="none"/>
        </w:rPr>
        <w:t>没有规定的方法、评审因素和标准，不作为评标依据。</w:t>
      </w:r>
    </w:p>
    <w:p>
      <w:pPr>
        <w:tabs>
          <w:tab w:val="left" w:pos="1450"/>
        </w:tabs>
        <w:adjustRightInd w:val="0"/>
        <w:snapToGrid w:val="0"/>
        <w:spacing w:line="324" w:lineRule="auto"/>
        <w:ind w:left="363" w:leftChars="165" w:right="206"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6.3.2评标完成后，评标委员会应向招标人提交书面评标报告和中标候选人名单。评</w:t>
      </w:r>
      <w:r>
        <w:rPr>
          <w:rFonts w:ascii="Times New Roman" w:cs="Times New Roman"/>
          <w:color w:val="auto"/>
          <w:spacing w:val="-10"/>
          <w:sz w:val="24"/>
          <w:highlight w:val="none"/>
        </w:rPr>
        <w:t>标委员会推荐中标候选人的人数见投标人须知前附表。</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308" w:name="_bookmark70"/>
      <w:bookmarkEnd w:id="308"/>
      <w:bookmarkStart w:id="309" w:name="_Toc14802"/>
      <w:bookmarkStart w:id="310" w:name="_Toc31533"/>
      <w:bookmarkStart w:id="311" w:name="_Toc30992"/>
      <w:bookmarkStart w:id="312" w:name="_Toc26447"/>
      <w:bookmarkStart w:id="313" w:name="_Toc12491"/>
      <w:bookmarkStart w:id="314" w:name="_Toc16897"/>
      <w:bookmarkStart w:id="315" w:name="_Toc5195"/>
      <w:bookmarkStart w:id="316" w:name="_Toc19964"/>
      <w:bookmarkStart w:id="317" w:name="_Toc372"/>
      <w:bookmarkStart w:id="318" w:name="_Toc6033"/>
      <w:bookmarkStart w:id="319" w:name="_Toc18372"/>
      <w:bookmarkStart w:id="320" w:name="_Toc23520"/>
      <w:bookmarkStart w:id="321" w:name="_Toc30914"/>
      <w:bookmarkStart w:id="322" w:name="_Toc19684"/>
      <w:bookmarkStart w:id="323" w:name="_Toc2276"/>
      <w:bookmarkStart w:id="324" w:name="_Toc26897"/>
      <w:bookmarkStart w:id="325" w:name="_Toc21535"/>
      <w:r>
        <w:rPr>
          <w:rFonts w:hint="eastAsia" w:ascii="黑体" w:eastAsia="黑体"/>
          <w:color w:val="auto"/>
          <w:sz w:val="28"/>
          <w:highlight w:val="none"/>
        </w:rPr>
        <w:t>合同授予</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26" w:name="_bookmark71"/>
      <w:bookmarkEnd w:id="326"/>
      <w:r>
        <w:rPr>
          <w:rFonts w:hint="eastAsia" w:ascii="黑体" w:eastAsia="黑体"/>
          <w:color w:val="auto"/>
          <w:sz w:val="24"/>
          <w:highlight w:val="none"/>
        </w:rPr>
        <w:t>中标候选人公示</w:t>
      </w:r>
    </w:p>
    <w:p>
      <w:pPr>
        <w:pStyle w:val="20"/>
        <w:adjustRightInd w:val="0"/>
        <w:snapToGrid w:val="0"/>
        <w:spacing w:line="324" w:lineRule="auto"/>
        <w:ind w:left="849"/>
        <w:rPr>
          <w:rFonts w:ascii="Times New Roman" w:hAnsi="Times New Roman" w:cs="Times New Roman"/>
          <w:color w:val="auto"/>
          <w:highlight w:val="none"/>
        </w:rPr>
      </w:pPr>
      <w:r>
        <w:rPr>
          <w:rFonts w:ascii="Times New Roman" w:cs="Times New Roman"/>
          <w:color w:val="auto"/>
          <w:highlight w:val="none"/>
        </w:rPr>
        <w:t>招标人在收到评标报告之日起</w:t>
      </w:r>
      <w:r>
        <w:rPr>
          <w:rFonts w:ascii="Times New Roman" w:hAnsi="Times New Roman" w:eastAsia="Times New Roman" w:cs="Times New Roman"/>
          <w:color w:val="auto"/>
          <w:highlight w:val="none"/>
        </w:rPr>
        <w:t xml:space="preserve">3 </w:t>
      </w:r>
      <w:r>
        <w:rPr>
          <w:rFonts w:ascii="Times New Roman" w:cs="Times New Roman"/>
          <w:color w:val="auto"/>
          <w:highlight w:val="none"/>
        </w:rPr>
        <w:t>日内，按照投标人须知前附表规定的公示媒介和</w:t>
      </w:r>
    </w:p>
    <w:p>
      <w:pPr>
        <w:pStyle w:val="20"/>
        <w:adjustRightInd w:val="0"/>
        <w:snapToGrid w:val="0"/>
        <w:spacing w:line="324" w:lineRule="auto"/>
        <w:ind w:left="369"/>
        <w:rPr>
          <w:rFonts w:ascii="Times New Roman" w:hAnsi="Times New Roman" w:cs="Times New Roman"/>
          <w:color w:val="auto"/>
          <w:highlight w:val="none"/>
        </w:rPr>
      </w:pPr>
      <w:r>
        <w:rPr>
          <w:rFonts w:ascii="Times New Roman" w:cs="Times New Roman"/>
          <w:color w:val="auto"/>
          <w:highlight w:val="none"/>
        </w:rPr>
        <w:t>期限公示中标候选人，公示期不得少于</w:t>
      </w:r>
      <w:r>
        <w:rPr>
          <w:rFonts w:ascii="Times New Roman" w:hAnsi="Times New Roman" w:eastAsia="Times New Roman" w:cs="Times New Roman"/>
          <w:color w:val="auto"/>
          <w:highlight w:val="none"/>
        </w:rPr>
        <w:t xml:space="preserve">3 </w:t>
      </w:r>
      <w:r>
        <w:rPr>
          <w:rFonts w:ascii="Times New Roman" w:cs="Times New Roman"/>
          <w:color w:val="auto"/>
          <w:highlight w:val="none"/>
        </w:rPr>
        <w:t>日，公示内容包括：</w:t>
      </w:r>
    </w:p>
    <w:p>
      <w:pPr>
        <w:pStyle w:val="20"/>
        <w:adjustRightInd w:val="0"/>
        <w:snapToGrid w:val="0"/>
        <w:spacing w:line="324" w:lineRule="auto"/>
        <w:ind w:left="369" w:right="324" w:firstLine="360"/>
        <w:rPr>
          <w:rFonts w:ascii="Times New Roman" w:hAnsi="Times New Roman" w:cs="Times New Roman"/>
          <w:color w:val="auto"/>
          <w:highlight w:val="none"/>
        </w:rPr>
      </w:pPr>
      <w:r>
        <w:rPr>
          <w:rFonts w:ascii="Times New Roman" w:cs="Times New Roman"/>
          <w:color w:val="auto"/>
          <w:spacing w:val="-7"/>
          <w:highlight w:val="none"/>
        </w:rPr>
        <w:t>（</w:t>
      </w:r>
      <w:r>
        <w:rPr>
          <w:rFonts w:ascii="Times New Roman" w:hAnsi="Times New Roman" w:eastAsia="Times New Roman" w:cs="Times New Roman"/>
          <w:color w:val="auto"/>
          <w:spacing w:val="-7"/>
          <w:highlight w:val="none"/>
        </w:rPr>
        <w:t>1</w:t>
      </w:r>
      <w:r>
        <w:rPr>
          <w:rFonts w:ascii="Times New Roman" w:cs="Times New Roman"/>
          <w:color w:val="auto"/>
          <w:spacing w:val="-7"/>
          <w:highlight w:val="none"/>
        </w:rPr>
        <w:t>）中标候选人排序、名称、投标报价，对工程质量要求、安全目标和工期的响应情况；</w:t>
      </w:r>
    </w:p>
    <w:p>
      <w:pPr>
        <w:pStyle w:val="20"/>
        <w:adjustRightInd w:val="0"/>
        <w:snapToGrid w:val="0"/>
        <w:spacing w:line="324" w:lineRule="auto"/>
        <w:ind w:left="369" w:right="327" w:firstLine="360"/>
        <w:rPr>
          <w:rFonts w:ascii="Times New Roman" w:hAnsi="Times New Roman" w:cs="Times New Roman"/>
          <w:color w:val="auto"/>
          <w:highlight w:val="none"/>
        </w:rPr>
      </w:pPr>
      <w:r>
        <w:rPr>
          <w:rFonts w:ascii="Times New Roman" w:cs="Times New Roman"/>
          <w:color w:val="auto"/>
          <w:spacing w:val="-11"/>
          <w:highlight w:val="none"/>
        </w:rPr>
        <w:t>（</w:t>
      </w:r>
      <w:r>
        <w:rPr>
          <w:rFonts w:ascii="Times New Roman" w:hAnsi="Times New Roman" w:eastAsia="Times New Roman" w:cs="Times New Roman"/>
          <w:color w:val="auto"/>
          <w:spacing w:val="-11"/>
          <w:highlight w:val="none"/>
        </w:rPr>
        <w:t>2</w:t>
      </w:r>
      <w:r>
        <w:rPr>
          <w:rFonts w:ascii="Times New Roman" w:cs="Times New Roman"/>
          <w:color w:val="auto"/>
          <w:spacing w:val="-11"/>
          <w:highlight w:val="none"/>
        </w:rPr>
        <w:t>）</w:t>
      </w:r>
      <w:r>
        <w:rPr>
          <w:rFonts w:ascii="Times New Roman" w:cs="Times New Roman"/>
          <w:color w:val="auto"/>
          <w:spacing w:val="-3"/>
          <w:highlight w:val="none"/>
        </w:rPr>
        <w:t>中标候选人在投标文件中承诺的项目经理和项目总工姓名、个人业绩、相关证书名称和编号；</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3</w:t>
      </w:r>
      <w:r>
        <w:rPr>
          <w:rFonts w:ascii="Times New Roman" w:cs="Times New Roman"/>
          <w:color w:val="auto"/>
          <w:highlight w:val="none"/>
        </w:rPr>
        <w:t>）中标候选人在投标文件中填报的项目业绩；</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4</w:t>
      </w:r>
      <w:r>
        <w:rPr>
          <w:rFonts w:ascii="Times New Roman" w:cs="Times New Roman"/>
          <w:color w:val="auto"/>
          <w:highlight w:val="none"/>
        </w:rPr>
        <w:t>）被否决投标的投标人名称、否决依据和原因；</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5</w:t>
      </w:r>
      <w:r>
        <w:rPr>
          <w:rFonts w:ascii="Times New Roman" w:cs="Times New Roman"/>
          <w:color w:val="auto"/>
          <w:highlight w:val="none"/>
        </w:rPr>
        <w:t>）提出异议的渠道和方式；</w:t>
      </w:r>
    </w:p>
    <w:p>
      <w:pPr>
        <w:pStyle w:val="20"/>
        <w:adjustRightInd w:val="0"/>
        <w:snapToGrid w:val="0"/>
        <w:spacing w:line="324" w:lineRule="auto"/>
        <w:ind w:left="729"/>
        <w:rPr>
          <w:rFonts w:ascii="Times New Roman" w:hAnsi="Times New Roman" w:cs="Times New Roman"/>
          <w:color w:val="auto"/>
          <w:highlight w:val="none"/>
        </w:rPr>
      </w:pPr>
      <w:r>
        <w:rPr>
          <w:rFonts w:ascii="Times New Roman" w:cs="Times New Roman"/>
          <w:color w:val="auto"/>
          <w:highlight w:val="none"/>
        </w:rPr>
        <w:t>（</w:t>
      </w:r>
      <w:r>
        <w:rPr>
          <w:rFonts w:ascii="Times New Roman" w:hAnsi="Times New Roman" w:eastAsia="Times New Roman" w:cs="Times New Roman"/>
          <w:color w:val="auto"/>
          <w:highlight w:val="none"/>
        </w:rPr>
        <w:t>6</w:t>
      </w:r>
      <w:r>
        <w:rPr>
          <w:rFonts w:ascii="Times New Roman" w:cs="Times New Roman"/>
          <w:color w:val="auto"/>
          <w:highlight w:val="none"/>
        </w:rPr>
        <w:t>）投标人须知前附表规定公示的其他内容。</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27" w:name="_bookmark72"/>
      <w:bookmarkEnd w:id="327"/>
      <w:r>
        <w:rPr>
          <w:rFonts w:hint="eastAsia" w:ascii="黑体" w:eastAsia="黑体"/>
          <w:color w:val="auto"/>
          <w:sz w:val="24"/>
          <w:highlight w:val="none"/>
        </w:rPr>
        <w:t>评标结果异议</w:t>
      </w:r>
    </w:p>
    <w:p>
      <w:pPr>
        <w:pStyle w:val="20"/>
        <w:adjustRightInd w:val="0"/>
        <w:snapToGrid w:val="0"/>
        <w:spacing w:line="324" w:lineRule="auto"/>
        <w:ind w:left="369" w:right="205" w:firstLine="479"/>
        <w:rPr>
          <w:color w:val="auto"/>
          <w:highlight w:val="none"/>
        </w:rPr>
      </w:pPr>
      <w:r>
        <w:rPr>
          <w:color w:val="auto"/>
          <w:spacing w:val="-3"/>
          <w:highlight w:val="none"/>
        </w:rPr>
        <w:t>投标人或其他利害关系人对依法必须进行招标的项目的评标结果有异议的，应在</w:t>
      </w:r>
      <w:r>
        <w:rPr>
          <w:color w:val="auto"/>
          <w:spacing w:val="-14"/>
          <w:highlight w:val="none"/>
        </w:rPr>
        <w:t xml:space="preserve">中标候选人公示期间提出。招标人将在收到异议之日起 </w:t>
      </w:r>
      <w:r>
        <w:rPr>
          <w:rFonts w:ascii="Times New Roman" w:eastAsia="Times New Roman"/>
          <w:color w:val="auto"/>
          <w:highlight w:val="none"/>
        </w:rPr>
        <w:t xml:space="preserve">3 </w:t>
      </w:r>
      <w:r>
        <w:rPr>
          <w:color w:val="auto"/>
          <w:spacing w:val="-11"/>
          <w:highlight w:val="none"/>
        </w:rPr>
        <w:t>日内作出答复；作出答复前， 将暂停招标投标活动。</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28" w:name="_bookmark73"/>
      <w:bookmarkEnd w:id="328"/>
      <w:r>
        <w:rPr>
          <w:rFonts w:hint="eastAsia" w:ascii="黑体" w:eastAsia="黑体"/>
          <w:color w:val="auto"/>
          <w:sz w:val="24"/>
          <w:highlight w:val="none"/>
        </w:rPr>
        <w:t>中标候选人履约能力审查</w:t>
      </w:r>
    </w:p>
    <w:p>
      <w:pPr>
        <w:pStyle w:val="20"/>
        <w:adjustRightInd w:val="0"/>
        <w:snapToGrid w:val="0"/>
        <w:spacing w:line="324" w:lineRule="auto"/>
        <w:ind w:left="849"/>
        <w:rPr>
          <w:color w:val="auto"/>
          <w:highlight w:val="none"/>
        </w:rPr>
      </w:pPr>
      <w:r>
        <w:rPr>
          <w:color w:val="auto"/>
          <w:highlight w:val="none"/>
        </w:rPr>
        <w:t>中标候选人的经营、财务状况发生较大变化或存在违法行为，招标人认为可能影</w:t>
      </w:r>
    </w:p>
    <w:p>
      <w:pPr>
        <w:pStyle w:val="20"/>
        <w:adjustRightInd w:val="0"/>
        <w:snapToGrid w:val="0"/>
        <w:spacing w:line="324" w:lineRule="auto"/>
        <w:ind w:left="369" w:right="326"/>
        <w:rPr>
          <w:color w:val="auto"/>
          <w:highlight w:val="none"/>
        </w:rPr>
      </w:pPr>
      <w:r>
        <w:rPr>
          <w:color w:val="auto"/>
          <w:spacing w:val="-10"/>
          <w:highlight w:val="none"/>
        </w:rPr>
        <w:t>响其履约能力的，将在发出中标通知书前提请原评标委员会按照招标文件规定的标准和方法进行审查确认。</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29" w:name="_bookmark74"/>
      <w:bookmarkEnd w:id="329"/>
      <w:r>
        <w:rPr>
          <w:rFonts w:hint="eastAsia" w:ascii="黑体" w:eastAsia="黑体"/>
          <w:color w:val="auto"/>
          <w:sz w:val="24"/>
          <w:highlight w:val="none"/>
        </w:rPr>
        <w:t>定标</w:t>
      </w:r>
    </w:p>
    <w:p>
      <w:pPr>
        <w:pStyle w:val="20"/>
        <w:adjustRightInd w:val="0"/>
        <w:snapToGrid w:val="0"/>
        <w:spacing w:line="324" w:lineRule="auto"/>
        <w:ind w:left="369" w:right="326" w:firstLine="479"/>
        <w:jc w:val="both"/>
        <w:rPr>
          <w:color w:val="auto"/>
          <w:highlight w:val="none"/>
        </w:rPr>
      </w:pPr>
      <w:r>
        <w:rPr>
          <w:color w:val="auto"/>
          <w:spacing w:val="-7"/>
          <w:highlight w:val="none"/>
        </w:rPr>
        <w:t>按照投标人须知前附表的规定，招标人或招标人授权的评标委员会依法确定中标人。</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30" w:name="_bookmark75"/>
      <w:bookmarkEnd w:id="330"/>
      <w:r>
        <w:rPr>
          <w:rFonts w:hint="eastAsia" w:ascii="黑体" w:eastAsia="黑体"/>
          <w:color w:val="auto"/>
          <w:sz w:val="24"/>
          <w:highlight w:val="none"/>
        </w:rPr>
        <w:t>中标通知</w:t>
      </w:r>
    </w:p>
    <w:p>
      <w:pPr>
        <w:pStyle w:val="20"/>
        <w:adjustRightInd w:val="0"/>
        <w:snapToGrid w:val="0"/>
        <w:spacing w:line="324" w:lineRule="auto"/>
        <w:ind w:left="369" w:right="324" w:firstLine="479"/>
        <w:jc w:val="both"/>
        <w:rPr>
          <w:color w:val="auto"/>
          <w:highlight w:val="none"/>
        </w:rPr>
      </w:pPr>
      <w:r>
        <w:rPr>
          <w:color w:val="auto"/>
          <w:spacing w:val="-12"/>
          <w:highlight w:val="none"/>
        </w:rPr>
        <w:t xml:space="preserve">在本章第 </w:t>
      </w:r>
      <w:r>
        <w:rPr>
          <w:rFonts w:ascii="Times New Roman" w:eastAsia="Times New Roman"/>
          <w:color w:val="auto"/>
          <w:highlight w:val="none"/>
        </w:rPr>
        <w:t xml:space="preserve">3.3 </w:t>
      </w:r>
      <w:r>
        <w:rPr>
          <w:color w:val="auto"/>
          <w:spacing w:val="-3"/>
          <w:highlight w:val="none"/>
        </w:rPr>
        <w:t>款规定的投标有效期内，招标人以投标人须知前附表规定的形式向中标人发出中标通知书，同时将中标结果通知未中标的投标人。</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31" w:name="_bookmark76"/>
      <w:bookmarkEnd w:id="331"/>
      <w:r>
        <w:rPr>
          <w:rFonts w:hint="eastAsia" w:ascii="黑体" w:eastAsia="黑体"/>
          <w:color w:val="auto"/>
          <w:sz w:val="24"/>
          <w:highlight w:val="none"/>
        </w:rPr>
        <w:t>中标结果公告</w:t>
      </w:r>
    </w:p>
    <w:p>
      <w:pPr>
        <w:pStyle w:val="20"/>
        <w:adjustRightInd w:val="0"/>
        <w:snapToGrid w:val="0"/>
        <w:spacing w:line="324" w:lineRule="auto"/>
        <w:ind w:left="849"/>
        <w:rPr>
          <w:color w:val="auto"/>
          <w:highlight w:val="none"/>
        </w:rPr>
      </w:pPr>
      <w:r>
        <w:rPr>
          <w:color w:val="auto"/>
          <w:highlight w:val="none"/>
        </w:rPr>
        <w:t xml:space="preserve">招标人在确定中标人之日起 </w:t>
      </w:r>
      <w:r>
        <w:rPr>
          <w:rFonts w:ascii="Times New Roman" w:eastAsia="Times New Roman"/>
          <w:color w:val="auto"/>
          <w:highlight w:val="none"/>
        </w:rPr>
        <w:t xml:space="preserve">3 </w:t>
      </w:r>
      <w:r>
        <w:rPr>
          <w:color w:val="auto"/>
          <w:highlight w:val="none"/>
        </w:rPr>
        <w:t>日内，按照投标人须知前附表规定的公告媒介和期</w:t>
      </w:r>
    </w:p>
    <w:p>
      <w:pPr>
        <w:pStyle w:val="20"/>
        <w:adjustRightInd w:val="0"/>
        <w:snapToGrid w:val="0"/>
        <w:spacing w:line="324" w:lineRule="auto"/>
        <w:ind w:left="369"/>
        <w:rPr>
          <w:color w:val="auto"/>
          <w:highlight w:val="none"/>
        </w:rPr>
      </w:pPr>
      <w:r>
        <w:rPr>
          <w:color w:val="auto"/>
          <w:highlight w:val="none"/>
        </w:rPr>
        <w:t xml:space="preserve">限公告中标结果，公告期不得少于 </w:t>
      </w:r>
      <w:r>
        <w:rPr>
          <w:rFonts w:hint="eastAsia" w:ascii="Times New Roman" w:eastAsiaTheme="minorEastAsia"/>
          <w:color w:val="auto"/>
          <w:highlight w:val="none"/>
          <w:lang w:val="en-US" w:eastAsia="zh-CN"/>
        </w:rPr>
        <w:t>3</w:t>
      </w:r>
      <w:r>
        <w:rPr>
          <w:rFonts w:ascii="Times New Roman" w:eastAsia="Times New Roman"/>
          <w:color w:val="auto"/>
          <w:highlight w:val="none"/>
        </w:rPr>
        <w:t xml:space="preserve"> </w:t>
      </w:r>
      <w:r>
        <w:rPr>
          <w:color w:val="auto"/>
          <w:highlight w:val="none"/>
        </w:rPr>
        <w:t>日。公告内容包括中标人名称、中标价。</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32" w:name="_bookmark77"/>
      <w:bookmarkEnd w:id="332"/>
      <w:r>
        <w:rPr>
          <w:rFonts w:hint="eastAsia" w:ascii="黑体" w:eastAsia="黑体"/>
          <w:color w:val="auto"/>
          <w:sz w:val="24"/>
          <w:highlight w:val="none"/>
        </w:rPr>
        <w:t>履约保证金</w:t>
      </w:r>
    </w:p>
    <w:p>
      <w:pPr>
        <w:tabs>
          <w:tab w:val="left" w:pos="1450"/>
        </w:tabs>
        <w:adjustRightInd w:val="0"/>
        <w:snapToGrid w:val="0"/>
        <w:spacing w:line="324" w:lineRule="auto"/>
        <w:ind w:left="284" w:right="217" w:firstLine="564" w:firstLineChars="235"/>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7.7.1</w:t>
      </w:r>
      <w:r>
        <w:rPr>
          <w:rFonts w:ascii="Times New Roman" w:cs="Times New Roman"/>
          <w:color w:val="auto"/>
          <w:sz w:val="24"/>
          <w:highlight w:val="none"/>
        </w:rPr>
        <w:t>在签订合同前，中标人应按投标人须知前附表规定的形式、金额和招标文</w:t>
      </w:r>
      <w:r>
        <w:rPr>
          <w:rFonts w:ascii="Times New Roman" w:cs="Times New Roman"/>
          <w:color w:val="auto"/>
          <w:spacing w:val="2"/>
          <w:sz w:val="24"/>
          <w:highlight w:val="none"/>
        </w:rPr>
        <w:t>件第四章</w:t>
      </w:r>
      <w:r>
        <w:rPr>
          <w:rFonts w:ascii="Times New Roman" w:hAnsi="Times New Roman" w:eastAsia="Times New Roman" w:cs="Times New Roman"/>
          <w:color w:val="auto"/>
          <w:sz w:val="24"/>
          <w:highlight w:val="none"/>
        </w:rPr>
        <w:t>“</w:t>
      </w:r>
      <w:r>
        <w:rPr>
          <w:rFonts w:ascii="Times New Roman" w:cs="Times New Roman"/>
          <w:color w:val="auto"/>
          <w:spacing w:val="2"/>
          <w:sz w:val="24"/>
          <w:highlight w:val="none"/>
        </w:rPr>
        <w:t>合同条款及格式</w:t>
      </w:r>
      <w:r>
        <w:rPr>
          <w:rFonts w:ascii="Times New Roman" w:hAnsi="Times New Roman" w:eastAsia="Times New Roman" w:cs="Times New Roman"/>
          <w:color w:val="auto"/>
          <w:sz w:val="24"/>
          <w:highlight w:val="none"/>
        </w:rPr>
        <w:t>”</w:t>
      </w:r>
      <w:r>
        <w:rPr>
          <w:rFonts w:ascii="Times New Roman" w:cs="Times New Roman"/>
          <w:color w:val="auto"/>
          <w:spacing w:val="1"/>
          <w:sz w:val="24"/>
          <w:highlight w:val="none"/>
        </w:rPr>
        <w:t>规定的或事先经过招标人书面认可的履约保证金格式向</w:t>
      </w:r>
      <w:r>
        <w:rPr>
          <w:rFonts w:ascii="Times New Roman" w:cs="Times New Roman"/>
          <w:color w:val="auto"/>
          <w:spacing w:val="-5"/>
          <w:sz w:val="24"/>
          <w:highlight w:val="none"/>
        </w:rPr>
        <w:t>招标人提交履约保证金。除投标人须知前附表另有规定外，履约保证金为签约合同价</w:t>
      </w:r>
      <w:r>
        <w:rPr>
          <w:rFonts w:ascii="Times New Roman" w:cs="Times New Roman"/>
          <w:color w:val="auto"/>
          <w:spacing w:val="-33"/>
          <w:sz w:val="24"/>
          <w:highlight w:val="none"/>
        </w:rPr>
        <w:t>的</w:t>
      </w:r>
      <w:r>
        <w:rPr>
          <w:rFonts w:ascii="Times New Roman" w:hAnsi="Times New Roman" w:eastAsia="Times New Roman" w:cs="Times New Roman"/>
          <w:color w:val="auto"/>
          <w:sz w:val="24"/>
          <w:highlight w:val="none"/>
        </w:rPr>
        <w:t>10%</w:t>
      </w:r>
      <w:r>
        <w:rPr>
          <w:rFonts w:ascii="Times New Roman" w:cs="Times New Roman"/>
          <w:color w:val="auto"/>
          <w:sz w:val="24"/>
          <w:highlight w:val="none"/>
        </w:rPr>
        <w:t>。联合体中标的，其履约保证金以联合体各方或联合体中牵头人的名义提交。</w:t>
      </w:r>
    </w:p>
    <w:p>
      <w:pPr>
        <w:pStyle w:val="20"/>
        <w:adjustRightInd w:val="0"/>
        <w:snapToGrid w:val="0"/>
        <w:spacing w:line="324" w:lineRule="auto"/>
        <w:ind w:left="369" w:right="324" w:firstLine="479"/>
        <w:jc w:val="both"/>
        <w:rPr>
          <w:rFonts w:ascii="Times New Roman" w:hAnsi="Times New Roman" w:cs="Times New Roman"/>
          <w:color w:val="auto"/>
          <w:highlight w:val="none"/>
        </w:rPr>
      </w:pPr>
      <w:r>
        <w:rPr>
          <w:rFonts w:ascii="Times New Roman" w:cs="Times New Roman"/>
          <w:color w:val="auto"/>
          <w:spacing w:val="-8"/>
          <w:highlight w:val="none"/>
        </w:rPr>
        <w:t>采用银行保函时，应由符合投标人须知前附表规定级别的银行开具，所需的费用由中标人承担，中标人应保证银行保函有效。</w:t>
      </w:r>
    </w:p>
    <w:p>
      <w:pPr>
        <w:tabs>
          <w:tab w:val="left" w:pos="1450"/>
        </w:tabs>
        <w:adjustRightInd w:val="0"/>
        <w:snapToGrid w:val="0"/>
        <w:spacing w:line="324" w:lineRule="auto"/>
        <w:ind w:left="284" w:right="325" w:firstLine="564" w:firstLineChars="235"/>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7.7.2</w:t>
      </w:r>
      <w:r>
        <w:rPr>
          <w:rFonts w:ascii="Times New Roman" w:cs="Times New Roman"/>
          <w:color w:val="auto"/>
          <w:spacing w:val="-6"/>
          <w:sz w:val="24"/>
          <w:highlight w:val="none"/>
        </w:rPr>
        <w:t>中标人不能按本章第</w:t>
      </w:r>
      <w:r>
        <w:rPr>
          <w:rFonts w:ascii="Times New Roman" w:hAnsi="Times New Roman" w:eastAsia="Times New Roman" w:cs="Times New Roman"/>
          <w:color w:val="auto"/>
          <w:sz w:val="24"/>
          <w:highlight w:val="none"/>
        </w:rPr>
        <w:t xml:space="preserve">7.7.1 </w:t>
      </w:r>
      <w:r>
        <w:rPr>
          <w:rFonts w:ascii="Times New Roman" w:cs="Times New Roman"/>
          <w:color w:val="auto"/>
          <w:spacing w:val="-7"/>
          <w:sz w:val="24"/>
          <w:highlight w:val="none"/>
        </w:rPr>
        <w:t>项要求提交履约保证金的，视为放弃中标，其投</w:t>
      </w:r>
      <w:r>
        <w:rPr>
          <w:rFonts w:ascii="Times New Roman" w:cs="Times New Roman"/>
          <w:color w:val="auto"/>
          <w:spacing w:val="-12"/>
          <w:sz w:val="24"/>
          <w:highlight w:val="none"/>
        </w:rPr>
        <w:t>标保证金不予退还，给招标人造成的损失超过投标保证金数额的，中标人还应对超过部分予以赔偿。</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33" w:name="_bookmark78"/>
      <w:bookmarkEnd w:id="333"/>
      <w:r>
        <w:rPr>
          <w:rFonts w:hint="eastAsia" w:ascii="黑体" w:eastAsia="黑体"/>
          <w:color w:val="auto"/>
          <w:sz w:val="24"/>
          <w:highlight w:val="none"/>
        </w:rPr>
        <w:t>签订合同</w:t>
      </w:r>
    </w:p>
    <w:p>
      <w:pPr>
        <w:tabs>
          <w:tab w:val="left" w:pos="1450"/>
        </w:tabs>
        <w:adjustRightInd w:val="0"/>
        <w:snapToGrid w:val="0"/>
        <w:spacing w:line="324" w:lineRule="auto"/>
        <w:ind w:left="284" w:right="325" w:firstLine="564" w:firstLineChars="235"/>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7.8.1</w:t>
      </w:r>
      <w:r>
        <w:rPr>
          <w:rFonts w:ascii="Times New Roman" w:cs="Times New Roman"/>
          <w:color w:val="auto"/>
          <w:spacing w:val="-3"/>
          <w:sz w:val="24"/>
          <w:highlight w:val="none"/>
        </w:rPr>
        <w:t>招标人和中标人应在中标通知书发出之日起</w:t>
      </w:r>
      <w:r>
        <w:rPr>
          <w:rFonts w:ascii="Times New Roman" w:hAnsi="Times New Roman" w:eastAsia="Times New Roman" w:cs="Times New Roman"/>
          <w:color w:val="auto"/>
          <w:sz w:val="24"/>
          <w:highlight w:val="none"/>
        </w:rPr>
        <w:t xml:space="preserve">30 </w:t>
      </w:r>
      <w:r>
        <w:rPr>
          <w:rFonts w:ascii="Times New Roman" w:cs="Times New Roman"/>
          <w:color w:val="auto"/>
          <w:spacing w:val="-11"/>
          <w:sz w:val="24"/>
          <w:highlight w:val="none"/>
        </w:rPr>
        <w:t>日内，根据招标文件和中标</w:t>
      </w:r>
      <w:r>
        <w:rPr>
          <w:rFonts w:ascii="Times New Roman" w:cs="Times New Roman"/>
          <w:color w:val="auto"/>
          <w:spacing w:val="-15"/>
          <w:sz w:val="24"/>
          <w:highlight w:val="none"/>
        </w:rPr>
        <w:t>人的投标文件订立书面合同。中标人无正当理由拒签合同，在签订合同时向招标人提</w:t>
      </w:r>
      <w:r>
        <w:rPr>
          <w:rFonts w:ascii="Times New Roman" w:cs="Times New Roman"/>
          <w:color w:val="auto"/>
          <w:spacing w:val="-13"/>
          <w:sz w:val="24"/>
          <w:highlight w:val="none"/>
        </w:rPr>
        <w:t>出附加条件，或不按照招标文件要求提交履约保证金的，招标人取消其中标资格，其</w:t>
      </w:r>
      <w:r>
        <w:rPr>
          <w:rFonts w:ascii="Times New Roman" w:cs="Times New Roman"/>
          <w:color w:val="auto"/>
          <w:spacing w:val="-15"/>
          <w:sz w:val="24"/>
          <w:highlight w:val="none"/>
        </w:rPr>
        <w:t>投标保证金不予退还；给招标人造成的损失超过投标保证金数额的，中标人还应对超过部分予以赔偿。</w:t>
      </w:r>
    </w:p>
    <w:p>
      <w:pPr>
        <w:tabs>
          <w:tab w:val="left" w:pos="1450"/>
        </w:tabs>
        <w:adjustRightInd w:val="0"/>
        <w:snapToGrid w:val="0"/>
        <w:spacing w:line="324" w:lineRule="auto"/>
        <w:ind w:left="284" w:right="327" w:firstLine="564" w:firstLineChars="235"/>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7.8.2</w:t>
      </w:r>
      <w:r>
        <w:rPr>
          <w:rFonts w:ascii="Times New Roman" w:cs="Times New Roman"/>
          <w:color w:val="auto"/>
          <w:sz w:val="24"/>
          <w:highlight w:val="none"/>
        </w:rPr>
        <w:t>发出中标通知书后，招标人无正当理由拒签合同，或在签订合同时向中标</w:t>
      </w:r>
      <w:r>
        <w:rPr>
          <w:rFonts w:ascii="Times New Roman" w:cs="Times New Roman"/>
          <w:color w:val="auto"/>
          <w:spacing w:val="-7"/>
          <w:sz w:val="24"/>
          <w:highlight w:val="none"/>
        </w:rPr>
        <w:t>人提出附加条件的，招标人向中标人退还投标保证金；给中标人造成损失的，还应赔</w:t>
      </w:r>
      <w:r>
        <w:rPr>
          <w:rFonts w:ascii="Times New Roman" w:cs="Times New Roman"/>
          <w:color w:val="auto"/>
          <w:highlight w:val="none"/>
        </w:rPr>
        <w:t>偿损失。</w:t>
      </w:r>
    </w:p>
    <w:p>
      <w:pPr>
        <w:tabs>
          <w:tab w:val="left" w:pos="1450"/>
        </w:tabs>
        <w:adjustRightInd w:val="0"/>
        <w:snapToGrid w:val="0"/>
        <w:spacing w:line="324" w:lineRule="auto"/>
        <w:ind w:left="849"/>
        <w:rPr>
          <w:rFonts w:ascii="Times New Roman" w:hAnsi="Times New Roman" w:cs="Times New Roman"/>
          <w:color w:val="auto"/>
          <w:sz w:val="11"/>
          <w:highlight w:val="none"/>
        </w:rPr>
      </w:pPr>
      <w:r>
        <w:rPr>
          <w:rFonts w:ascii="Times New Roman" w:hAnsi="Times New Roman" w:cs="Times New Roman"/>
          <w:color w:val="auto"/>
          <w:sz w:val="24"/>
          <w:highlight w:val="none"/>
        </w:rPr>
        <w:t>7.8.3</w:t>
      </w:r>
      <w:r>
        <w:rPr>
          <w:rFonts w:ascii="Times New Roman" w:cs="Times New Roman"/>
          <w:color w:val="auto"/>
          <w:sz w:val="24"/>
          <w:highlight w:val="none"/>
        </w:rPr>
        <w:t>签约合同价的确定原则如下：</w:t>
      </w:r>
      <w:r>
        <w:rPr>
          <w:rFonts w:cs="Times New Roman"/>
          <w:color w:val="auto"/>
          <w:position w:val="10"/>
          <w:sz w:val="11"/>
          <w:highlight w:val="none"/>
        </w:rPr>
        <w:t>①</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1</w:t>
      </w:r>
      <w:r>
        <w:rPr>
          <w:rFonts w:ascii="Times New Roman" w:cs="Times New Roman"/>
          <w:color w:val="auto"/>
          <w:spacing w:val="-16"/>
          <w:highlight w:val="none"/>
        </w:rPr>
        <w:t>）</w:t>
      </w:r>
      <w:r>
        <w:rPr>
          <w:rFonts w:ascii="Times New Roman" w:cs="Times New Roman"/>
          <w:color w:val="auto"/>
          <w:spacing w:val="-3"/>
          <w:highlight w:val="none"/>
        </w:rPr>
        <w:t>按照评标办法规定对投标报价进行修正后，若修正后的最终投标报价小于开标时的投标函大写金额报价，则签订合同时以修正后的最终投标报价为准；</w:t>
      </w:r>
    </w:p>
    <w:p>
      <w:pPr>
        <w:pStyle w:val="20"/>
        <w:adjustRightInd w:val="0"/>
        <w:snapToGrid w:val="0"/>
        <w:spacing w:line="324" w:lineRule="auto"/>
        <w:ind w:left="369" w:right="326" w:firstLine="360"/>
        <w:jc w:val="both"/>
        <w:rPr>
          <w:rFonts w:ascii="Times New Roman" w:hAnsi="Times New Roman" w:cs="Times New Roman"/>
          <w:color w:val="auto"/>
          <w:highlight w:val="none"/>
        </w:rPr>
      </w:pPr>
      <w:r>
        <w:rPr>
          <w:rFonts w:ascii="Times New Roman" w:cs="Times New Roman"/>
          <w:color w:val="auto"/>
          <w:spacing w:val="-16"/>
          <w:highlight w:val="none"/>
        </w:rPr>
        <w:t>（</w:t>
      </w:r>
      <w:r>
        <w:rPr>
          <w:rFonts w:ascii="Times New Roman" w:hAnsi="Times New Roman" w:eastAsia="Times New Roman" w:cs="Times New Roman"/>
          <w:color w:val="auto"/>
          <w:spacing w:val="-16"/>
          <w:highlight w:val="none"/>
        </w:rPr>
        <w:t>2</w:t>
      </w:r>
      <w:r>
        <w:rPr>
          <w:rFonts w:ascii="Times New Roman" w:cs="Times New Roman"/>
          <w:color w:val="auto"/>
          <w:spacing w:val="-16"/>
          <w:highlight w:val="none"/>
        </w:rPr>
        <w:t>）</w:t>
      </w:r>
      <w:r>
        <w:rPr>
          <w:rFonts w:ascii="Times New Roman" w:cs="Times New Roman"/>
          <w:color w:val="auto"/>
          <w:spacing w:val="-3"/>
          <w:highlight w:val="none"/>
        </w:rPr>
        <w:t>按照评标办法规定对投标报价进行修正后，若修正后的最终投标报价大于开</w:t>
      </w:r>
      <w:r>
        <w:rPr>
          <w:rFonts w:ascii="Times New Roman" w:cs="Times New Roman"/>
          <w:color w:val="auto"/>
          <w:spacing w:val="-9"/>
          <w:highlight w:val="none"/>
        </w:rPr>
        <w:t>标时的投标函大写金额报价，则签订合同时以开标时的投标函大写金额报价为准，同时按比例修正相应子目的单价或合价。</w:t>
      </w:r>
    </w:p>
    <w:p>
      <w:pPr>
        <w:tabs>
          <w:tab w:val="left" w:pos="1450"/>
        </w:tabs>
        <w:adjustRightInd w:val="0"/>
        <w:snapToGrid w:val="0"/>
        <w:spacing w:line="324" w:lineRule="auto"/>
        <w:ind w:left="426" w:right="331" w:firstLine="422" w:firstLineChars="176"/>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7.8.4</w:t>
      </w:r>
      <w:r>
        <w:rPr>
          <w:rFonts w:ascii="Times New Roman" w:cs="Times New Roman"/>
          <w:color w:val="auto"/>
          <w:sz w:val="24"/>
          <w:highlight w:val="none"/>
        </w:rPr>
        <w:t>联合体中标的，联合体各方应共同与招标人签订合同，就中标项目向招标人承担连带责任。</w:t>
      </w:r>
    </w:p>
    <w:p>
      <w:pPr>
        <w:tabs>
          <w:tab w:val="left" w:pos="1450"/>
        </w:tabs>
        <w:adjustRightInd w:val="0"/>
        <w:snapToGrid w:val="0"/>
        <w:spacing w:line="324" w:lineRule="auto"/>
        <w:ind w:left="426" w:right="326" w:firstLine="422" w:firstLineChars="176"/>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7.8.5</w:t>
      </w:r>
      <w:r>
        <w:rPr>
          <w:rFonts w:ascii="Times New Roman" w:cs="Times New Roman"/>
          <w:color w:val="auto"/>
          <w:sz w:val="24"/>
          <w:highlight w:val="none"/>
        </w:rPr>
        <w:t>招标人和中标人在签订合同协议书的同时，须按照本招标文件规定的格式</w:t>
      </w:r>
      <w:r>
        <w:rPr>
          <w:rFonts w:ascii="Times New Roman" w:cs="Times New Roman"/>
          <w:color w:val="auto"/>
          <w:spacing w:val="-6"/>
          <w:sz w:val="24"/>
          <w:highlight w:val="none"/>
        </w:rPr>
        <w:t>和要求签订廉政合同及安全生产合同，明确双方在廉政建设和安全生产方面的权利和义务以及应承担的违约责任。</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334" w:name="_bookmark79"/>
      <w:bookmarkEnd w:id="334"/>
      <w:bookmarkStart w:id="335" w:name="_Toc5784"/>
      <w:bookmarkStart w:id="336" w:name="_Toc7089"/>
      <w:bookmarkStart w:id="337" w:name="_Toc27632"/>
      <w:bookmarkStart w:id="338" w:name="_Toc12098"/>
      <w:bookmarkStart w:id="339" w:name="_Toc32326"/>
      <w:bookmarkStart w:id="340" w:name="_Toc22200"/>
      <w:bookmarkStart w:id="341" w:name="_Toc32626"/>
      <w:bookmarkStart w:id="342" w:name="_Toc31412"/>
      <w:bookmarkStart w:id="343" w:name="_Toc7587"/>
      <w:bookmarkStart w:id="344" w:name="_Toc24435"/>
      <w:bookmarkStart w:id="345" w:name="_Toc19686"/>
      <w:bookmarkStart w:id="346" w:name="_Toc9524"/>
      <w:bookmarkStart w:id="347" w:name="_Toc12282"/>
      <w:bookmarkStart w:id="348" w:name="_Toc4813"/>
      <w:bookmarkStart w:id="349" w:name="_Toc9573"/>
      <w:bookmarkStart w:id="350" w:name="_Toc1892"/>
      <w:bookmarkStart w:id="351" w:name="_Toc10218"/>
      <w:r>
        <w:rPr>
          <w:rFonts w:hint="eastAsia" w:ascii="黑体" w:eastAsia="黑体"/>
          <w:color w:val="auto"/>
          <w:spacing w:val="-1"/>
          <w:sz w:val="28"/>
          <w:highlight w:val="none"/>
        </w:rPr>
        <w:t>纪律和监督</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52" w:name="_bookmark80"/>
      <w:bookmarkEnd w:id="352"/>
      <w:r>
        <w:rPr>
          <w:rFonts w:hint="eastAsia" w:ascii="黑体" w:eastAsia="黑体"/>
          <w:color w:val="auto"/>
          <w:sz w:val="24"/>
          <w:highlight w:val="none"/>
        </w:rPr>
        <w:t>对招标人的纪律要求</w:t>
      </w:r>
    </w:p>
    <w:p>
      <w:pPr>
        <w:pStyle w:val="20"/>
        <w:adjustRightInd w:val="0"/>
        <w:snapToGrid w:val="0"/>
        <w:spacing w:line="324" w:lineRule="auto"/>
        <w:ind w:left="369" w:right="326" w:firstLine="479"/>
        <w:jc w:val="both"/>
        <w:rPr>
          <w:color w:val="auto"/>
          <w:highlight w:val="none"/>
        </w:rPr>
      </w:pPr>
      <w:r>
        <w:rPr>
          <w:color w:val="auto"/>
          <w:spacing w:val="-4"/>
          <w:highlight w:val="none"/>
        </w:rPr>
        <w:t>招标人不得泄露招标投标活动中应保密的情况和资料，不得与投标人串通损害国家利益、社会公共利益或他人合法权益。</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53" w:name="_bookmark81"/>
      <w:bookmarkEnd w:id="353"/>
      <w:r>
        <w:rPr>
          <w:rFonts w:hint="eastAsia" w:ascii="黑体" w:eastAsia="黑体"/>
          <w:color w:val="auto"/>
          <w:sz w:val="24"/>
          <w:highlight w:val="none"/>
        </w:rPr>
        <w:t>对投标人的纪律要求</w:t>
      </w:r>
    </w:p>
    <w:p>
      <w:pPr>
        <w:pStyle w:val="20"/>
        <w:adjustRightInd w:val="0"/>
        <w:snapToGrid w:val="0"/>
        <w:spacing w:line="324" w:lineRule="auto"/>
        <w:ind w:left="369" w:right="325" w:firstLine="479"/>
        <w:jc w:val="both"/>
        <w:rPr>
          <w:color w:val="auto"/>
          <w:highlight w:val="none"/>
        </w:rPr>
      </w:pPr>
      <w:r>
        <w:rPr>
          <w:color w:val="auto"/>
          <w:spacing w:val="-5"/>
          <w:highlight w:val="none"/>
        </w:rPr>
        <w:t>投标人不得相互串通投标或与招标人串通投标，不得向招标人或评标委员会成员</w:t>
      </w:r>
      <w:r>
        <w:rPr>
          <w:color w:val="auto"/>
          <w:spacing w:val="-11"/>
          <w:highlight w:val="none"/>
        </w:rPr>
        <w:t>行贿谋取中标，不得以他人名义投标或以其他方式弄虚作假骗取中标；投标人不得以任何方式干扰、影响评标工作。</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54" w:name="_bookmark82"/>
      <w:bookmarkEnd w:id="354"/>
      <w:r>
        <w:rPr>
          <w:rFonts w:hint="eastAsia" w:ascii="黑体" w:eastAsia="黑体"/>
          <w:color w:val="auto"/>
          <w:sz w:val="24"/>
          <w:highlight w:val="none"/>
        </w:rPr>
        <w:t>对评标委员会成员的纪律要求</w:t>
      </w:r>
    </w:p>
    <w:p>
      <w:pPr>
        <w:pStyle w:val="20"/>
        <w:adjustRightInd w:val="0"/>
        <w:snapToGrid w:val="0"/>
        <w:spacing w:line="324" w:lineRule="auto"/>
        <w:ind w:left="369" w:right="324" w:firstLine="479"/>
        <w:jc w:val="both"/>
        <w:rPr>
          <w:color w:val="auto"/>
          <w:highlight w:val="none"/>
        </w:rPr>
      </w:pPr>
      <w:r>
        <w:rPr>
          <w:color w:val="auto"/>
          <w:spacing w:val="-5"/>
          <w:highlight w:val="none"/>
        </w:rPr>
        <w:t>评标委员会成员不得收受他人的财物或其他好处，不得向他人透露对投标文件的</w:t>
      </w:r>
      <w:r>
        <w:rPr>
          <w:color w:val="auto"/>
          <w:spacing w:val="-10"/>
          <w:highlight w:val="none"/>
        </w:rPr>
        <w:t>评审和比较、中标候选人的推荐情况以及评标有关的其他情况。在评标活动中，评标</w:t>
      </w:r>
      <w:r>
        <w:rPr>
          <w:color w:val="auto"/>
          <w:spacing w:val="-13"/>
          <w:highlight w:val="none"/>
        </w:rPr>
        <w:t>委员会成员应客观、公正地履行职责，遵守职业道德，不得擅离职守，影响评标程序正常进行，不得使用第三章</w:t>
      </w:r>
      <w:r>
        <w:rPr>
          <w:rFonts w:ascii="Times New Roman" w:hAnsi="Times New Roman" w:eastAsia="Times New Roman"/>
          <w:color w:val="auto"/>
          <w:spacing w:val="-13"/>
          <w:highlight w:val="none"/>
        </w:rPr>
        <w:t>“</w:t>
      </w:r>
      <w:r>
        <w:rPr>
          <w:color w:val="auto"/>
          <w:spacing w:val="-13"/>
          <w:highlight w:val="none"/>
        </w:rPr>
        <w:t>评标办法</w:t>
      </w:r>
      <w:r>
        <w:rPr>
          <w:rFonts w:ascii="Times New Roman" w:hAnsi="Times New Roman" w:eastAsia="Times New Roman"/>
          <w:color w:val="auto"/>
          <w:spacing w:val="-13"/>
          <w:highlight w:val="none"/>
        </w:rPr>
        <w:t>”</w:t>
      </w:r>
      <w:r>
        <w:rPr>
          <w:color w:val="auto"/>
          <w:spacing w:val="-13"/>
          <w:highlight w:val="none"/>
        </w:rPr>
        <w:t>没有规定的评审因素和标准进行评标。</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55" w:name="_bookmark83"/>
      <w:bookmarkEnd w:id="355"/>
      <w:r>
        <w:rPr>
          <w:rFonts w:hint="eastAsia" w:ascii="黑体" w:eastAsia="黑体"/>
          <w:color w:val="auto"/>
          <w:sz w:val="24"/>
          <w:highlight w:val="none"/>
        </w:rPr>
        <w:t>对与评标活动有关的工作人员的纪律要求</w:t>
      </w:r>
    </w:p>
    <w:p>
      <w:pPr>
        <w:pStyle w:val="20"/>
        <w:adjustRightInd w:val="0"/>
        <w:snapToGrid w:val="0"/>
        <w:spacing w:line="324" w:lineRule="auto"/>
        <w:ind w:left="849"/>
        <w:rPr>
          <w:color w:val="auto"/>
          <w:highlight w:val="none"/>
        </w:rPr>
      </w:pPr>
      <w:r>
        <w:rPr>
          <w:color w:val="auto"/>
          <w:highlight w:val="none"/>
        </w:rPr>
        <w:t>与评标活动有关的工作人员不得收受他人的财物或其他好处，不得向他人透露对</w:t>
      </w:r>
    </w:p>
    <w:p>
      <w:pPr>
        <w:pStyle w:val="20"/>
        <w:adjustRightInd w:val="0"/>
        <w:snapToGrid w:val="0"/>
        <w:spacing w:line="324" w:lineRule="auto"/>
        <w:ind w:left="369" w:right="326"/>
        <w:rPr>
          <w:color w:val="auto"/>
          <w:highlight w:val="none"/>
        </w:rPr>
      </w:pPr>
      <w:r>
        <w:rPr>
          <w:color w:val="auto"/>
          <w:spacing w:val="-7"/>
          <w:highlight w:val="none"/>
        </w:rPr>
        <w:t>投标文件的评审和比较、中标候选人的推荐情况以及评标有关的其他情况。在评标活动中，与评标活动有关的工作人员不得擅离职守，影响评标程序正常进行。</w:t>
      </w:r>
    </w:p>
    <w:p>
      <w:pPr>
        <w:pStyle w:val="86"/>
        <w:numPr>
          <w:ilvl w:val="1"/>
          <w:numId w:val="2"/>
        </w:numPr>
        <w:tabs>
          <w:tab w:val="left" w:pos="850"/>
        </w:tabs>
        <w:adjustRightInd w:val="0"/>
        <w:snapToGrid w:val="0"/>
        <w:spacing w:line="324" w:lineRule="auto"/>
        <w:ind w:left="849" w:hanging="480"/>
        <w:rPr>
          <w:rFonts w:ascii="黑体" w:eastAsia="黑体"/>
          <w:color w:val="auto"/>
          <w:sz w:val="24"/>
          <w:highlight w:val="none"/>
        </w:rPr>
      </w:pPr>
      <w:bookmarkStart w:id="356" w:name="_bookmark84"/>
      <w:bookmarkEnd w:id="356"/>
      <w:r>
        <w:rPr>
          <w:rFonts w:hint="eastAsia" w:ascii="黑体" w:eastAsia="黑体"/>
          <w:color w:val="auto"/>
          <w:sz w:val="24"/>
          <w:highlight w:val="none"/>
        </w:rPr>
        <w:t>投诉</w:t>
      </w:r>
    </w:p>
    <w:p>
      <w:pPr>
        <w:tabs>
          <w:tab w:val="left" w:pos="1450"/>
        </w:tabs>
        <w:adjustRightInd w:val="0"/>
        <w:snapToGrid w:val="0"/>
        <w:spacing w:line="324" w:lineRule="auto"/>
        <w:ind w:left="284" w:right="206" w:firstLine="554" w:firstLineChars="239"/>
        <w:rPr>
          <w:rFonts w:ascii="Times New Roman" w:hAnsi="Times New Roman" w:cs="Times New Roman"/>
          <w:color w:val="auto"/>
          <w:sz w:val="24"/>
          <w:highlight w:val="none"/>
        </w:rPr>
      </w:pPr>
      <w:r>
        <w:rPr>
          <w:rFonts w:ascii="Times New Roman" w:hAnsi="Times New Roman" w:cs="Times New Roman"/>
          <w:color w:val="auto"/>
          <w:spacing w:val="-4"/>
          <w:sz w:val="24"/>
          <w:highlight w:val="none"/>
        </w:rPr>
        <w:t>8.5.1</w:t>
      </w:r>
      <w:r>
        <w:rPr>
          <w:rFonts w:ascii="Times New Roman" w:cs="Times New Roman"/>
          <w:color w:val="auto"/>
          <w:spacing w:val="-4"/>
          <w:sz w:val="24"/>
          <w:highlight w:val="none"/>
        </w:rPr>
        <w:t>投标人或其他利害关系人认为招标投标活动不符合法律、行政法规规定的，</w:t>
      </w:r>
      <w:r>
        <w:rPr>
          <w:rFonts w:ascii="Times New Roman" w:cs="Times New Roman"/>
          <w:color w:val="auto"/>
          <w:spacing w:val="-7"/>
          <w:sz w:val="24"/>
          <w:highlight w:val="none"/>
        </w:rPr>
        <w:t>可以自知道或应当知道之日起</w:t>
      </w:r>
      <w:r>
        <w:rPr>
          <w:rFonts w:ascii="Times New Roman" w:hAnsi="Times New Roman" w:eastAsia="Times New Roman" w:cs="Times New Roman"/>
          <w:color w:val="auto"/>
          <w:sz w:val="24"/>
          <w:highlight w:val="none"/>
        </w:rPr>
        <w:t>10</w:t>
      </w:r>
      <w:r>
        <w:rPr>
          <w:rFonts w:ascii="Times New Roman" w:cs="Times New Roman"/>
          <w:color w:val="auto"/>
          <w:sz w:val="24"/>
          <w:highlight w:val="none"/>
        </w:rPr>
        <w:t>日内向有关行政监督部门投诉。投诉应有明确的请求和必要的证明材料。</w:t>
      </w:r>
    </w:p>
    <w:p>
      <w:pPr>
        <w:pStyle w:val="20"/>
        <w:adjustRightInd w:val="0"/>
        <w:snapToGrid w:val="0"/>
        <w:spacing w:line="324" w:lineRule="auto"/>
        <w:ind w:left="849"/>
        <w:rPr>
          <w:rFonts w:ascii="Times New Roman" w:hAnsi="Times New Roman" w:cs="Times New Roman"/>
          <w:color w:val="auto"/>
          <w:highlight w:val="none"/>
        </w:rPr>
      </w:pPr>
      <w:r>
        <w:rPr>
          <w:rFonts w:ascii="Times New Roman" w:cs="Times New Roman"/>
          <w:color w:val="auto"/>
          <w:highlight w:val="none"/>
        </w:rPr>
        <w:t>监督部门的联系方式见投标人须知前附表。</w:t>
      </w:r>
    </w:p>
    <w:p>
      <w:pPr>
        <w:tabs>
          <w:tab w:val="left" w:pos="1450"/>
        </w:tabs>
        <w:adjustRightInd w:val="0"/>
        <w:snapToGrid w:val="0"/>
        <w:spacing w:line="324" w:lineRule="auto"/>
        <w:ind w:left="284" w:right="328" w:firstLine="554" w:firstLineChars="239"/>
        <w:jc w:val="both"/>
        <w:rPr>
          <w:rFonts w:ascii="Times New Roman" w:hAnsi="Times New Roman" w:cs="Times New Roman"/>
          <w:color w:val="auto"/>
          <w:sz w:val="24"/>
          <w:highlight w:val="none"/>
        </w:rPr>
      </w:pPr>
      <w:r>
        <w:rPr>
          <w:rFonts w:ascii="Times New Roman" w:hAnsi="Times New Roman" w:cs="Times New Roman"/>
          <w:color w:val="auto"/>
          <w:spacing w:val="-4"/>
          <w:sz w:val="24"/>
          <w:highlight w:val="none"/>
        </w:rPr>
        <w:t>8.5.2</w:t>
      </w:r>
      <w:r>
        <w:rPr>
          <w:rFonts w:ascii="Times New Roman" w:cs="Times New Roman"/>
          <w:color w:val="auto"/>
          <w:sz w:val="24"/>
          <w:highlight w:val="none"/>
        </w:rPr>
        <w:t>投标人或其他利害关系人对招标文件、开标和评标结果提出投诉的，应按</w:t>
      </w:r>
      <w:r>
        <w:rPr>
          <w:rFonts w:ascii="Times New Roman" w:cs="Times New Roman"/>
          <w:color w:val="auto"/>
          <w:spacing w:val="-10"/>
          <w:sz w:val="24"/>
          <w:highlight w:val="none"/>
        </w:rPr>
        <w:t>照本章第</w:t>
      </w:r>
      <w:r>
        <w:rPr>
          <w:rFonts w:ascii="Times New Roman" w:hAnsi="Times New Roman" w:eastAsia="Times New Roman" w:cs="Times New Roman"/>
          <w:color w:val="auto"/>
          <w:sz w:val="24"/>
          <w:highlight w:val="none"/>
        </w:rPr>
        <w:t>2.4</w:t>
      </w:r>
      <w:r>
        <w:rPr>
          <w:rFonts w:ascii="Times New Roman" w:cs="Times New Roman"/>
          <w:color w:val="auto"/>
          <w:spacing w:val="-12"/>
          <w:sz w:val="24"/>
          <w:highlight w:val="none"/>
        </w:rPr>
        <w:t>款、第</w:t>
      </w:r>
      <w:r>
        <w:rPr>
          <w:rFonts w:ascii="Times New Roman" w:hAnsi="Times New Roman" w:eastAsia="Times New Roman" w:cs="Times New Roman"/>
          <w:color w:val="auto"/>
          <w:sz w:val="24"/>
          <w:highlight w:val="none"/>
        </w:rPr>
        <w:t>5.3</w:t>
      </w:r>
      <w:r>
        <w:rPr>
          <w:rFonts w:ascii="Times New Roman" w:cs="Times New Roman"/>
          <w:color w:val="auto"/>
          <w:spacing w:val="-12"/>
          <w:sz w:val="24"/>
          <w:highlight w:val="none"/>
        </w:rPr>
        <w:t>款和第</w:t>
      </w:r>
      <w:r>
        <w:rPr>
          <w:rFonts w:ascii="Times New Roman" w:hAnsi="Times New Roman" w:eastAsia="Times New Roman" w:cs="Times New Roman"/>
          <w:color w:val="auto"/>
          <w:sz w:val="24"/>
          <w:highlight w:val="none"/>
        </w:rPr>
        <w:t>7.2</w:t>
      </w:r>
      <w:r>
        <w:rPr>
          <w:rFonts w:ascii="Times New Roman" w:cs="Times New Roman"/>
          <w:color w:val="auto"/>
          <w:sz w:val="24"/>
          <w:highlight w:val="none"/>
        </w:rPr>
        <w:t>款的规定先向招标人提出异议。异议答复期间不</w:t>
      </w:r>
      <w:r>
        <w:rPr>
          <w:rFonts w:ascii="Times New Roman" w:cs="Times New Roman"/>
          <w:color w:val="auto"/>
          <w:spacing w:val="-13"/>
          <w:sz w:val="24"/>
          <w:highlight w:val="none"/>
        </w:rPr>
        <w:t>计算在第</w:t>
      </w:r>
      <w:r>
        <w:rPr>
          <w:rFonts w:ascii="Times New Roman" w:hAnsi="Times New Roman" w:eastAsia="Times New Roman" w:cs="Times New Roman"/>
          <w:color w:val="auto"/>
          <w:sz w:val="24"/>
          <w:highlight w:val="none"/>
        </w:rPr>
        <w:t xml:space="preserve">8.5.1 </w:t>
      </w:r>
      <w:r>
        <w:rPr>
          <w:rFonts w:ascii="Times New Roman" w:cs="Times New Roman"/>
          <w:color w:val="auto"/>
          <w:sz w:val="24"/>
          <w:highlight w:val="none"/>
        </w:rPr>
        <w:t>项规定的期限内。</w:t>
      </w:r>
    </w:p>
    <w:p>
      <w:pPr>
        <w:numPr>
          <w:ilvl w:val="0"/>
          <w:numId w:val="2"/>
        </w:numPr>
        <w:tabs>
          <w:tab w:val="left" w:pos="790"/>
        </w:tabs>
        <w:adjustRightInd w:val="0"/>
        <w:snapToGrid w:val="0"/>
        <w:spacing w:line="324" w:lineRule="auto"/>
        <w:outlineLvl w:val="2"/>
        <w:rPr>
          <w:rFonts w:ascii="黑体" w:eastAsia="黑体"/>
          <w:color w:val="auto"/>
          <w:sz w:val="28"/>
          <w:highlight w:val="none"/>
        </w:rPr>
      </w:pPr>
      <w:bookmarkStart w:id="357" w:name="_bookmark85"/>
      <w:bookmarkEnd w:id="357"/>
      <w:bookmarkStart w:id="358" w:name="_Toc28897"/>
      <w:bookmarkStart w:id="359" w:name="_Toc936"/>
      <w:bookmarkStart w:id="360" w:name="_Toc31610"/>
      <w:bookmarkStart w:id="361" w:name="_Toc1068"/>
      <w:bookmarkStart w:id="362" w:name="_Toc29768"/>
      <w:bookmarkStart w:id="363" w:name="_Toc2629"/>
      <w:bookmarkStart w:id="364" w:name="_Toc22173"/>
      <w:bookmarkStart w:id="365" w:name="_Toc22532"/>
      <w:bookmarkStart w:id="366" w:name="_Toc26723"/>
      <w:bookmarkStart w:id="367" w:name="_Toc25436"/>
      <w:bookmarkStart w:id="368" w:name="_Toc21532"/>
      <w:bookmarkStart w:id="369" w:name="_Toc18509"/>
      <w:bookmarkStart w:id="370" w:name="_Toc18727"/>
      <w:bookmarkStart w:id="371" w:name="_Toc19020"/>
      <w:bookmarkStart w:id="372" w:name="_Toc23572"/>
      <w:bookmarkStart w:id="373" w:name="_Toc240"/>
      <w:bookmarkStart w:id="374" w:name="_Toc0"/>
      <w:r>
        <w:rPr>
          <w:rFonts w:hint="eastAsia" w:ascii="黑体" w:eastAsia="黑体"/>
          <w:color w:val="auto"/>
          <w:spacing w:val="-2"/>
          <w:sz w:val="28"/>
          <w:highlight w:val="none"/>
        </w:rPr>
        <w:t>是否采用电子招标投标</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Style w:val="20"/>
        <w:adjustRightInd w:val="0"/>
        <w:snapToGrid w:val="0"/>
        <w:spacing w:line="324" w:lineRule="auto"/>
        <w:ind w:left="849"/>
        <w:rPr>
          <w:color w:val="auto"/>
          <w:highlight w:val="none"/>
        </w:rPr>
      </w:pPr>
      <w:r>
        <w:rPr>
          <w:color w:val="auto"/>
          <w:highlight w:val="none"/>
        </w:rPr>
        <w:t>本招标项目是否采用电子招标投标方式，见投标人须知前附表。</w:t>
      </w:r>
    </w:p>
    <w:p>
      <w:pPr>
        <w:numPr>
          <w:ilvl w:val="0"/>
          <w:numId w:val="2"/>
        </w:numPr>
        <w:tabs>
          <w:tab w:val="left" w:pos="929"/>
        </w:tabs>
        <w:adjustRightInd w:val="0"/>
        <w:snapToGrid w:val="0"/>
        <w:spacing w:line="324" w:lineRule="auto"/>
        <w:ind w:left="928" w:hanging="559"/>
        <w:outlineLvl w:val="2"/>
        <w:rPr>
          <w:rFonts w:ascii="黑体" w:eastAsia="黑体"/>
          <w:color w:val="auto"/>
          <w:sz w:val="28"/>
          <w:highlight w:val="none"/>
        </w:rPr>
      </w:pPr>
      <w:bookmarkStart w:id="375" w:name="_bookmark86"/>
      <w:bookmarkEnd w:id="375"/>
      <w:bookmarkStart w:id="376" w:name="_Toc229"/>
      <w:bookmarkStart w:id="377" w:name="_Toc23700"/>
      <w:bookmarkStart w:id="378" w:name="_Toc5735"/>
      <w:bookmarkStart w:id="379" w:name="_Toc10472"/>
      <w:bookmarkStart w:id="380" w:name="_Toc13083"/>
      <w:bookmarkStart w:id="381" w:name="_Toc28581"/>
      <w:bookmarkStart w:id="382" w:name="_Toc21017"/>
      <w:bookmarkStart w:id="383" w:name="_Toc11579"/>
      <w:bookmarkStart w:id="384" w:name="_Toc25171"/>
      <w:bookmarkStart w:id="385" w:name="_Toc12376"/>
      <w:bookmarkStart w:id="386" w:name="_Toc8237"/>
      <w:bookmarkStart w:id="387" w:name="_Toc16577"/>
      <w:bookmarkStart w:id="388" w:name="_Toc23100"/>
      <w:bookmarkStart w:id="389" w:name="_Toc22182"/>
      <w:bookmarkStart w:id="390" w:name="_Toc1274"/>
      <w:bookmarkStart w:id="391" w:name="_Toc28185"/>
      <w:bookmarkStart w:id="392" w:name="_Toc19435"/>
      <w:r>
        <w:rPr>
          <w:rFonts w:hint="eastAsia" w:ascii="黑体" w:eastAsia="黑体"/>
          <w:color w:val="auto"/>
          <w:spacing w:val="-2"/>
          <w:sz w:val="28"/>
          <w:highlight w:val="none"/>
        </w:rPr>
        <w:t>需要补充的其他内容</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86"/>
        <w:numPr>
          <w:ilvl w:val="1"/>
          <w:numId w:val="2"/>
        </w:numPr>
        <w:tabs>
          <w:tab w:val="left" w:pos="1392"/>
        </w:tabs>
        <w:adjustRightInd w:val="0"/>
        <w:snapToGrid w:val="0"/>
        <w:spacing w:line="324" w:lineRule="auto"/>
        <w:ind w:right="315" w:firstLine="480"/>
        <w:jc w:val="both"/>
        <w:rPr>
          <w:rFonts w:ascii="Times New Roman" w:hAnsi="Times New Roman" w:eastAsia="Times New Roman" w:cs="Times New Roman"/>
          <w:color w:val="auto"/>
          <w:sz w:val="24"/>
          <w:highlight w:val="none"/>
        </w:rPr>
      </w:pPr>
      <w:r>
        <w:rPr>
          <w:rFonts w:ascii="Times New Roman" w:cs="Times New Roman"/>
          <w:color w:val="auto"/>
          <w:sz w:val="24"/>
          <w:highlight w:val="none"/>
        </w:rPr>
        <w:t>自购买招标文件之日起，投标人应保证其提供的联系方式</w:t>
      </w:r>
      <w:r>
        <w:rPr>
          <w:rFonts w:ascii="Times New Roman" w:cs="Times New Roman"/>
          <w:color w:val="auto"/>
          <w:spacing w:val="5"/>
          <w:sz w:val="24"/>
          <w:highlight w:val="none"/>
        </w:rPr>
        <w:t>（</w:t>
      </w:r>
      <w:r>
        <w:rPr>
          <w:rFonts w:ascii="Times New Roman" w:cs="Times New Roman"/>
          <w:color w:val="auto"/>
          <w:sz w:val="24"/>
          <w:highlight w:val="none"/>
        </w:rPr>
        <w:t>电话、传真、电子邮件）一直有效，以便及时收到招标人发出的函件</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招标文件的澄清、修改等</w:t>
      </w:r>
      <w:r>
        <w:rPr>
          <w:rFonts w:ascii="Times New Roman" w:hAnsi="Times New Roman" w:eastAsia="Times New Roman" w:cs="Times New Roman"/>
          <w:color w:val="auto"/>
          <w:sz w:val="24"/>
          <w:highlight w:val="none"/>
        </w:rPr>
        <w:t>)</w:t>
      </w:r>
      <w:r>
        <w:rPr>
          <w:rFonts w:ascii="Times New Roman" w:cs="Times New Roman"/>
          <w:color w:val="auto"/>
          <w:sz w:val="24"/>
          <w:highlight w:val="none"/>
        </w:rPr>
        <w:t>，并应及时向招标人反馈信息，否则招标人不承担由此引起的一切后果。</w:t>
      </w:r>
    </w:p>
    <w:p>
      <w:pPr>
        <w:pStyle w:val="20"/>
        <w:adjustRightInd w:val="0"/>
        <w:snapToGrid w:val="0"/>
        <w:spacing w:line="324" w:lineRule="auto"/>
        <w:ind w:left="849"/>
        <w:rPr>
          <w:rFonts w:ascii="Times New Roman" w:cs="Times New Roman"/>
          <w:color w:val="auto"/>
          <w:highlight w:val="none"/>
        </w:rPr>
      </w:pPr>
    </w:p>
    <w:p>
      <w:pPr>
        <w:pStyle w:val="20"/>
        <w:adjustRightInd w:val="0"/>
        <w:snapToGrid w:val="0"/>
        <w:spacing w:line="324" w:lineRule="auto"/>
        <w:ind w:left="849"/>
        <w:rPr>
          <w:rFonts w:ascii="Times New Roman" w:hAnsi="Times New Roman" w:cs="Times New Roman"/>
          <w:color w:val="auto"/>
          <w:highlight w:val="none"/>
        </w:rPr>
      </w:pPr>
      <w:r>
        <w:rPr>
          <w:rFonts w:ascii="Times New Roman" w:cs="Times New Roman"/>
          <w:color w:val="auto"/>
          <w:highlight w:val="none"/>
        </w:rPr>
        <w:t>需要补充的其他内容：见投标人须知前附表。</w:t>
      </w:r>
    </w:p>
    <w:p>
      <w:pPr>
        <w:rPr>
          <w:color w:val="auto"/>
          <w:highlight w:val="none"/>
        </w:rPr>
        <w:sectPr>
          <w:footerReference r:id="rId20" w:type="even"/>
          <w:pgSz w:w="11907" w:h="16840"/>
          <w:pgMar w:top="1418" w:right="1191" w:bottom="1418" w:left="1191" w:header="1134" w:footer="1134" w:gutter="0"/>
          <w:cols w:space="720" w:num="1"/>
        </w:sectPr>
      </w:pPr>
    </w:p>
    <w:p>
      <w:pPr>
        <w:pStyle w:val="20"/>
        <w:spacing w:before="97"/>
        <w:ind w:left="369"/>
        <w:rPr>
          <w:rFonts w:ascii="黑体" w:hAnsi="黑体" w:eastAsia="黑体"/>
          <w:color w:val="auto"/>
          <w:sz w:val="14"/>
          <w:highlight w:val="none"/>
        </w:rPr>
      </w:pPr>
      <w:bookmarkStart w:id="393" w:name="_bookmark87"/>
      <w:bookmarkEnd w:id="393"/>
      <w:r>
        <w:rPr>
          <w:rFonts w:hint="eastAsia" w:ascii="黑体" w:hAnsi="黑体" w:eastAsia="黑体"/>
          <w:color w:val="auto"/>
          <w:highlight w:val="none"/>
        </w:rPr>
        <w:t xml:space="preserve">附件一 开标记录表 </w:t>
      </w:r>
      <w:r>
        <w:rPr>
          <w:rFonts w:hint="eastAsia" w:ascii="黑体" w:hAnsi="黑体" w:eastAsia="黑体"/>
          <w:color w:val="auto"/>
          <w:position w:val="13"/>
          <w:sz w:val="14"/>
          <w:highlight w:val="none"/>
        </w:rPr>
        <w:t>①</w:t>
      </w:r>
    </w:p>
    <w:p>
      <w:pPr>
        <w:pStyle w:val="20"/>
        <w:spacing w:before="4"/>
        <w:rPr>
          <w:rFonts w:ascii="黑体"/>
          <w:color w:val="auto"/>
          <w:sz w:val="22"/>
          <w:highlight w:val="none"/>
        </w:rPr>
      </w:pPr>
    </w:p>
    <w:p>
      <w:pPr>
        <w:tabs>
          <w:tab w:val="left" w:pos="1609"/>
          <w:tab w:val="left" w:pos="3854"/>
        </w:tabs>
        <w:spacing w:before="70" w:line="292" w:lineRule="auto"/>
        <w:ind w:left="633" w:right="589"/>
        <w:jc w:val="center"/>
        <w:rPr>
          <w:rFonts w:ascii="黑体" w:eastAsia="黑体"/>
          <w:color w:val="auto"/>
          <w:sz w:val="28"/>
          <w:highlight w:val="none"/>
        </w:rPr>
      </w:pPr>
      <w:r>
        <w:rPr>
          <w:rFonts w:ascii="Times New Roman" w:eastAsia="Times New Roman"/>
          <w:color w:val="auto"/>
          <w:sz w:val="28"/>
          <w:highlight w:val="none"/>
          <w:u w:val="single"/>
        </w:rPr>
        <w:tab/>
      </w:r>
      <w:r>
        <w:rPr>
          <w:rFonts w:hint="eastAsia" w:ascii="黑体" w:eastAsia="黑体"/>
          <w:color w:val="auto"/>
          <w:sz w:val="28"/>
          <w:highlight w:val="none"/>
        </w:rPr>
        <w:t>（项目名称）</w:t>
      </w:r>
      <w:r>
        <w:rPr>
          <w:rFonts w:hint="eastAsia" w:ascii="黑体" w:eastAsia="黑体"/>
          <w:color w:val="auto"/>
          <w:sz w:val="28"/>
          <w:highlight w:val="none"/>
          <w:u w:val="single"/>
        </w:rPr>
        <w:tab/>
      </w:r>
      <w:r>
        <w:rPr>
          <w:rFonts w:hint="eastAsia" w:ascii="黑体" w:eastAsia="黑体"/>
          <w:color w:val="auto"/>
          <w:sz w:val="28"/>
          <w:highlight w:val="none"/>
        </w:rPr>
        <w:t>标段施</w:t>
      </w:r>
      <w:r>
        <w:rPr>
          <w:rFonts w:hint="eastAsia" w:ascii="黑体" w:eastAsia="黑体"/>
          <w:color w:val="auto"/>
          <w:spacing w:val="-3"/>
          <w:sz w:val="28"/>
          <w:highlight w:val="none"/>
        </w:rPr>
        <w:t>工第</w:t>
      </w:r>
      <w:r>
        <w:rPr>
          <w:rFonts w:hint="eastAsia" w:ascii="黑体" w:eastAsia="黑体"/>
          <w:color w:val="auto"/>
          <w:sz w:val="28"/>
          <w:highlight w:val="none"/>
        </w:rPr>
        <w:t>一个信封（商</w:t>
      </w:r>
      <w:r>
        <w:rPr>
          <w:rFonts w:hint="eastAsia" w:ascii="黑体" w:eastAsia="黑体"/>
          <w:color w:val="auto"/>
          <w:spacing w:val="-3"/>
          <w:sz w:val="28"/>
          <w:highlight w:val="none"/>
        </w:rPr>
        <w:t>务及</w:t>
      </w:r>
      <w:r>
        <w:rPr>
          <w:rFonts w:hint="eastAsia" w:ascii="黑体" w:eastAsia="黑体"/>
          <w:color w:val="auto"/>
          <w:sz w:val="28"/>
          <w:highlight w:val="none"/>
        </w:rPr>
        <w:t>技术文</w:t>
      </w:r>
      <w:r>
        <w:rPr>
          <w:rFonts w:hint="eastAsia" w:ascii="黑体" w:eastAsia="黑体"/>
          <w:color w:val="auto"/>
          <w:spacing w:val="-3"/>
          <w:sz w:val="28"/>
          <w:highlight w:val="none"/>
        </w:rPr>
        <w:t>件</w:t>
      </w:r>
      <w:r>
        <w:rPr>
          <w:rFonts w:hint="eastAsia" w:ascii="黑体" w:eastAsia="黑体"/>
          <w:color w:val="auto"/>
          <w:sz w:val="28"/>
          <w:highlight w:val="none"/>
        </w:rPr>
        <w:t>） 开标记</w:t>
      </w:r>
      <w:r>
        <w:rPr>
          <w:rFonts w:hint="eastAsia" w:ascii="黑体" w:eastAsia="黑体"/>
          <w:color w:val="auto"/>
          <w:spacing w:val="-3"/>
          <w:sz w:val="28"/>
          <w:highlight w:val="none"/>
        </w:rPr>
        <w:t>录</w:t>
      </w:r>
      <w:r>
        <w:rPr>
          <w:rFonts w:hint="eastAsia" w:ascii="黑体" w:eastAsia="黑体"/>
          <w:color w:val="auto"/>
          <w:sz w:val="28"/>
          <w:highlight w:val="none"/>
        </w:rPr>
        <w:t>表</w:t>
      </w:r>
    </w:p>
    <w:p>
      <w:pPr>
        <w:pStyle w:val="20"/>
        <w:tabs>
          <w:tab w:val="left" w:pos="6518"/>
          <w:tab w:val="left" w:pos="7118"/>
          <w:tab w:val="left" w:pos="7719"/>
          <w:tab w:val="left" w:pos="8319"/>
          <w:tab w:val="left" w:pos="8919"/>
        </w:tabs>
        <w:spacing w:before="45" w:after="20"/>
        <w:ind w:left="4958"/>
        <w:rPr>
          <w:color w:val="auto"/>
          <w:highlight w:val="none"/>
        </w:rPr>
      </w:pPr>
      <w:r>
        <w:rPr>
          <w:color w:val="auto"/>
          <w:highlight w:val="none"/>
        </w:rPr>
        <w:t>开标时间：</w:t>
      </w:r>
      <w:r>
        <w:rPr>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r>
        <w:rPr>
          <w:color w:val="auto"/>
          <w:highlight w:val="none"/>
          <w:u w:val="single"/>
        </w:rPr>
        <w:tab/>
      </w:r>
      <w:r>
        <w:rPr>
          <w:color w:val="auto"/>
          <w:highlight w:val="none"/>
        </w:rPr>
        <w:t>时</w:t>
      </w:r>
      <w:r>
        <w:rPr>
          <w:color w:val="auto"/>
          <w:highlight w:val="none"/>
          <w:u w:val="single"/>
        </w:rPr>
        <w:tab/>
      </w:r>
      <w:r>
        <w:rPr>
          <w:color w:val="auto"/>
          <w:highlight w:val="none"/>
        </w:rPr>
        <w:t>分</w:t>
      </w:r>
    </w:p>
    <w:tbl>
      <w:tblPr>
        <w:tblStyle w:val="47"/>
        <w:tblW w:w="8954"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1596"/>
        <w:gridCol w:w="1275"/>
        <w:gridCol w:w="1560"/>
        <w:gridCol w:w="1135"/>
        <w:gridCol w:w="84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696" w:type="dxa"/>
          </w:tcPr>
          <w:p>
            <w:pPr>
              <w:pStyle w:val="87"/>
              <w:rPr>
                <w:color w:val="auto"/>
                <w:sz w:val="20"/>
                <w:highlight w:val="none"/>
              </w:rPr>
            </w:pPr>
          </w:p>
          <w:p>
            <w:pPr>
              <w:pStyle w:val="87"/>
              <w:spacing w:before="4"/>
              <w:rPr>
                <w:color w:val="auto"/>
                <w:sz w:val="14"/>
                <w:highlight w:val="none"/>
              </w:rPr>
            </w:pPr>
          </w:p>
          <w:p>
            <w:pPr>
              <w:pStyle w:val="87"/>
              <w:ind w:left="136"/>
              <w:rPr>
                <w:color w:val="auto"/>
                <w:sz w:val="21"/>
                <w:highlight w:val="none"/>
              </w:rPr>
            </w:pPr>
            <w:r>
              <w:rPr>
                <w:color w:val="auto"/>
                <w:sz w:val="21"/>
                <w:highlight w:val="none"/>
              </w:rPr>
              <w:t>序号</w:t>
            </w:r>
          </w:p>
        </w:tc>
        <w:tc>
          <w:tcPr>
            <w:tcW w:w="1596" w:type="dxa"/>
          </w:tcPr>
          <w:p>
            <w:pPr>
              <w:pStyle w:val="87"/>
              <w:rPr>
                <w:color w:val="auto"/>
                <w:sz w:val="20"/>
                <w:highlight w:val="none"/>
              </w:rPr>
            </w:pPr>
          </w:p>
          <w:p>
            <w:pPr>
              <w:pStyle w:val="87"/>
              <w:spacing w:before="4"/>
              <w:rPr>
                <w:color w:val="auto"/>
                <w:sz w:val="14"/>
                <w:highlight w:val="none"/>
              </w:rPr>
            </w:pPr>
          </w:p>
          <w:p>
            <w:pPr>
              <w:pStyle w:val="87"/>
              <w:ind w:left="482"/>
              <w:rPr>
                <w:color w:val="auto"/>
                <w:sz w:val="21"/>
                <w:highlight w:val="none"/>
              </w:rPr>
            </w:pPr>
            <w:r>
              <w:rPr>
                <w:color w:val="auto"/>
                <w:sz w:val="21"/>
                <w:highlight w:val="none"/>
              </w:rPr>
              <w:t>投标人</w:t>
            </w:r>
          </w:p>
        </w:tc>
        <w:tc>
          <w:tcPr>
            <w:tcW w:w="1275" w:type="dxa"/>
          </w:tcPr>
          <w:p>
            <w:pPr>
              <w:pStyle w:val="87"/>
              <w:rPr>
                <w:color w:val="auto"/>
                <w:sz w:val="20"/>
                <w:highlight w:val="none"/>
              </w:rPr>
            </w:pPr>
          </w:p>
          <w:p>
            <w:pPr>
              <w:pStyle w:val="87"/>
              <w:spacing w:before="4"/>
              <w:rPr>
                <w:color w:val="auto"/>
                <w:sz w:val="14"/>
                <w:highlight w:val="none"/>
              </w:rPr>
            </w:pPr>
          </w:p>
          <w:p>
            <w:pPr>
              <w:pStyle w:val="87"/>
              <w:ind w:left="216"/>
              <w:rPr>
                <w:color w:val="auto"/>
                <w:sz w:val="21"/>
                <w:highlight w:val="none"/>
              </w:rPr>
            </w:pPr>
            <w:r>
              <w:rPr>
                <w:color w:val="auto"/>
                <w:sz w:val="21"/>
                <w:highlight w:val="none"/>
              </w:rPr>
              <w:t>密封情况</w:t>
            </w:r>
          </w:p>
        </w:tc>
        <w:tc>
          <w:tcPr>
            <w:tcW w:w="1560" w:type="dxa"/>
          </w:tcPr>
          <w:p>
            <w:pPr>
              <w:pStyle w:val="87"/>
              <w:spacing w:before="11"/>
              <w:rPr>
                <w:color w:val="auto"/>
                <w:sz w:val="14"/>
                <w:highlight w:val="none"/>
              </w:rPr>
            </w:pPr>
          </w:p>
          <w:p>
            <w:pPr>
              <w:pStyle w:val="87"/>
              <w:ind w:left="24" w:right="15"/>
              <w:jc w:val="center"/>
              <w:rPr>
                <w:color w:val="auto"/>
                <w:sz w:val="21"/>
                <w:highlight w:val="none"/>
              </w:rPr>
            </w:pPr>
            <w:r>
              <w:rPr>
                <w:color w:val="auto"/>
                <w:sz w:val="21"/>
                <w:highlight w:val="none"/>
              </w:rPr>
              <w:t>投标保证金递交</w:t>
            </w:r>
          </w:p>
          <w:p>
            <w:pPr>
              <w:pStyle w:val="87"/>
              <w:spacing w:before="2"/>
              <w:rPr>
                <w:color w:val="auto"/>
                <w:sz w:val="18"/>
                <w:highlight w:val="none"/>
              </w:rPr>
            </w:pPr>
          </w:p>
          <w:p>
            <w:pPr>
              <w:pStyle w:val="87"/>
              <w:ind w:left="24" w:right="15"/>
              <w:jc w:val="center"/>
              <w:rPr>
                <w:color w:val="auto"/>
                <w:sz w:val="21"/>
                <w:highlight w:val="none"/>
              </w:rPr>
            </w:pPr>
            <w:r>
              <w:rPr>
                <w:color w:val="auto"/>
                <w:sz w:val="21"/>
                <w:highlight w:val="none"/>
              </w:rPr>
              <w:t>情况</w:t>
            </w:r>
          </w:p>
        </w:tc>
        <w:tc>
          <w:tcPr>
            <w:tcW w:w="1135" w:type="dxa"/>
          </w:tcPr>
          <w:p>
            <w:pPr>
              <w:pStyle w:val="87"/>
              <w:rPr>
                <w:color w:val="auto"/>
                <w:sz w:val="20"/>
                <w:highlight w:val="none"/>
              </w:rPr>
            </w:pPr>
          </w:p>
          <w:p>
            <w:pPr>
              <w:pStyle w:val="87"/>
              <w:spacing w:before="4"/>
              <w:rPr>
                <w:color w:val="auto"/>
                <w:sz w:val="14"/>
                <w:highlight w:val="none"/>
              </w:rPr>
            </w:pPr>
          </w:p>
          <w:p>
            <w:pPr>
              <w:pStyle w:val="87"/>
              <w:ind w:left="355"/>
              <w:rPr>
                <w:color w:val="auto"/>
                <w:sz w:val="21"/>
                <w:highlight w:val="none"/>
              </w:rPr>
            </w:pPr>
            <w:r>
              <w:rPr>
                <w:color w:val="auto"/>
                <w:sz w:val="21"/>
                <w:highlight w:val="none"/>
              </w:rPr>
              <w:t>工期</w:t>
            </w:r>
          </w:p>
        </w:tc>
        <w:tc>
          <w:tcPr>
            <w:tcW w:w="849" w:type="dxa"/>
          </w:tcPr>
          <w:p>
            <w:pPr>
              <w:pStyle w:val="87"/>
              <w:rPr>
                <w:color w:val="auto"/>
                <w:sz w:val="20"/>
                <w:highlight w:val="none"/>
              </w:rPr>
            </w:pPr>
          </w:p>
          <w:p>
            <w:pPr>
              <w:pStyle w:val="87"/>
              <w:spacing w:before="4"/>
              <w:rPr>
                <w:color w:val="auto"/>
                <w:sz w:val="14"/>
                <w:highlight w:val="none"/>
              </w:rPr>
            </w:pPr>
          </w:p>
          <w:p>
            <w:pPr>
              <w:pStyle w:val="87"/>
              <w:ind w:left="211"/>
              <w:rPr>
                <w:color w:val="auto"/>
                <w:sz w:val="21"/>
                <w:highlight w:val="none"/>
              </w:rPr>
            </w:pPr>
            <w:r>
              <w:rPr>
                <w:color w:val="auto"/>
                <w:sz w:val="21"/>
                <w:highlight w:val="none"/>
              </w:rPr>
              <w:t>备注</w:t>
            </w:r>
          </w:p>
        </w:tc>
        <w:tc>
          <w:tcPr>
            <w:tcW w:w="1843" w:type="dxa"/>
          </w:tcPr>
          <w:p>
            <w:pPr>
              <w:pStyle w:val="87"/>
              <w:rPr>
                <w:color w:val="auto"/>
                <w:sz w:val="20"/>
                <w:highlight w:val="none"/>
              </w:rPr>
            </w:pPr>
          </w:p>
          <w:p>
            <w:pPr>
              <w:pStyle w:val="87"/>
              <w:spacing w:before="4"/>
              <w:rPr>
                <w:color w:val="auto"/>
                <w:sz w:val="14"/>
                <w:highlight w:val="none"/>
              </w:rPr>
            </w:pPr>
          </w:p>
          <w:p>
            <w:pPr>
              <w:pStyle w:val="87"/>
              <w:ind w:left="185"/>
              <w:rPr>
                <w:color w:val="auto"/>
                <w:sz w:val="21"/>
                <w:highlight w:val="none"/>
              </w:rPr>
            </w:pPr>
            <w:r>
              <w:rPr>
                <w:color w:val="auto"/>
                <w:sz w:val="21"/>
                <w:highlight w:val="none"/>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6" w:type="dxa"/>
          </w:tcPr>
          <w:p>
            <w:pPr>
              <w:pStyle w:val="87"/>
              <w:rPr>
                <w:rFonts w:ascii="Times New Roman"/>
                <w:color w:val="auto"/>
                <w:sz w:val="20"/>
                <w:highlight w:val="none"/>
              </w:rPr>
            </w:pPr>
          </w:p>
        </w:tc>
        <w:tc>
          <w:tcPr>
            <w:tcW w:w="1596" w:type="dxa"/>
          </w:tcPr>
          <w:p>
            <w:pPr>
              <w:pStyle w:val="87"/>
              <w:rPr>
                <w:rFonts w:ascii="Times New Roman"/>
                <w:color w:val="auto"/>
                <w:sz w:val="20"/>
                <w:highlight w:val="none"/>
              </w:rPr>
            </w:pPr>
          </w:p>
        </w:tc>
        <w:tc>
          <w:tcPr>
            <w:tcW w:w="1275" w:type="dxa"/>
          </w:tcPr>
          <w:p>
            <w:pPr>
              <w:pStyle w:val="87"/>
              <w:rPr>
                <w:rFonts w:ascii="Times New Roman"/>
                <w:color w:val="auto"/>
                <w:sz w:val="20"/>
                <w:highlight w:val="none"/>
              </w:rPr>
            </w:pPr>
          </w:p>
        </w:tc>
        <w:tc>
          <w:tcPr>
            <w:tcW w:w="1560" w:type="dxa"/>
          </w:tcPr>
          <w:p>
            <w:pPr>
              <w:pStyle w:val="87"/>
              <w:rPr>
                <w:rFonts w:ascii="Times New Roman"/>
                <w:color w:val="auto"/>
                <w:sz w:val="20"/>
                <w:highlight w:val="none"/>
              </w:rPr>
            </w:pPr>
          </w:p>
        </w:tc>
        <w:tc>
          <w:tcPr>
            <w:tcW w:w="1135" w:type="dxa"/>
          </w:tcPr>
          <w:p>
            <w:pPr>
              <w:pStyle w:val="87"/>
              <w:rPr>
                <w:rFonts w:ascii="Times New Roman"/>
                <w:color w:val="auto"/>
                <w:sz w:val="20"/>
                <w:highlight w:val="none"/>
              </w:rPr>
            </w:pPr>
          </w:p>
        </w:tc>
        <w:tc>
          <w:tcPr>
            <w:tcW w:w="849" w:type="dxa"/>
          </w:tcPr>
          <w:p>
            <w:pPr>
              <w:pStyle w:val="87"/>
              <w:rPr>
                <w:rFonts w:ascii="Times New Roman"/>
                <w:color w:val="auto"/>
                <w:sz w:val="20"/>
                <w:highlight w:val="none"/>
              </w:rPr>
            </w:pPr>
          </w:p>
        </w:tc>
        <w:tc>
          <w:tcPr>
            <w:tcW w:w="1843" w:type="dxa"/>
          </w:tcPr>
          <w:p>
            <w:pPr>
              <w:pStyle w:val="87"/>
              <w:rPr>
                <w:rFonts w:ascii="Times New Roman"/>
                <w:color w:val="auto"/>
                <w:sz w:val="20"/>
                <w:highlight w:val="none"/>
              </w:rPr>
            </w:pPr>
          </w:p>
        </w:tc>
      </w:tr>
    </w:tbl>
    <w:p>
      <w:pPr>
        <w:pStyle w:val="20"/>
        <w:rPr>
          <w:color w:val="auto"/>
          <w:sz w:val="26"/>
          <w:highlight w:val="none"/>
        </w:rPr>
      </w:pPr>
    </w:p>
    <w:p>
      <w:pPr>
        <w:pStyle w:val="20"/>
        <w:spacing w:before="8"/>
        <w:rPr>
          <w:color w:val="auto"/>
          <w:sz w:val="30"/>
          <w:highlight w:val="none"/>
        </w:rPr>
      </w:pPr>
    </w:p>
    <w:p>
      <w:pPr>
        <w:tabs>
          <w:tab w:val="left" w:pos="2763"/>
          <w:tab w:val="left" w:pos="6705"/>
          <w:tab w:val="left" w:pos="8928"/>
        </w:tabs>
        <w:ind w:left="90"/>
        <w:jc w:val="center"/>
        <w:rPr>
          <w:rFonts w:ascii="Times New Roman" w:eastAsia="Times New Roman"/>
          <w:color w:val="auto"/>
          <w:sz w:val="21"/>
          <w:highlight w:val="none"/>
        </w:rPr>
      </w:pPr>
      <w:r>
        <w:rPr>
          <w:color w:val="auto"/>
          <w:sz w:val="21"/>
          <w:highlight w:val="none"/>
        </w:rPr>
        <w:t>招标</w:t>
      </w:r>
      <w:r>
        <w:rPr>
          <w:color w:val="auto"/>
          <w:spacing w:val="-3"/>
          <w:sz w:val="21"/>
          <w:highlight w:val="none"/>
        </w:rPr>
        <w:t>人</w:t>
      </w:r>
      <w:r>
        <w:rPr>
          <w:color w:val="auto"/>
          <w:sz w:val="21"/>
          <w:highlight w:val="none"/>
        </w:rPr>
        <w:t>代</w:t>
      </w:r>
      <w:r>
        <w:rPr>
          <w:color w:val="auto"/>
          <w:spacing w:val="-3"/>
          <w:sz w:val="21"/>
          <w:highlight w:val="none"/>
        </w:rPr>
        <w:t>表</w:t>
      </w:r>
      <w:r>
        <w:rPr>
          <w:color w:val="auto"/>
          <w:sz w:val="21"/>
          <w:highlight w:val="none"/>
        </w:rPr>
        <w:t>：</w:t>
      </w:r>
      <w:r>
        <w:rPr>
          <w:color w:val="auto"/>
          <w:sz w:val="21"/>
          <w:highlight w:val="none"/>
          <w:u w:val="single"/>
        </w:rPr>
        <w:tab/>
      </w:r>
      <w:r>
        <w:rPr>
          <w:color w:val="auto"/>
          <w:sz w:val="21"/>
          <w:highlight w:val="none"/>
        </w:rPr>
        <w:tab/>
      </w:r>
      <w:r>
        <w:rPr>
          <w:color w:val="auto"/>
          <w:sz w:val="21"/>
          <w:highlight w:val="none"/>
        </w:rPr>
        <w:t>记</w:t>
      </w:r>
      <w:r>
        <w:rPr>
          <w:color w:val="auto"/>
          <w:spacing w:val="-3"/>
          <w:sz w:val="21"/>
          <w:highlight w:val="none"/>
        </w:rPr>
        <w:t>录人</w:t>
      </w:r>
      <w:r>
        <w:rPr>
          <w:color w:val="auto"/>
          <w:sz w:val="21"/>
          <w:highlight w:val="none"/>
        </w:rPr>
        <w:t>：</w:t>
      </w:r>
      <w:r>
        <w:rPr>
          <w:rFonts w:ascii="Times New Roman" w:eastAsia="Times New Roman"/>
          <w:color w:val="auto"/>
          <w:sz w:val="21"/>
          <w:highlight w:val="none"/>
          <w:u w:val="single"/>
        </w:rPr>
        <w:tab/>
      </w:r>
    </w:p>
    <w:p>
      <w:pPr>
        <w:pStyle w:val="20"/>
        <w:spacing w:before="8"/>
        <w:rPr>
          <w:rFonts w:ascii="Times New Roman"/>
          <w:color w:val="auto"/>
          <w:sz w:val="21"/>
          <w:highlight w:val="none"/>
        </w:rPr>
      </w:pPr>
    </w:p>
    <w:p>
      <w:pPr>
        <w:pStyle w:val="20"/>
        <w:tabs>
          <w:tab w:val="left" w:pos="959"/>
          <w:tab w:val="left" w:pos="1680"/>
          <w:tab w:val="left" w:pos="2400"/>
        </w:tabs>
        <w:spacing w:before="74"/>
        <w:ind w:right="324"/>
        <w:jc w:val="right"/>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spacing w:before="11"/>
        <w:rPr>
          <w:color w:val="auto"/>
          <w:sz w:val="18"/>
          <w:highlight w:val="none"/>
        </w:rPr>
      </w:pPr>
    </w:p>
    <w:p>
      <w:pPr>
        <w:spacing w:line="331" w:lineRule="auto"/>
        <w:rPr>
          <w:color w:val="auto"/>
          <w:sz w:val="18"/>
          <w:highlight w:val="none"/>
        </w:rPr>
        <w:sectPr>
          <w:footerReference r:id="rId21" w:type="default"/>
          <w:footerReference r:id="rId22" w:type="even"/>
          <w:pgSz w:w="11910" w:h="16850"/>
          <w:pgMar w:top="1418" w:right="1191" w:bottom="1418" w:left="1191" w:header="876" w:footer="1391" w:gutter="0"/>
          <w:cols w:space="720" w:num="1"/>
        </w:sectPr>
      </w:pPr>
    </w:p>
    <w:p>
      <w:pPr>
        <w:pStyle w:val="20"/>
        <w:spacing w:before="8"/>
        <w:rPr>
          <w:color w:val="auto"/>
          <w:sz w:val="8"/>
          <w:highlight w:val="none"/>
        </w:rPr>
      </w:pPr>
    </w:p>
    <w:p>
      <w:pPr>
        <w:tabs>
          <w:tab w:val="left" w:pos="2029"/>
          <w:tab w:val="left" w:pos="4274"/>
        </w:tabs>
        <w:spacing w:before="70" w:line="292" w:lineRule="auto"/>
        <w:ind w:left="1053" w:right="1009"/>
        <w:jc w:val="center"/>
        <w:rPr>
          <w:rFonts w:ascii="黑体" w:eastAsia="黑体"/>
          <w:color w:val="auto"/>
          <w:sz w:val="28"/>
          <w:highlight w:val="none"/>
        </w:rPr>
      </w:pPr>
      <w:r>
        <w:rPr>
          <w:rFonts w:ascii="Times New Roman" w:eastAsia="Times New Roman"/>
          <w:color w:val="auto"/>
          <w:sz w:val="28"/>
          <w:highlight w:val="none"/>
          <w:u w:val="single"/>
        </w:rPr>
        <w:tab/>
      </w:r>
      <w:r>
        <w:rPr>
          <w:rFonts w:hint="eastAsia" w:ascii="黑体" w:eastAsia="黑体"/>
          <w:color w:val="auto"/>
          <w:sz w:val="28"/>
          <w:highlight w:val="none"/>
        </w:rPr>
        <w:t>（项目名称）</w:t>
      </w:r>
      <w:r>
        <w:rPr>
          <w:rFonts w:hint="eastAsia" w:ascii="黑体" w:eastAsia="黑体"/>
          <w:color w:val="auto"/>
          <w:sz w:val="28"/>
          <w:highlight w:val="none"/>
          <w:u w:val="single"/>
        </w:rPr>
        <w:tab/>
      </w:r>
      <w:r>
        <w:rPr>
          <w:rFonts w:hint="eastAsia" w:ascii="黑体" w:eastAsia="黑体"/>
          <w:color w:val="auto"/>
          <w:sz w:val="28"/>
          <w:highlight w:val="none"/>
        </w:rPr>
        <w:t>标段施工</w:t>
      </w:r>
      <w:r>
        <w:rPr>
          <w:rFonts w:hint="eastAsia" w:ascii="黑体" w:eastAsia="黑体"/>
          <w:color w:val="auto"/>
          <w:spacing w:val="-3"/>
          <w:sz w:val="28"/>
          <w:highlight w:val="none"/>
        </w:rPr>
        <w:t>第</w:t>
      </w:r>
      <w:r>
        <w:rPr>
          <w:rFonts w:hint="eastAsia" w:ascii="黑体" w:eastAsia="黑体"/>
          <w:color w:val="auto"/>
          <w:sz w:val="28"/>
          <w:highlight w:val="none"/>
        </w:rPr>
        <w:t>二个信</w:t>
      </w:r>
      <w:r>
        <w:rPr>
          <w:rFonts w:hint="eastAsia" w:ascii="黑体" w:eastAsia="黑体"/>
          <w:color w:val="auto"/>
          <w:spacing w:val="-3"/>
          <w:sz w:val="28"/>
          <w:highlight w:val="none"/>
        </w:rPr>
        <w:t>封</w:t>
      </w:r>
      <w:r>
        <w:rPr>
          <w:rFonts w:hint="eastAsia" w:ascii="黑体" w:eastAsia="黑体"/>
          <w:color w:val="auto"/>
          <w:sz w:val="28"/>
          <w:highlight w:val="none"/>
        </w:rPr>
        <w:t>（报</w:t>
      </w:r>
      <w:r>
        <w:rPr>
          <w:rFonts w:hint="eastAsia" w:ascii="黑体" w:eastAsia="黑体"/>
          <w:color w:val="auto"/>
          <w:spacing w:val="-3"/>
          <w:sz w:val="28"/>
          <w:highlight w:val="none"/>
        </w:rPr>
        <w:t>价文</w:t>
      </w:r>
      <w:r>
        <w:rPr>
          <w:rFonts w:hint="eastAsia" w:ascii="黑体" w:eastAsia="黑体"/>
          <w:color w:val="auto"/>
          <w:sz w:val="28"/>
          <w:highlight w:val="none"/>
        </w:rPr>
        <w:t>件） 开标记</w:t>
      </w:r>
      <w:r>
        <w:rPr>
          <w:rFonts w:hint="eastAsia" w:ascii="黑体" w:eastAsia="黑体"/>
          <w:color w:val="auto"/>
          <w:spacing w:val="-3"/>
          <w:sz w:val="28"/>
          <w:highlight w:val="none"/>
        </w:rPr>
        <w:t>录</w:t>
      </w:r>
      <w:r>
        <w:rPr>
          <w:rFonts w:hint="eastAsia" w:ascii="黑体" w:eastAsia="黑体"/>
          <w:color w:val="auto"/>
          <w:sz w:val="28"/>
          <w:highlight w:val="none"/>
        </w:rPr>
        <w:t>表</w:t>
      </w:r>
    </w:p>
    <w:p>
      <w:pPr>
        <w:pStyle w:val="20"/>
        <w:tabs>
          <w:tab w:val="left" w:pos="6518"/>
          <w:tab w:val="left" w:pos="7118"/>
          <w:tab w:val="left" w:pos="7719"/>
          <w:tab w:val="left" w:pos="8319"/>
          <w:tab w:val="left" w:pos="8919"/>
        </w:tabs>
        <w:spacing w:before="43" w:after="22"/>
        <w:ind w:left="4958"/>
        <w:rPr>
          <w:color w:val="auto"/>
          <w:highlight w:val="none"/>
        </w:rPr>
      </w:pPr>
      <w:r>
        <w:rPr>
          <w:color w:val="auto"/>
          <w:highlight w:val="none"/>
        </w:rPr>
        <w:t>开标时间：</w:t>
      </w:r>
      <w:r>
        <w:rPr>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r>
        <w:rPr>
          <w:color w:val="auto"/>
          <w:highlight w:val="none"/>
          <w:u w:val="single"/>
        </w:rPr>
        <w:tab/>
      </w:r>
      <w:r>
        <w:rPr>
          <w:color w:val="auto"/>
          <w:highlight w:val="none"/>
        </w:rPr>
        <w:t>时</w:t>
      </w:r>
      <w:r>
        <w:rPr>
          <w:color w:val="auto"/>
          <w:highlight w:val="none"/>
          <w:u w:val="single"/>
        </w:rPr>
        <w:tab/>
      </w:r>
      <w:r>
        <w:rPr>
          <w:color w:val="auto"/>
          <w:highlight w:val="none"/>
        </w:rPr>
        <w:t>分</w:t>
      </w:r>
    </w:p>
    <w:tbl>
      <w:tblPr>
        <w:tblStyle w:val="47"/>
        <w:tblW w:w="9000"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440"/>
        <w:gridCol w:w="1364"/>
        <w:gridCol w:w="1561"/>
        <w:gridCol w:w="1181"/>
        <w:gridCol w:w="1008"/>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trPr>
        <w:tc>
          <w:tcPr>
            <w:tcW w:w="708" w:type="dxa"/>
          </w:tcPr>
          <w:p>
            <w:pPr>
              <w:pStyle w:val="87"/>
              <w:rPr>
                <w:color w:val="auto"/>
                <w:sz w:val="20"/>
                <w:highlight w:val="none"/>
              </w:rPr>
            </w:pPr>
          </w:p>
          <w:p>
            <w:pPr>
              <w:pStyle w:val="87"/>
              <w:spacing w:before="4"/>
              <w:rPr>
                <w:color w:val="auto"/>
                <w:sz w:val="14"/>
                <w:highlight w:val="none"/>
              </w:rPr>
            </w:pPr>
          </w:p>
          <w:p>
            <w:pPr>
              <w:pStyle w:val="87"/>
              <w:ind w:left="143"/>
              <w:rPr>
                <w:color w:val="auto"/>
                <w:sz w:val="21"/>
                <w:highlight w:val="none"/>
              </w:rPr>
            </w:pPr>
            <w:r>
              <w:rPr>
                <w:color w:val="auto"/>
                <w:sz w:val="21"/>
                <w:highlight w:val="none"/>
              </w:rPr>
              <w:t>序号</w:t>
            </w:r>
          </w:p>
        </w:tc>
        <w:tc>
          <w:tcPr>
            <w:tcW w:w="1440" w:type="dxa"/>
          </w:tcPr>
          <w:p>
            <w:pPr>
              <w:pStyle w:val="87"/>
              <w:rPr>
                <w:color w:val="auto"/>
                <w:sz w:val="20"/>
                <w:highlight w:val="none"/>
              </w:rPr>
            </w:pPr>
          </w:p>
          <w:p>
            <w:pPr>
              <w:pStyle w:val="87"/>
              <w:spacing w:before="4"/>
              <w:rPr>
                <w:color w:val="auto"/>
                <w:sz w:val="14"/>
                <w:highlight w:val="none"/>
              </w:rPr>
            </w:pPr>
          </w:p>
          <w:p>
            <w:pPr>
              <w:pStyle w:val="87"/>
              <w:ind w:left="402"/>
              <w:rPr>
                <w:color w:val="auto"/>
                <w:sz w:val="21"/>
                <w:highlight w:val="none"/>
              </w:rPr>
            </w:pPr>
            <w:r>
              <w:rPr>
                <w:color w:val="auto"/>
                <w:sz w:val="21"/>
                <w:highlight w:val="none"/>
              </w:rPr>
              <w:t>投标人</w:t>
            </w:r>
          </w:p>
        </w:tc>
        <w:tc>
          <w:tcPr>
            <w:tcW w:w="1364" w:type="dxa"/>
          </w:tcPr>
          <w:p>
            <w:pPr>
              <w:pStyle w:val="87"/>
              <w:rPr>
                <w:color w:val="auto"/>
                <w:sz w:val="20"/>
                <w:highlight w:val="none"/>
              </w:rPr>
            </w:pPr>
          </w:p>
          <w:p>
            <w:pPr>
              <w:pStyle w:val="87"/>
              <w:spacing w:before="4"/>
              <w:rPr>
                <w:color w:val="auto"/>
                <w:sz w:val="14"/>
                <w:highlight w:val="none"/>
              </w:rPr>
            </w:pPr>
          </w:p>
          <w:p>
            <w:pPr>
              <w:pStyle w:val="87"/>
              <w:ind w:left="259"/>
              <w:rPr>
                <w:color w:val="auto"/>
                <w:sz w:val="21"/>
                <w:highlight w:val="none"/>
              </w:rPr>
            </w:pPr>
            <w:r>
              <w:rPr>
                <w:color w:val="auto"/>
                <w:sz w:val="21"/>
                <w:highlight w:val="none"/>
              </w:rPr>
              <w:t>密封情况</w:t>
            </w:r>
          </w:p>
        </w:tc>
        <w:tc>
          <w:tcPr>
            <w:tcW w:w="1561" w:type="dxa"/>
          </w:tcPr>
          <w:p>
            <w:pPr>
              <w:pStyle w:val="87"/>
              <w:rPr>
                <w:color w:val="auto"/>
                <w:sz w:val="20"/>
                <w:highlight w:val="none"/>
              </w:rPr>
            </w:pPr>
          </w:p>
          <w:p>
            <w:pPr>
              <w:pStyle w:val="87"/>
              <w:spacing w:before="4"/>
              <w:rPr>
                <w:color w:val="auto"/>
                <w:sz w:val="14"/>
                <w:highlight w:val="none"/>
              </w:rPr>
            </w:pPr>
          </w:p>
          <w:p>
            <w:pPr>
              <w:pStyle w:val="87"/>
              <w:ind w:left="40"/>
              <w:rPr>
                <w:color w:val="auto"/>
                <w:sz w:val="21"/>
                <w:highlight w:val="none"/>
              </w:rPr>
            </w:pPr>
            <w:r>
              <w:rPr>
                <w:color w:val="auto"/>
                <w:sz w:val="21"/>
                <w:highlight w:val="none"/>
              </w:rPr>
              <w:t>投标报价（元）</w:t>
            </w:r>
          </w:p>
        </w:tc>
        <w:tc>
          <w:tcPr>
            <w:tcW w:w="1181" w:type="dxa"/>
          </w:tcPr>
          <w:p>
            <w:pPr>
              <w:pStyle w:val="87"/>
              <w:spacing w:line="500" w:lineRule="exact"/>
              <w:ind w:left="61" w:right="54"/>
              <w:rPr>
                <w:color w:val="auto"/>
                <w:sz w:val="21"/>
                <w:highlight w:val="none"/>
              </w:rPr>
            </w:pPr>
            <w:r>
              <w:rPr>
                <w:color w:val="auto"/>
                <w:sz w:val="21"/>
                <w:highlight w:val="none"/>
              </w:rPr>
              <w:t>是否超过最高投标限价</w:t>
            </w:r>
          </w:p>
        </w:tc>
        <w:tc>
          <w:tcPr>
            <w:tcW w:w="1008" w:type="dxa"/>
          </w:tcPr>
          <w:p>
            <w:pPr>
              <w:pStyle w:val="87"/>
              <w:rPr>
                <w:color w:val="auto"/>
                <w:sz w:val="20"/>
                <w:highlight w:val="none"/>
              </w:rPr>
            </w:pPr>
          </w:p>
          <w:p>
            <w:pPr>
              <w:pStyle w:val="87"/>
              <w:spacing w:before="4"/>
              <w:rPr>
                <w:color w:val="auto"/>
                <w:sz w:val="14"/>
                <w:highlight w:val="none"/>
              </w:rPr>
            </w:pPr>
          </w:p>
          <w:p>
            <w:pPr>
              <w:pStyle w:val="87"/>
              <w:ind w:left="291"/>
              <w:rPr>
                <w:color w:val="auto"/>
                <w:sz w:val="21"/>
                <w:highlight w:val="none"/>
              </w:rPr>
            </w:pPr>
            <w:r>
              <w:rPr>
                <w:color w:val="auto"/>
                <w:sz w:val="21"/>
                <w:highlight w:val="none"/>
              </w:rPr>
              <w:t>备注</w:t>
            </w:r>
          </w:p>
        </w:tc>
        <w:tc>
          <w:tcPr>
            <w:tcW w:w="1738" w:type="dxa"/>
          </w:tcPr>
          <w:p>
            <w:pPr>
              <w:pStyle w:val="87"/>
              <w:rPr>
                <w:color w:val="auto"/>
                <w:sz w:val="20"/>
                <w:highlight w:val="none"/>
              </w:rPr>
            </w:pPr>
          </w:p>
          <w:p>
            <w:pPr>
              <w:pStyle w:val="87"/>
              <w:spacing w:before="4"/>
              <w:rPr>
                <w:color w:val="auto"/>
                <w:sz w:val="14"/>
                <w:highlight w:val="none"/>
              </w:rPr>
            </w:pPr>
          </w:p>
          <w:p>
            <w:pPr>
              <w:pStyle w:val="87"/>
              <w:ind w:left="131"/>
              <w:rPr>
                <w:color w:val="auto"/>
                <w:sz w:val="21"/>
                <w:highlight w:val="none"/>
              </w:rPr>
            </w:pPr>
            <w:r>
              <w:rPr>
                <w:color w:val="auto"/>
                <w:sz w:val="21"/>
                <w:highlight w:val="none"/>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08" w:type="dxa"/>
          </w:tcPr>
          <w:p>
            <w:pPr>
              <w:pStyle w:val="87"/>
              <w:rPr>
                <w:rFonts w:ascii="Times New Roman"/>
                <w:color w:val="auto"/>
                <w:highlight w:val="none"/>
              </w:rPr>
            </w:pPr>
          </w:p>
        </w:tc>
        <w:tc>
          <w:tcPr>
            <w:tcW w:w="1440" w:type="dxa"/>
          </w:tcPr>
          <w:p>
            <w:pPr>
              <w:pStyle w:val="87"/>
              <w:rPr>
                <w:rFonts w:ascii="Times New Roman"/>
                <w:color w:val="auto"/>
                <w:highlight w:val="none"/>
              </w:rPr>
            </w:pPr>
          </w:p>
        </w:tc>
        <w:tc>
          <w:tcPr>
            <w:tcW w:w="1364" w:type="dxa"/>
          </w:tcPr>
          <w:p>
            <w:pPr>
              <w:pStyle w:val="87"/>
              <w:rPr>
                <w:rFonts w:ascii="Times New Roman"/>
                <w:color w:val="auto"/>
                <w:highlight w:val="none"/>
              </w:rPr>
            </w:pPr>
          </w:p>
        </w:tc>
        <w:tc>
          <w:tcPr>
            <w:tcW w:w="1561" w:type="dxa"/>
          </w:tcPr>
          <w:p>
            <w:pPr>
              <w:pStyle w:val="87"/>
              <w:rPr>
                <w:rFonts w:ascii="Times New Roman"/>
                <w:color w:val="auto"/>
                <w:highlight w:val="none"/>
              </w:rPr>
            </w:pPr>
          </w:p>
        </w:tc>
        <w:tc>
          <w:tcPr>
            <w:tcW w:w="1181" w:type="dxa"/>
          </w:tcPr>
          <w:p>
            <w:pPr>
              <w:pStyle w:val="87"/>
              <w:rPr>
                <w:rFonts w:ascii="Times New Roman"/>
                <w:color w:val="auto"/>
                <w:highlight w:val="none"/>
              </w:rPr>
            </w:pPr>
          </w:p>
        </w:tc>
        <w:tc>
          <w:tcPr>
            <w:tcW w:w="1008" w:type="dxa"/>
          </w:tcPr>
          <w:p>
            <w:pPr>
              <w:pStyle w:val="87"/>
              <w:rPr>
                <w:rFonts w:ascii="Times New Roman"/>
                <w:color w:val="auto"/>
                <w:highlight w:val="none"/>
              </w:rPr>
            </w:pPr>
          </w:p>
        </w:tc>
        <w:tc>
          <w:tcPr>
            <w:tcW w:w="1738" w:type="dxa"/>
          </w:tcPr>
          <w:p>
            <w:pPr>
              <w:pStyle w:val="87"/>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512" w:type="dxa"/>
            <w:gridSpan w:val="3"/>
          </w:tcPr>
          <w:p>
            <w:pPr>
              <w:pStyle w:val="87"/>
              <w:spacing w:before="9"/>
              <w:rPr>
                <w:color w:val="auto"/>
                <w:sz w:val="20"/>
                <w:highlight w:val="none"/>
              </w:rPr>
            </w:pPr>
          </w:p>
          <w:p>
            <w:pPr>
              <w:pStyle w:val="87"/>
              <w:ind w:left="107"/>
              <w:rPr>
                <w:color w:val="auto"/>
                <w:sz w:val="21"/>
                <w:highlight w:val="none"/>
              </w:rPr>
            </w:pPr>
            <w:r>
              <w:rPr>
                <w:color w:val="auto"/>
                <w:sz w:val="21"/>
                <w:highlight w:val="none"/>
              </w:rPr>
              <w:t>招标人编制的最高投标限价（如有）</w:t>
            </w:r>
          </w:p>
        </w:tc>
        <w:tc>
          <w:tcPr>
            <w:tcW w:w="5488" w:type="dxa"/>
            <w:gridSpan w:val="4"/>
          </w:tcPr>
          <w:p>
            <w:pPr>
              <w:pStyle w:val="87"/>
              <w:rPr>
                <w:rFonts w:ascii="Times New Roman"/>
                <w:color w:val="auto"/>
                <w:highlight w:val="none"/>
              </w:rPr>
            </w:pPr>
          </w:p>
        </w:tc>
      </w:tr>
    </w:tbl>
    <w:p>
      <w:pPr>
        <w:pStyle w:val="20"/>
        <w:rPr>
          <w:color w:val="auto"/>
          <w:sz w:val="26"/>
          <w:highlight w:val="none"/>
        </w:rPr>
      </w:pPr>
    </w:p>
    <w:p>
      <w:pPr>
        <w:pStyle w:val="20"/>
        <w:spacing w:before="8"/>
        <w:rPr>
          <w:color w:val="auto"/>
          <w:sz w:val="30"/>
          <w:highlight w:val="none"/>
        </w:rPr>
      </w:pPr>
    </w:p>
    <w:p>
      <w:pPr>
        <w:tabs>
          <w:tab w:val="left" w:pos="2763"/>
          <w:tab w:val="left" w:pos="6705"/>
          <w:tab w:val="left" w:pos="8928"/>
        </w:tabs>
        <w:ind w:left="90"/>
        <w:jc w:val="center"/>
        <w:rPr>
          <w:rFonts w:ascii="Times New Roman" w:eastAsia="Times New Roman"/>
          <w:color w:val="auto"/>
          <w:sz w:val="21"/>
          <w:highlight w:val="none"/>
        </w:rPr>
      </w:pPr>
      <w:r>
        <w:rPr>
          <w:color w:val="auto"/>
          <w:sz w:val="21"/>
          <w:highlight w:val="none"/>
        </w:rPr>
        <w:t>招标</w:t>
      </w:r>
      <w:r>
        <w:rPr>
          <w:color w:val="auto"/>
          <w:spacing w:val="-3"/>
          <w:sz w:val="21"/>
          <w:highlight w:val="none"/>
        </w:rPr>
        <w:t>人</w:t>
      </w:r>
      <w:r>
        <w:rPr>
          <w:color w:val="auto"/>
          <w:sz w:val="21"/>
          <w:highlight w:val="none"/>
        </w:rPr>
        <w:t>代</w:t>
      </w:r>
      <w:r>
        <w:rPr>
          <w:color w:val="auto"/>
          <w:spacing w:val="-3"/>
          <w:sz w:val="21"/>
          <w:highlight w:val="none"/>
        </w:rPr>
        <w:t>表</w:t>
      </w:r>
      <w:r>
        <w:rPr>
          <w:color w:val="auto"/>
          <w:sz w:val="21"/>
          <w:highlight w:val="none"/>
        </w:rPr>
        <w:t>：</w:t>
      </w:r>
      <w:r>
        <w:rPr>
          <w:color w:val="auto"/>
          <w:sz w:val="21"/>
          <w:highlight w:val="none"/>
          <w:u w:val="single"/>
        </w:rPr>
        <w:tab/>
      </w:r>
      <w:r>
        <w:rPr>
          <w:color w:val="auto"/>
          <w:sz w:val="21"/>
          <w:highlight w:val="none"/>
        </w:rPr>
        <w:tab/>
      </w:r>
      <w:r>
        <w:rPr>
          <w:color w:val="auto"/>
          <w:sz w:val="21"/>
          <w:highlight w:val="none"/>
        </w:rPr>
        <w:t>记</w:t>
      </w:r>
      <w:r>
        <w:rPr>
          <w:color w:val="auto"/>
          <w:spacing w:val="-3"/>
          <w:sz w:val="21"/>
          <w:highlight w:val="none"/>
        </w:rPr>
        <w:t>录人</w:t>
      </w:r>
      <w:r>
        <w:rPr>
          <w:color w:val="auto"/>
          <w:sz w:val="21"/>
          <w:highlight w:val="none"/>
        </w:rPr>
        <w:t>：</w:t>
      </w:r>
      <w:r>
        <w:rPr>
          <w:rFonts w:ascii="Times New Roman" w:eastAsia="Times New Roman"/>
          <w:color w:val="auto"/>
          <w:sz w:val="21"/>
          <w:highlight w:val="none"/>
          <w:u w:val="single"/>
        </w:rPr>
        <w:tab/>
      </w:r>
    </w:p>
    <w:p>
      <w:pPr>
        <w:pStyle w:val="20"/>
        <w:spacing w:before="3"/>
        <w:rPr>
          <w:rFonts w:ascii="Times New Roman"/>
          <w:color w:val="auto"/>
          <w:sz w:val="22"/>
          <w:highlight w:val="none"/>
        </w:rPr>
      </w:pPr>
    </w:p>
    <w:p>
      <w:pPr>
        <w:pStyle w:val="20"/>
        <w:tabs>
          <w:tab w:val="left" w:pos="959"/>
          <w:tab w:val="left" w:pos="1680"/>
          <w:tab w:val="left" w:pos="2400"/>
        </w:tabs>
        <w:spacing w:before="67"/>
        <w:ind w:right="324"/>
        <w:jc w:val="right"/>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jc w:val="right"/>
        <w:rPr>
          <w:color w:val="auto"/>
          <w:highlight w:val="none"/>
        </w:rPr>
        <w:sectPr>
          <w:pgSz w:w="11910" w:h="16850"/>
          <w:pgMar w:top="1418" w:right="1191" w:bottom="1418" w:left="1191" w:header="883" w:footer="884" w:gutter="0"/>
          <w:cols w:space="720" w:num="1"/>
        </w:sectPr>
      </w:pPr>
    </w:p>
    <w:p>
      <w:pPr>
        <w:pStyle w:val="20"/>
        <w:spacing w:before="108"/>
        <w:ind w:left="424"/>
        <w:rPr>
          <w:rFonts w:ascii="黑体" w:eastAsia="黑体"/>
          <w:color w:val="auto"/>
          <w:highlight w:val="none"/>
        </w:rPr>
      </w:pPr>
      <w:bookmarkStart w:id="394" w:name="_bookmark88"/>
      <w:bookmarkEnd w:id="394"/>
      <w:r>
        <w:rPr>
          <w:rFonts w:hint="eastAsia" w:ascii="黑体" w:eastAsia="黑体"/>
          <w:color w:val="auto"/>
          <w:highlight w:val="none"/>
        </w:rPr>
        <w:t>附件二 问题澄清通知</w:t>
      </w:r>
    </w:p>
    <w:p>
      <w:pPr>
        <w:pStyle w:val="20"/>
        <w:rPr>
          <w:rFonts w:ascii="黑体"/>
          <w:color w:val="auto"/>
          <w:sz w:val="20"/>
          <w:highlight w:val="none"/>
        </w:rPr>
      </w:pPr>
    </w:p>
    <w:p>
      <w:pPr>
        <w:pStyle w:val="20"/>
        <w:spacing w:before="7"/>
        <w:rPr>
          <w:rFonts w:ascii="黑体"/>
          <w:color w:val="auto"/>
          <w:sz w:val="15"/>
          <w:highlight w:val="none"/>
        </w:rPr>
      </w:pPr>
    </w:p>
    <w:p>
      <w:pPr>
        <w:spacing w:before="61"/>
        <w:ind w:left="1098" w:right="1059"/>
        <w:jc w:val="center"/>
        <w:rPr>
          <w:rFonts w:ascii="黑体" w:eastAsia="黑体"/>
          <w:color w:val="auto"/>
          <w:sz w:val="28"/>
          <w:highlight w:val="none"/>
        </w:rPr>
      </w:pPr>
      <w:r>
        <w:rPr>
          <w:rFonts w:hint="eastAsia" w:ascii="黑体" w:eastAsia="黑体"/>
          <w:color w:val="auto"/>
          <w:sz w:val="28"/>
          <w:highlight w:val="none"/>
        </w:rPr>
        <w:t>问题澄清通知</w:t>
      </w:r>
    </w:p>
    <w:p>
      <w:pPr>
        <w:tabs>
          <w:tab w:val="left" w:pos="2975"/>
        </w:tabs>
        <w:spacing w:before="151"/>
        <w:ind w:left="37"/>
        <w:jc w:val="center"/>
        <w:rPr>
          <w:color w:val="auto"/>
          <w:sz w:val="21"/>
          <w:highlight w:val="none"/>
        </w:rPr>
      </w:pPr>
      <w:r>
        <w:rPr>
          <w:color w:val="auto"/>
          <w:sz w:val="21"/>
          <w:highlight w:val="none"/>
        </w:rPr>
        <w:t>（编</w:t>
      </w:r>
      <w:r>
        <w:rPr>
          <w:color w:val="auto"/>
          <w:spacing w:val="-3"/>
          <w:sz w:val="21"/>
          <w:highlight w:val="none"/>
        </w:rPr>
        <w:t>号</w:t>
      </w:r>
      <w:r>
        <w:rPr>
          <w:color w:val="auto"/>
          <w:sz w:val="21"/>
          <w:highlight w:val="none"/>
        </w:rPr>
        <w:t>：</w:t>
      </w:r>
      <w:r>
        <w:rPr>
          <w:color w:val="auto"/>
          <w:sz w:val="21"/>
          <w:highlight w:val="none"/>
          <w:u w:val="single"/>
        </w:rPr>
        <w:tab/>
      </w:r>
      <w:r>
        <w:rPr>
          <w:color w:val="auto"/>
          <w:sz w:val="21"/>
          <w:highlight w:val="none"/>
        </w:rPr>
        <w:t>）</w:t>
      </w:r>
    </w:p>
    <w:p>
      <w:pPr>
        <w:pStyle w:val="20"/>
        <w:rPr>
          <w:color w:val="auto"/>
          <w:sz w:val="20"/>
          <w:highlight w:val="none"/>
        </w:rPr>
      </w:pPr>
    </w:p>
    <w:p>
      <w:pPr>
        <w:pStyle w:val="20"/>
        <w:spacing w:before="7"/>
        <w:rPr>
          <w:color w:val="auto"/>
          <w:sz w:val="19"/>
          <w:highlight w:val="none"/>
        </w:rPr>
      </w:pPr>
    </w:p>
    <w:p>
      <w:pPr>
        <w:pStyle w:val="20"/>
        <w:tabs>
          <w:tab w:val="left" w:pos="2224"/>
        </w:tabs>
        <w:spacing w:before="75"/>
        <w:ind w:left="424"/>
        <w:rPr>
          <w:color w:val="auto"/>
          <w:highlight w:val="none"/>
        </w:rPr>
      </w:pPr>
      <w:r>
        <w:rPr>
          <w:rFonts w:ascii="Times New Roman" w:eastAsia="Times New Roman"/>
          <w:color w:val="auto"/>
          <w:highlight w:val="none"/>
          <w:u w:val="single"/>
        </w:rPr>
        <w:tab/>
      </w:r>
      <w:r>
        <w:rPr>
          <w:color w:val="auto"/>
          <w:highlight w:val="none"/>
        </w:rPr>
        <w:t>（投标人名称</w:t>
      </w:r>
      <w:r>
        <w:rPr>
          <w:color w:val="auto"/>
          <w:spacing w:val="-120"/>
          <w:highlight w:val="none"/>
        </w:rPr>
        <w:t>）</w:t>
      </w:r>
      <w:r>
        <w:rPr>
          <w:color w:val="auto"/>
          <w:highlight w:val="none"/>
        </w:rPr>
        <w:t>：</w:t>
      </w:r>
    </w:p>
    <w:p>
      <w:pPr>
        <w:pStyle w:val="20"/>
        <w:rPr>
          <w:color w:val="auto"/>
          <w:sz w:val="26"/>
          <w:highlight w:val="none"/>
        </w:rPr>
      </w:pPr>
    </w:p>
    <w:p>
      <w:pPr>
        <w:pStyle w:val="20"/>
        <w:spacing w:before="7"/>
        <w:rPr>
          <w:color w:val="auto"/>
          <w:sz w:val="18"/>
          <w:highlight w:val="none"/>
        </w:rPr>
      </w:pPr>
    </w:p>
    <w:p>
      <w:pPr>
        <w:pStyle w:val="20"/>
        <w:tabs>
          <w:tab w:val="left" w:pos="1146"/>
          <w:tab w:val="left" w:pos="2956"/>
          <w:tab w:val="left" w:pos="5486"/>
        </w:tabs>
        <w:spacing w:line="345" w:lineRule="auto"/>
        <w:ind w:left="424" w:right="262"/>
        <w:rPr>
          <w:color w:val="auto"/>
          <w:highlight w:val="none"/>
        </w:rPr>
      </w:pPr>
      <w:r>
        <w:rPr>
          <w:color w:val="auto"/>
          <w:highlight w:val="none"/>
        </w:rPr>
        <w:tab/>
      </w:r>
      <w:r>
        <w:rPr>
          <w:color w:val="auto"/>
          <w:highlight w:val="none"/>
          <w:u w:val="single"/>
        </w:rPr>
        <w:tab/>
      </w:r>
      <w:r>
        <w:rPr>
          <w:color w:val="auto"/>
          <w:highlight w:val="none"/>
        </w:rPr>
        <w:t xml:space="preserve"> （项目名称）</w:t>
      </w:r>
      <w:r>
        <w:rPr>
          <w:color w:val="auto"/>
          <w:highlight w:val="none"/>
          <w:u w:val="single"/>
        </w:rPr>
        <w:tab/>
      </w:r>
      <w:r>
        <w:rPr>
          <w:color w:val="auto"/>
          <w:highlight w:val="none"/>
        </w:rPr>
        <w:t>标段施工招标的评标委员会，对你方的投标文件进行了仔细的审查</w:t>
      </w:r>
      <w:r>
        <w:rPr>
          <w:color w:val="auto"/>
          <w:spacing w:val="-84"/>
          <w:highlight w:val="none"/>
        </w:rPr>
        <w:t>，</w:t>
      </w:r>
      <w:r>
        <w:rPr>
          <w:color w:val="auto"/>
          <w:highlight w:val="none"/>
        </w:rPr>
        <w:t>现需你方对下列问题以书面形式予以澄清或说明：</w:t>
      </w:r>
    </w:p>
    <w:p>
      <w:pPr>
        <w:pStyle w:val="20"/>
        <w:spacing w:line="303" w:lineRule="exact"/>
        <w:ind w:left="424"/>
        <w:rPr>
          <w:color w:val="auto"/>
          <w:highlight w:val="none"/>
        </w:rPr>
      </w:pPr>
    </w:p>
    <w:p>
      <w:pPr>
        <w:pStyle w:val="20"/>
        <w:spacing w:before="148"/>
        <w:ind w:left="904"/>
        <w:rPr>
          <w:rFonts w:ascii="Times New Roman"/>
          <w:color w:val="auto"/>
          <w:highlight w:val="none"/>
        </w:rPr>
      </w:pPr>
      <w:r>
        <w:rPr>
          <w:rFonts w:ascii="Times New Roman"/>
          <w:color w:val="auto"/>
          <w:highlight w:val="none"/>
        </w:rPr>
        <w:t>1.</w:t>
      </w:r>
    </w:p>
    <w:p>
      <w:pPr>
        <w:pStyle w:val="20"/>
        <w:spacing w:before="166"/>
        <w:ind w:left="904"/>
        <w:rPr>
          <w:rFonts w:ascii="Times New Roman"/>
          <w:color w:val="auto"/>
          <w:highlight w:val="none"/>
        </w:rPr>
      </w:pPr>
      <w:r>
        <w:rPr>
          <w:rFonts w:ascii="Times New Roman"/>
          <w:color w:val="auto"/>
          <w:highlight w:val="none"/>
        </w:rPr>
        <w:t>2.</w:t>
      </w:r>
    </w:p>
    <w:p>
      <w:pPr>
        <w:pStyle w:val="20"/>
        <w:spacing w:before="163"/>
        <w:ind w:left="1024"/>
        <w:rPr>
          <w:rFonts w:ascii="Times New Roman"/>
          <w:color w:val="auto"/>
          <w:highlight w:val="none"/>
        </w:rPr>
      </w:pPr>
      <w:r>
        <w:rPr>
          <w:rFonts w:ascii="Times New Roman"/>
          <w:color w:val="auto"/>
          <w:highlight w:val="none"/>
        </w:rPr>
        <w:t>......</w:t>
      </w:r>
    </w:p>
    <w:p>
      <w:pPr>
        <w:pStyle w:val="20"/>
        <w:spacing w:before="147"/>
        <w:ind w:left="424"/>
        <w:jc w:val="both"/>
        <w:rPr>
          <w:color w:val="auto"/>
          <w:highlight w:val="none"/>
        </w:rPr>
      </w:pPr>
    </w:p>
    <w:p>
      <w:pPr>
        <w:pStyle w:val="20"/>
        <w:tabs>
          <w:tab w:val="left" w:pos="3127"/>
          <w:tab w:val="left" w:pos="8621"/>
        </w:tabs>
        <w:spacing w:before="135" w:line="343" w:lineRule="auto"/>
        <w:ind w:left="424" w:right="382"/>
        <w:jc w:val="both"/>
        <w:rPr>
          <w:color w:val="auto"/>
          <w:highlight w:val="none"/>
        </w:rPr>
      </w:pPr>
      <w:r>
        <w:rPr>
          <w:color w:val="auto"/>
          <w:highlight w:val="none"/>
        </w:rPr>
        <w:t>请将上述问题的澄清或说明于年月日时分前递交至</w:t>
      </w:r>
      <w:r>
        <w:rPr>
          <w:color w:val="auto"/>
          <w:highlight w:val="none"/>
          <w:u w:val="single"/>
        </w:rPr>
        <w:t>（</w:t>
      </w:r>
      <w:r>
        <w:rPr>
          <w:color w:val="auto"/>
          <w:highlight w:val="none"/>
        </w:rPr>
        <w:t>详细地址</w:t>
      </w:r>
      <w:r>
        <w:rPr>
          <w:color w:val="auto"/>
          <w:spacing w:val="-29"/>
          <w:highlight w:val="none"/>
        </w:rPr>
        <w:t>）</w:t>
      </w:r>
      <w:r>
        <w:rPr>
          <w:color w:val="auto"/>
          <w:highlight w:val="none"/>
        </w:rPr>
        <w:t>或传真至</w:t>
      </w:r>
      <w:r>
        <w:rPr>
          <w:color w:val="auto"/>
          <w:highlight w:val="none"/>
          <w:u w:val="single"/>
        </w:rPr>
        <w:tab/>
      </w:r>
      <w:r>
        <w:rPr>
          <w:color w:val="auto"/>
          <w:highlight w:val="none"/>
        </w:rPr>
        <w:t>（传真号码</w:t>
      </w:r>
      <w:r>
        <w:rPr>
          <w:color w:val="auto"/>
          <w:spacing w:val="-29"/>
          <w:highlight w:val="none"/>
        </w:rPr>
        <w:t>）</w:t>
      </w:r>
      <w:r>
        <w:rPr>
          <w:color w:val="auto"/>
          <w:highlight w:val="none"/>
        </w:rPr>
        <w:t>或通过下载招标文件的电子招标交易平台上传</w:t>
      </w:r>
      <w:r>
        <w:rPr>
          <w:color w:val="auto"/>
          <w:spacing w:val="-108"/>
          <w:highlight w:val="none"/>
        </w:rPr>
        <w:t>。</w:t>
      </w:r>
      <w:r>
        <w:rPr>
          <w:color w:val="auto"/>
          <w:highlight w:val="none"/>
        </w:rPr>
        <w:t>采用传真方式的</w:t>
      </w:r>
      <w:r>
        <w:rPr>
          <w:color w:val="auto"/>
          <w:spacing w:val="-108"/>
          <w:highlight w:val="none"/>
        </w:rPr>
        <w:t>，</w:t>
      </w:r>
      <w:r>
        <w:rPr>
          <w:color w:val="auto"/>
          <w:highlight w:val="none"/>
        </w:rPr>
        <w:t>应在年月日时分前将原件递交至</w:t>
      </w:r>
      <w:r>
        <w:rPr>
          <w:color w:val="auto"/>
          <w:highlight w:val="none"/>
          <w:u w:val="single"/>
        </w:rPr>
        <w:tab/>
      </w:r>
      <w:r>
        <w:rPr>
          <w:color w:val="auto"/>
          <w:highlight w:val="none"/>
          <w:u w:val="single"/>
        </w:rPr>
        <w:t>（</w:t>
      </w:r>
      <w:r>
        <w:rPr>
          <w:color w:val="auto"/>
          <w:highlight w:val="none"/>
        </w:rPr>
        <w:t>详细地址</w:t>
      </w:r>
      <w:r>
        <w:rPr>
          <w:color w:val="auto"/>
          <w:spacing w:val="-120"/>
          <w:highlight w:val="none"/>
        </w:rPr>
        <w:t>）</w:t>
      </w:r>
      <w:r>
        <w:rPr>
          <w:color w:val="auto"/>
          <w:highlight w:val="none"/>
        </w:rPr>
        <w:t>。</w:t>
      </w:r>
    </w:p>
    <w:p>
      <w:pPr>
        <w:pStyle w:val="20"/>
        <w:rPr>
          <w:color w:val="auto"/>
          <w:highlight w:val="none"/>
        </w:rPr>
      </w:pPr>
    </w:p>
    <w:p>
      <w:pPr>
        <w:pStyle w:val="20"/>
        <w:rPr>
          <w:color w:val="auto"/>
          <w:highlight w:val="none"/>
        </w:rPr>
      </w:pPr>
    </w:p>
    <w:p>
      <w:pPr>
        <w:pStyle w:val="20"/>
        <w:spacing w:before="9"/>
        <w:rPr>
          <w:color w:val="auto"/>
          <w:sz w:val="20"/>
          <w:highlight w:val="none"/>
        </w:rPr>
      </w:pPr>
    </w:p>
    <w:p>
      <w:pPr>
        <w:pStyle w:val="20"/>
        <w:tabs>
          <w:tab w:val="left" w:pos="6941"/>
        </w:tabs>
        <w:ind w:left="1420"/>
        <w:rPr>
          <w:color w:val="auto"/>
          <w:highlight w:val="none"/>
        </w:rPr>
      </w:pPr>
      <w:r>
        <w:rPr>
          <w:color w:val="auto"/>
          <w:highlight w:val="none"/>
        </w:rPr>
        <w:t>评标委员会授权的招标人或招标代理机构：</w:t>
      </w:r>
      <w:r>
        <w:rPr>
          <w:color w:val="auto"/>
          <w:highlight w:val="none"/>
          <w:u w:val="single"/>
        </w:rPr>
        <w:tab/>
      </w:r>
      <w:r>
        <w:rPr>
          <w:color w:val="auto"/>
          <w:highlight w:val="none"/>
        </w:rPr>
        <w:t>（签字或盖单位章）</w:t>
      </w:r>
    </w:p>
    <w:p>
      <w:pPr>
        <w:pStyle w:val="20"/>
        <w:rPr>
          <w:color w:val="auto"/>
          <w:sz w:val="20"/>
          <w:highlight w:val="none"/>
        </w:rPr>
      </w:pPr>
    </w:p>
    <w:p>
      <w:pPr>
        <w:pStyle w:val="20"/>
        <w:spacing w:before="6"/>
        <w:rPr>
          <w:color w:val="auto"/>
          <w:sz w:val="19"/>
          <w:highlight w:val="none"/>
        </w:rPr>
      </w:pPr>
    </w:p>
    <w:p>
      <w:pPr>
        <w:pStyle w:val="20"/>
        <w:tabs>
          <w:tab w:val="left" w:pos="6382"/>
          <w:tab w:val="left" w:pos="7102"/>
          <w:tab w:val="left" w:pos="7822"/>
        </w:tabs>
        <w:spacing w:before="66"/>
        <w:ind w:left="5422"/>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rPr>
          <w:color w:val="auto"/>
          <w:highlight w:val="none"/>
        </w:rPr>
        <w:sectPr>
          <w:footerReference r:id="rId24" w:type="default"/>
          <w:headerReference r:id="rId23" w:type="even"/>
          <w:footerReference r:id="rId25" w:type="even"/>
          <w:pgSz w:w="11910" w:h="16850"/>
          <w:pgMar w:top="1418" w:right="1191" w:bottom="1418" w:left="1191" w:header="876" w:footer="853" w:gutter="0"/>
          <w:cols w:space="720" w:num="1"/>
        </w:sectPr>
      </w:pPr>
    </w:p>
    <w:p>
      <w:pPr>
        <w:pStyle w:val="20"/>
        <w:spacing w:before="108"/>
        <w:ind w:left="424"/>
        <w:rPr>
          <w:rFonts w:ascii="黑体" w:eastAsia="黑体"/>
          <w:color w:val="auto"/>
          <w:highlight w:val="none"/>
        </w:rPr>
      </w:pPr>
      <w:bookmarkStart w:id="395" w:name="_bookmark89"/>
      <w:bookmarkEnd w:id="395"/>
      <w:r>
        <w:rPr>
          <w:rFonts w:hint="eastAsia" w:ascii="黑体" w:eastAsia="黑体"/>
          <w:color w:val="auto"/>
          <w:highlight w:val="none"/>
        </w:rPr>
        <w:t>附件三 问题的澄清</w:t>
      </w:r>
    </w:p>
    <w:p>
      <w:pPr>
        <w:pStyle w:val="20"/>
        <w:spacing w:before="3"/>
        <w:rPr>
          <w:rFonts w:ascii="黑体"/>
          <w:color w:val="auto"/>
          <w:sz w:val="38"/>
          <w:highlight w:val="none"/>
        </w:rPr>
      </w:pPr>
      <w:r>
        <w:rPr>
          <w:color w:val="auto"/>
          <w:highlight w:val="none"/>
        </w:rPr>
        <w:br w:type="column"/>
      </w:r>
    </w:p>
    <w:p>
      <w:pPr>
        <w:spacing w:before="1"/>
        <w:ind w:right="2997"/>
        <w:jc w:val="center"/>
        <w:rPr>
          <w:rFonts w:ascii="黑体" w:eastAsia="黑体"/>
          <w:color w:val="auto"/>
          <w:sz w:val="28"/>
          <w:highlight w:val="none"/>
        </w:rPr>
      </w:pPr>
      <w:r>
        <w:rPr>
          <w:rFonts w:hint="eastAsia" w:ascii="黑体" w:eastAsia="黑体"/>
          <w:color w:val="auto"/>
          <w:sz w:val="28"/>
          <w:highlight w:val="none"/>
        </w:rPr>
        <w:t>问题的澄清</w:t>
      </w:r>
    </w:p>
    <w:p>
      <w:pPr>
        <w:tabs>
          <w:tab w:val="left" w:pos="2381"/>
        </w:tabs>
        <w:spacing w:before="152"/>
        <w:ind w:right="3001"/>
        <w:jc w:val="center"/>
        <w:rPr>
          <w:color w:val="auto"/>
          <w:sz w:val="21"/>
          <w:highlight w:val="none"/>
        </w:rPr>
      </w:pPr>
      <w:r>
        <w:rPr>
          <w:color w:val="auto"/>
          <w:sz w:val="21"/>
          <w:highlight w:val="none"/>
        </w:rPr>
        <w:t>（编</w:t>
      </w:r>
      <w:r>
        <w:rPr>
          <w:color w:val="auto"/>
          <w:spacing w:val="-3"/>
          <w:sz w:val="21"/>
          <w:highlight w:val="none"/>
        </w:rPr>
        <w:t>号</w:t>
      </w:r>
      <w:r>
        <w:rPr>
          <w:color w:val="auto"/>
          <w:sz w:val="21"/>
          <w:highlight w:val="none"/>
        </w:rPr>
        <w:t>：</w:t>
      </w:r>
      <w:r>
        <w:rPr>
          <w:color w:val="auto"/>
          <w:sz w:val="21"/>
          <w:highlight w:val="none"/>
          <w:u w:val="single"/>
        </w:rPr>
        <w:tab/>
      </w:r>
      <w:r>
        <w:rPr>
          <w:color w:val="auto"/>
          <w:sz w:val="21"/>
          <w:highlight w:val="none"/>
        </w:rPr>
        <w:t>）</w:t>
      </w:r>
    </w:p>
    <w:p>
      <w:pPr>
        <w:jc w:val="center"/>
        <w:rPr>
          <w:color w:val="auto"/>
          <w:sz w:val="21"/>
          <w:highlight w:val="none"/>
        </w:rPr>
        <w:sectPr>
          <w:pgSz w:w="11910" w:h="16850"/>
          <w:pgMar w:top="1418" w:right="1191" w:bottom="1418" w:left="1191" w:header="883" w:footer="884" w:gutter="0"/>
          <w:cols w:equalWidth="0" w:num="2">
            <w:col w:w="2534" w:space="536"/>
            <w:col w:w="6458"/>
          </w:cols>
        </w:sectPr>
      </w:pPr>
    </w:p>
    <w:p>
      <w:pPr>
        <w:pStyle w:val="20"/>
        <w:rPr>
          <w:color w:val="auto"/>
          <w:sz w:val="20"/>
          <w:highlight w:val="none"/>
        </w:rPr>
      </w:pPr>
    </w:p>
    <w:p>
      <w:pPr>
        <w:pStyle w:val="20"/>
        <w:spacing w:before="6"/>
        <w:rPr>
          <w:color w:val="auto"/>
          <w:sz w:val="19"/>
          <w:highlight w:val="none"/>
        </w:rPr>
      </w:pPr>
    </w:p>
    <w:p>
      <w:pPr>
        <w:pStyle w:val="20"/>
        <w:tabs>
          <w:tab w:val="left" w:pos="2584"/>
          <w:tab w:val="left" w:pos="5104"/>
        </w:tabs>
        <w:spacing w:before="74"/>
        <w:ind w:left="424"/>
        <w:rPr>
          <w:color w:val="auto"/>
          <w:highlight w:val="none"/>
        </w:rPr>
      </w:pPr>
      <w:r>
        <w:rPr>
          <w:rFonts w:ascii="Times New Roman" w:eastAsia="Times New Roman"/>
          <w:color w:val="auto"/>
          <w:highlight w:val="none"/>
          <w:u w:val="single"/>
        </w:rPr>
        <w:tab/>
      </w:r>
      <w:r>
        <w:rPr>
          <w:color w:val="auto"/>
          <w:highlight w:val="none"/>
          <w:u w:val="single"/>
        </w:rPr>
        <w:t>（</w:t>
      </w:r>
      <w:r>
        <w:rPr>
          <w:color w:val="auto"/>
          <w:highlight w:val="none"/>
        </w:rPr>
        <w:t>项目名称）</w:t>
      </w:r>
      <w:r>
        <w:rPr>
          <w:color w:val="auto"/>
          <w:highlight w:val="none"/>
          <w:u w:val="single"/>
        </w:rPr>
        <w:tab/>
      </w:r>
      <w:r>
        <w:rPr>
          <w:color w:val="auto"/>
          <w:highlight w:val="none"/>
        </w:rPr>
        <w:t>标段施工招标评标委员会：</w:t>
      </w:r>
    </w:p>
    <w:p>
      <w:pPr>
        <w:pStyle w:val="20"/>
        <w:rPr>
          <w:color w:val="auto"/>
          <w:sz w:val="26"/>
          <w:highlight w:val="none"/>
        </w:rPr>
      </w:pPr>
    </w:p>
    <w:p>
      <w:pPr>
        <w:pStyle w:val="20"/>
        <w:rPr>
          <w:color w:val="auto"/>
          <w:sz w:val="26"/>
          <w:highlight w:val="none"/>
        </w:rPr>
      </w:pPr>
    </w:p>
    <w:p>
      <w:pPr>
        <w:pStyle w:val="20"/>
        <w:spacing w:before="1"/>
        <w:rPr>
          <w:color w:val="auto"/>
          <w:sz w:val="27"/>
          <w:highlight w:val="none"/>
        </w:rPr>
      </w:pPr>
    </w:p>
    <w:p>
      <w:pPr>
        <w:pStyle w:val="20"/>
        <w:tabs>
          <w:tab w:val="left" w:pos="3360"/>
        </w:tabs>
        <w:ind w:right="954"/>
        <w:jc w:val="center"/>
        <w:rPr>
          <w:color w:val="auto"/>
          <w:highlight w:val="none"/>
        </w:rPr>
      </w:pPr>
      <w:r>
        <w:rPr>
          <w:color w:val="auto"/>
          <w:highlight w:val="none"/>
        </w:rPr>
        <w:t>问题澄清通知（编号：</w:t>
      </w:r>
      <w:r>
        <w:rPr>
          <w:color w:val="auto"/>
          <w:highlight w:val="none"/>
          <w:u w:val="single"/>
        </w:rPr>
        <w:tab/>
      </w:r>
      <w:r>
        <w:rPr>
          <w:color w:val="auto"/>
          <w:highlight w:val="none"/>
        </w:rPr>
        <w:t>）已收悉，现澄清、说明如下：</w:t>
      </w:r>
    </w:p>
    <w:p>
      <w:pPr>
        <w:pStyle w:val="20"/>
        <w:tabs>
          <w:tab w:val="left" w:pos="1264"/>
        </w:tabs>
        <w:spacing w:before="150"/>
        <w:ind w:left="424"/>
        <w:rPr>
          <w:rFonts w:ascii="Times New Roman"/>
          <w:color w:val="auto"/>
          <w:highlight w:val="none"/>
        </w:rPr>
      </w:pPr>
      <w:r>
        <w:rPr>
          <w:color w:val="auto"/>
          <w:highlight w:val="none"/>
        </w:rPr>
        <w:tab/>
      </w:r>
      <w:r>
        <w:rPr>
          <w:rFonts w:ascii="Times New Roman"/>
          <w:color w:val="auto"/>
          <w:highlight w:val="none"/>
        </w:rPr>
        <w:t>1.</w:t>
      </w:r>
    </w:p>
    <w:p>
      <w:pPr>
        <w:pStyle w:val="20"/>
        <w:tabs>
          <w:tab w:val="left" w:pos="1264"/>
        </w:tabs>
        <w:spacing w:before="163"/>
        <w:ind w:left="424"/>
        <w:rPr>
          <w:rFonts w:ascii="Times New Roman"/>
          <w:color w:val="auto"/>
          <w:highlight w:val="none"/>
        </w:rPr>
      </w:pPr>
      <w:r>
        <w:rPr>
          <w:color w:val="auto"/>
          <w:highlight w:val="none"/>
        </w:rPr>
        <w:tab/>
      </w:r>
      <w:r>
        <w:rPr>
          <w:rFonts w:ascii="Times New Roman"/>
          <w:color w:val="auto"/>
          <w:highlight w:val="none"/>
        </w:rPr>
        <w:t>2.</w:t>
      </w:r>
    </w:p>
    <w:p>
      <w:pPr>
        <w:pStyle w:val="20"/>
        <w:spacing w:before="147"/>
        <w:ind w:left="424"/>
        <w:rPr>
          <w:color w:val="auto"/>
          <w:highlight w:val="none"/>
        </w:rPr>
      </w:pPr>
    </w:p>
    <w:p>
      <w:pPr>
        <w:pStyle w:val="20"/>
        <w:tabs>
          <w:tab w:val="left" w:pos="1144"/>
        </w:tabs>
        <w:spacing w:before="151"/>
        <w:ind w:left="424"/>
        <w:rPr>
          <w:rFonts w:ascii="Times New Roman"/>
          <w:color w:val="auto"/>
          <w:highlight w:val="none"/>
        </w:rPr>
      </w:pPr>
      <w:r>
        <w:rPr>
          <w:color w:val="auto"/>
          <w:highlight w:val="none"/>
        </w:rPr>
        <w:tab/>
      </w:r>
      <w:r>
        <w:rPr>
          <w:rFonts w:ascii="Times New Roman"/>
          <w:color w:val="auto"/>
          <w:highlight w:val="none"/>
        </w:rPr>
        <w:t>.....</w:t>
      </w:r>
    </w:p>
    <w:p>
      <w:pPr>
        <w:pStyle w:val="20"/>
        <w:rPr>
          <w:rFonts w:ascii="Times New Roman"/>
          <w:color w:val="auto"/>
          <w:sz w:val="20"/>
          <w:highlight w:val="none"/>
        </w:rPr>
      </w:pPr>
    </w:p>
    <w:p>
      <w:pPr>
        <w:pStyle w:val="20"/>
        <w:rPr>
          <w:rFonts w:ascii="Times New Roman"/>
          <w:color w:val="auto"/>
          <w:sz w:val="20"/>
          <w:highlight w:val="none"/>
        </w:rPr>
      </w:pPr>
    </w:p>
    <w:p>
      <w:pPr>
        <w:pStyle w:val="20"/>
        <w:rPr>
          <w:rFonts w:ascii="Times New Roman"/>
          <w:color w:val="auto"/>
          <w:sz w:val="20"/>
          <w:highlight w:val="none"/>
        </w:rPr>
      </w:pPr>
    </w:p>
    <w:p>
      <w:pPr>
        <w:pStyle w:val="20"/>
        <w:rPr>
          <w:rFonts w:ascii="Times New Roman"/>
          <w:color w:val="auto"/>
          <w:sz w:val="20"/>
          <w:highlight w:val="none"/>
        </w:rPr>
      </w:pPr>
    </w:p>
    <w:p>
      <w:pPr>
        <w:pStyle w:val="20"/>
        <w:rPr>
          <w:rFonts w:ascii="Times New Roman"/>
          <w:color w:val="auto"/>
          <w:sz w:val="20"/>
          <w:highlight w:val="none"/>
        </w:rPr>
      </w:pPr>
    </w:p>
    <w:p>
      <w:pPr>
        <w:pStyle w:val="20"/>
        <w:spacing w:before="9"/>
        <w:rPr>
          <w:rFonts w:ascii="Times New Roman"/>
          <w:color w:val="auto"/>
          <w:sz w:val="21"/>
          <w:highlight w:val="none"/>
        </w:rPr>
      </w:pPr>
    </w:p>
    <w:p>
      <w:pPr>
        <w:pStyle w:val="20"/>
        <w:spacing w:before="67" w:line="343" w:lineRule="auto"/>
        <w:ind w:left="424" w:right="390" w:firstLine="479"/>
        <w:rPr>
          <w:color w:val="auto"/>
          <w:highlight w:val="none"/>
        </w:rPr>
      </w:pPr>
      <w:r>
        <w:rPr>
          <w:color w:val="auto"/>
          <w:highlight w:val="none"/>
        </w:rPr>
        <w:t>上述问题澄清或说明，不改变我方投标文件的实质性内容，构成我方投标文件的组成部分。</w:t>
      </w:r>
    </w:p>
    <w:p>
      <w:pPr>
        <w:pStyle w:val="20"/>
        <w:rPr>
          <w:color w:val="auto"/>
          <w:highlight w:val="none"/>
        </w:rPr>
      </w:pPr>
    </w:p>
    <w:p>
      <w:pPr>
        <w:pStyle w:val="20"/>
        <w:rPr>
          <w:color w:val="auto"/>
          <w:highlight w:val="none"/>
        </w:rPr>
      </w:pPr>
    </w:p>
    <w:p>
      <w:pPr>
        <w:pStyle w:val="20"/>
        <w:spacing w:before="8"/>
        <w:rPr>
          <w:color w:val="auto"/>
          <w:sz w:val="20"/>
          <w:highlight w:val="none"/>
        </w:rPr>
      </w:pPr>
    </w:p>
    <w:p>
      <w:pPr>
        <w:pStyle w:val="20"/>
        <w:tabs>
          <w:tab w:val="left" w:pos="7567"/>
        </w:tabs>
        <w:ind w:left="424"/>
        <w:rPr>
          <w:color w:val="auto"/>
          <w:sz w:val="12"/>
          <w:highlight w:val="none"/>
        </w:rPr>
      </w:pPr>
      <w:r>
        <w:rPr>
          <w:color w:val="auto"/>
          <w:highlight w:val="none"/>
        </w:rPr>
        <w:t xml:space="preserve">                              投标人</w:t>
      </w:r>
      <w:r>
        <w:rPr>
          <w:color w:val="auto"/>
          <w:spacing w:val="-29"/>
          <w:highlight w:val="none"/>
        </w:rPr>
        <w:t>：</w:t>
      </w:r>
      <w:r>
        <w:rPr>
          <w:color w:val="auto"/>
          <w:spacing w:val="-29"/>
          <w:highlight w:val="none"/>
          <w:u w:val="single"/>
        </w:rPr>
        <w:tab/>
      </w:r>
      <w:r>
        <w:rPr>
          <w:color w:val="auto"/>
          <w:highlight w:val="none"/>
        </w:rPr>
        <w:t>（盖单位章</w:t>
      </w:r>
      <w:r>
        <w:rPr>
          <w:color w:val="auto"/>
          <w:spacing w:val="-14"/>
          <w:highlight w:val="none"/>
        </w:rPr>
        <w:t>）</w:t>
      </w:r>
      <w:r>
        <w:rPr>
          <w:color w:val="auto"/>
          <w:spacing w:val="-14"/>
          <w:position w:val="11"/>
          <w:sz w:val="12"/>
          <w:highlight w:val="none"/>
        </w:rPr>
        <w:t>①</w:t>
      </w:r>
    </w:p>
    <w:p>
      <w:pPr>
        <w:pStyle w:val="20"/>
        <w:tabs>
          <w:tab w:val="left" w:pos="8259"/>
        </w:tabs>
        <w:spacing w:before="134"/>
        <w:ind w:left="424"/>
        <w:rPr>
          <w:color w:val="auto"/>
          <w:highlight w:val="none"/>
        </w:rPr>
      </w:pPr>
      <w:r>
        <w:rPr>
          <w:color w:val="auto"/>
          <w:highlight w:val="none"/>
        </w:rPr>
        <w:t xml:space="preserve">                              法定代表人或其委托代理人</w:t>
      </w:r>
      <w:r>
        <w:rPr>
          <w:color w:val="auto"/>
          <w:highlight w:val="none"/>
          <w:u w:val="single"/>
        </w:rPr>
        <w:t>：</w:t>
      </w:r>
      <w:r>
        <w:rPr>
          <w:color w:val="auto"/>
          <w:highlight w:val="none"/>
          <w:u w:val="single"/>
        </w:rPr>
        <w:tab/>
      </w:r>
      <w:r>
        <w:rPr>
          <w:color w:val="auto"/>
          <w:highlight w:val="none"/>
          <w:u w:val="single"/>
        </w:rPr>
        <w:t>（</w:t>
      </w:r>
      <w:r>
        <w:rPr>
          <w:color w:val="auto"/>
          <w:highlight w:val="none"/>
        </w:rPr>
        <w:t>签字）</w:t>
      </w:r>
    </w:p>
    <w:p>
      <w:pPr>
        <w:pStyle w:val="20"/>
        <w:spacing w:before="133"/>
        <w:ind w:left="424"/>
        <w:rPr>
          <w:color w:val="auto"/>
          <w:highlight w:val="none"/>
        </w:rPr>
      </w:pPr>
    </w:p>
    <w:p>
      <w:pPr>
        <w:pStyle w:val="20"/>
        <w:tabs>
          <w:tab w:val="left" w:pos="5345"/>
          <w:tab w:val="left" w:pos="6305"/>
          <w:tab w:val="left" w:pos="7025"/>
          <w:tab w:val="left" w:pos="7745"/>
        </w:tabs>
        <w:spacing w:before="131"/>
        <w:ind w:left="424"/>
        <w:rPr>
          <w:color w:val="auto"/>
          <w:highlight w:val="none"/>
        </w:rPr>
      </w:pPr>
      <w:r>
        <w:rPr>
          <w:color w:val="auto"/>
          <w:highlight w:val="none"/>
        </w:rPr>
        <w:tab/>
      </w: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rPr>
          <w:color w:val="auto"/>
          <w:sz w:val="18"/>
          <w:highlight w:val="none"/>
        </w:rPr>
        <w:sectPr>
          <w:type w:val="continuous"/>
          <w:pgSz w:w="11910" w:h="16850"/>
          <w:pgMar w:top="1418" w:right="1191" w:bottom="1418" w:left="1191" w:header="720" w:footer="720" w:gutter="0"/>
          <w:cols w:space="720" w:num="1"/>
        </w:sectPr>
      </w:pPr>
    </w:p>
    <w:p>
      <w:pPr>
        <w:pStyle w:val="20"/>
        <w:spacing w:before="108"/>
        <w:ind w:left="424"/>
        <w:rPr>
          <w:rFonts w:ascii="黑体" w:eastAsia="黑体"/>
          <w:color w:val="auto"/>
          <w:highlight w:val="none"/>
        </w:rPr>
      </w:pPr>
      <w:bookmarkStart w:id="396" w:name="_bookmark90"/>
      <w:bookmarkEnd w:id="396"/>
      <w:r>
        <w:rPr>
          <w:rFonts w:hint="eastAsia" w:ascii="黑体" w:eastAsia="黑体"/>
          <w:color w:val="auto"/>
          <w:highlight w:val="none"/>
        </w:rPr>
        <w:t>附件四 中标通知书</w:t>
      </w:r>
    </w:p>
    <w:p>
      <w:pPr>
        <w:pStyle w:val="20"/>
        <w:rPr>
          <w:rFonts w:ascii="黑体"/>
          <w:color w:val="auto"/>
          <w:sz w:val="20"/>
          <w:highlight w:val="none"/>
        </w:rPr>
      </w:pPr>
    </w:p>
    <w:p>
      <w:pPr>
        <w:pStyle w:val="20"/>
        <w:spacing w:before="7"/>
        <w:rPr>
          <w:rFonts w:ascii="黑体"/>
          <w:color w:val="auto"/>
          <w:sz w:val="15"/>
          <w:highlight w:val="none"/>
        </w:rPr>
      </w:pPr>
    </w:p>
    <w:p>
      <w:pPr>
        <w:spacing w:before="61"/>
        <w:ind w:left="1098" w:right="1052"/>
        <w:jc w:val="center"/>
        <w:rPr>
          <w:rFonts w:ascii="黑体" w:eastAsia="黑体"/>
          <w:color w:val="auto"/>
          <w:sz w:val="28"/>
          <w:highlight w:val="none"/>
        </w:rPr>
      </w:pPr>
      <w:r>
        <w:rPr>
          <w:rFonts w:hint="eastAsia" w:ascii="黑体" w:eastAsia="黑体"/>
          <w:color w:val="auto"/>
          <w:sz w:val="28"/>
          <w:highlight w:val="none"/>
        </w:rPr>
        <w:t>中标通知书</w:t>
      </w:r>
    </w:p>
    <w:p>
      <w:pPr>
        <w:pStyle w:val="20"/>
        <w:rPr>
          <w:rFonts w:ascii="黑体"/>
          <w:color w:val="auto"/>
          <w:sz w:val="20"/>
          <w:highlight w:val="none"/>
        </w:rPr>
      </w:pPr>
    </w:p>
    <w:p>
      <w:pPr>
        <w:pStyle w:val="20"/>
        <w:spacing w:before="12"/>
        <w:rPr>
          <w:rFonts w:ascii="黑体"/>
          <w:color w:val="auto"/>
          <w:sz w:val="17"/>
          <w:highlight w:val="none"/>
        </w:rPr>
      </w:pPr>
    </w:p>
    <w:p>
      <w:pPr>
        <w:pStyle w:val="20"/>
        <w:tabs>
          <w:tab w:val="left" w:pos="2824"/>
        </w:tabs>
        <w:spacing w:before="74"/>
        <w:ind w:left="544"/>
        <w:rPr>
          <w:color w:val="auto"/>
          <w:highlight w:val="none"/>
        </w:rPr>
      </w:pPr>
      <w:r>
        <w:rPr>
          <w:rFonts w:ascii="Times New Roman" w:eastAsia="Times New Roman"/>
          <w:color w:val="auto"/>
          <w:highlight w:val="none"/>
          <w:u w:val="single"/>
        </w:rPr>
        <w:tab/>
      </w:r>
      <w:r>
        <w:rPr>
          <w:color w:val="auto"/>
          <w:highlight w:val="none"/>
        </w:rPr>
        <w:t>（中标人名称</w:t>
      </w:r>
      <w:r>
        <w:rPr>
          <w:color w:val="auto"/>
          <w:spacing w:val="-120"/>
          <w:highlight w:val="none"/>
        </w:rPr>
        <w:t>）</w:t>
      </w:r>
      <w:r>
        <w:rPr>
          <w:color w:val="auto"/>
          <w:highlight w:val="none"/>
        </w:rPr>
        <w:t>：</w:t>
      </w:r>
    </w:p>
    <w:p>
      <w:pPr>
        <w:pStyle w:val="20"/>
        <w:rPr>
          <w:color w:val="auto"/>
          <w:sz w:val="26"/>
          <w:highlight w:val="none"/>
        </w:rPr>
      </w:pPr>
    </w:p>
    <w:p>
      <w:pPr>
        <w:pStyle w:val="20"/>
        <w:spacing w:before="9"/>
        <w:rPr>
          <w:color w:val="auto"/>
          <w:sz w:val="18"/>
          <w:highlight w:val="none"/>
        </w:rPr>
      </w:pPr>
    </w:p>
    <w:p>
      <w:pPr>
        <w:pStyle w:val="20"/>
        <w:tabs>
          <w:tab w:val="left" w:pos="2683"/>
          <w:tab w:val="left" w:pos="6720"/>
          <w:tab w:val="left" w:pos="8859"/>
        </w:tabs>
        <w:spacing w:line="343" w:lineRule="auto"/>
        <w:ind w:left="424" w:right="384"/>
        <w:rPr>
          <w:color w:val="auto"/>
          <w:highlight w:val="none"/>
        </w:rPr>
      </w:pPr>
      <w:r>
        <w:rPr>
          <w:color w:val="auto"/>
          <w:highlight w:val="none"/>
        </w:rPr>
        <w:t>你方于</w:t>
      </w:r>
      <w:r>
        <w:rPr>
          <w:color w:val="auto"/>
          <w:highlight w:val="none"/>
          <w:u w:val="single"/>
        </w:rPr>
        <w:tab/>
      </w:r>
      <w:r>
        <w:rPr>
          <w:color w:val="auto"/>
          <w:highlight w:val="none"/>
        </w:rPr>
        <w:t>（投标日期</w:t>
      </w:r>
      <w:r>
        <w:rPr>
          <w:color w:val="auto"/>
          <w:spacing w:val="-22"/>
          <w:highlight w:val="none"/>
        </w:rPr>
        <w:t>）</w:t>
      </w:r>
      <w:r>
        <w:rPr>
          <w:color w:val="auto"/>
          <w:highlight w:val="none"/>
        </w:rPr>
        <w:t>所递交的</w:t>
      </w:r>
      <w:r>
        <w:rPr>
          <w:color w:val="auto"/>
          <w:highlight w:val="none"/>
          <w:u w:val="single"/>
        </w:rPr>
        <w:tab/>
      </w:r>
      <w:r>
        <w:rPr>
          <w:color w:val="auto"/>
          <w:highlight w:val="none"/>
        </w:rPr>
        <w:t>（项目名称</w:t>
      </w:r>
      <w:r>
        <w:rPr>
          <w:color w:val="auto"/>
          <w:spacing w:val="-22"/>
          <w:highlight w:val="none"/>
        </w:rPr>
        <w:t>）</w:t>
      </w:r>
      <w:r>
        <w:rPr>
          <w:color w:val="auto"/>
          <w:spacing w:val="-22"/>
          <w:highlight w:val="none"/>
          <w:u w:val="single"/>
        </w:rPr>
        <w:tab/>
      </w:r>
      <w:r>
        <w:rPr>
          <w:color w:val="auto"/>
          <w:highlight w:val="none"/>
        </w:rPr>
        <w:t>标段施工投标文件已被我方接受，被确定为中标人。</w:t>
      </w:r>
    </w:p>
    <w:p>
      <w:pPr>
        <w:pStyle w:val="20"/>
        <w:tabs>
          <w:tab w:val="left" w:pos="4144"/>
        </w:tabs>
        <w:spacing w:before="2"/>
        <w:ind w:left="424"/>
        <w:rPr>
          <w:color w:val="auto"/>
          <w:highlight w:val="none"/>
        </w:rPr>
      </w:pPr>
      <w:r>
        <w:rPr>
          <w:color w:val="auto"/>
          <w:highlight w:val="none"/>
        </w:rPr>
        <w:t>中标价：</w:t>
      </w:r>
      <w:r>
        <w:rPr>
          <w:color w:val="auto"/>
          <w:highlight w:val="none"/>
          <w:u w:val="single"/>
        </w:rPr>
        <w:tab/>
      </w:r>
      <w:r>
        <w:rPr>
          <w:color w:val="auto"/>
          <w:highlight w:val="none"/>
        </w:rPr>
        <w:t>元。</w:t>
      </w:r>
    </w:p>
    <w:p>
      <w:pPr>
        <w:pStyle w:val="20"/>
        <w:tabs>
          <w:tab w:val="left" w:pos="2344"/>
        </w:tabs>
        <w:spacing w:before="132"/>
        <w:ind w:left="424"/>
        <w:rPr>
          <w:color w:val="auto"/>
          <w:highlight w:val="none"/>
        </w:rPr>
      </w:pPr>
      <w:r>
        <w:rPr>
          <w:color w:val="auto"/>
          <w:highlight w:val="none"/>
        </w:rPr>
        <w:t>工期：</w:t>
      </w:r>
      <w:r>
        <w:rPr>
          <w:color w:val="auto"/>
          <w:highlight w:val="none"/>
          <w:u w:val="single"/>
        </w:rPr>
        <w:tab/>
      </w:r>
      <w:r>
        <w:rPr>
          <w:color w:val="auto"/>
          <w:highlight w:val="none"/>
        </w:rPr>
        <w:t>日历天。</w:t>
      </w:r>
    </w:p>
    <w:p>
      <w:pPr>
        <w:pStyle w:val="20"/>
        <w:tabs>
          <w:tab w:val="left" w:pos="5225"/>
        </w:tabs>
        <w:spacing w:before="132" w:line="345" w:lineRule="auto"/>
        <w:ind w:left="904" w:right="3539"/>
        <w:rPr>
          <w:color w:val="auto"/>
          <w:highlight w:val="none"/>
        </w:rPr>
      </w:pPr>
      <w:r>
        <w:rPr>
          <w:color w:val="auto"/>
          <w:highlight w:val="none"/>
        </w:rPr>
        <w:t>工程质量：符合</w:t>
      </w:r>
      <w:r>
        <w:rPr>
          <w:color w:val="auto"/>
          <w:highlight w:val="none"/>
          <w:u w:val="single"/>
        </w:rPr>
        <w:tab/>
      </w:r>
      <w:r>
        <w:rPr>
          <w:color w:val="auto"/>
          <w:highlight w:val="none"/>
        </w:rPr>
        <w:t>标准。工程安全目标：</w:t>
      </w:r>
      <w:r>
        <w:rPr>
          <w:color w:val="auto"/>
          <w:highlight w:val="none"/>
          <w:u w:val="single"/>
        </w:rPr>
        <w:tab/>
      </w:r>
      <w:r>
        <w:rPr>
          <w:color w:val="auto"/>
          <w:highlight w:val="none"/>
        </w:rPr>
        <w:t>。</w:t>
      </w:r>
    </w:p>
    <w:p>
      <w:pPr>
        <w:pStyle w:val="20"/>
        <w:tabs>
          <w:tab w:val="left" w:pos="3813"/>
        </w:tabs>
        <w:spacing w:line="343" w:lineRule="auto"/>
        <w:ind w:left="933" w:right="4590"/>
        <w:rPr>
          <w:color w:val="auto"/>
          <w:highlight w:val="none"/>
        </w:rPr>
      </w:pPr>
      <w:r>
        <w:rPr>
          <w:color w:val="auto"/>
          <w:highlight w:val="none"/>
        </w:rPr>
        <w:pict>
          <v:line id="_x0000_s1095" o:spid="_x0000_s1095" o:spt="20" style="position:absolute;left:0pt;margin-left:167.65pt;margin-top:35.6pt;height:0pt;width:84.05pt;mso-position-horizontal-relative:page;z-index:-251627520;mso-width-relative:page;mso-height-relative:page;" coordsize="21600,21600">
            <v:path arrowok="t"/>
            <v:fill focussize="0,0"/>
            <v:stroke weight="0.6pt"/>
            <v:imagedata o:title=""/>
            <o:lock v:ext="edit"/>
          </v:line>
        </w:pict>
      </w:r>
      <w:r>
        <w:rPr>
          <w:color w:val="auto"/>
          <w:highlight w:val="none"/>
        </w:rPr>
        <w:t>项目经理：</w:t>
      </w:r>
      <w:r>
        <w:rPr>
          <w:color w:val="auto"/>
          <w:highlight w:val="none"/>
          <w:u w:val="single"/>
        </w:rPr>
        <w:tab/>
      </w:r>
      <w:r>
        <w:rPr>
          <w:color w:val="auto"/>
          <w:highlight w:val="none"/>
        </w:rPr>
        <w:t>（姓名</w:t>
      </w:r>
      <w:r>
        <w:rPr>
          <w:color w:val="auto"/>
          <w:spacing w:val="-120"/>
          <w:highlight w:val="none"/>
        </w:rPr>
        <w:t>）</w:t>
      </w:r>
      <w:r>
        <w:rPr>
          <w:color w:val="auto"/>
          <w:highlight w:val="none"/>
        </w:rPr>
        <w:t>。项目总工：</w:t>
      </w:r>
      <w:r>
        <w:rPr>
          <w:color w:val="auto"/>
          <w:highlight w:val="none"/>
        </w:rPr>
        <w:tab/>
      </w:r>
      <w:r>
        <w:rPr>
          <w:color w:val="auto"/>
          <w:highlight w:val="none"/>
        </w:rPr>
        <w:t>（姓名</w:t>
      </w:r>
      <w:r>
        <w:rPr>
          <w:color w:val="auto"/>
          <w:spacing w:val="-120"/>
          <w:highlight w:val="none"/>
        </w:rPr>
        <w:t>）</w:t>
      </w:r>
      <w:r>
        <w:rPr>
          <w:color w:val="auto"/>
          <w:highlight w:val="none"/>
        </w:rPr>
        <w:t>。</w:t>
      </w:r>
    </w:p>
    <w:p>
      <w:pPr>
        <w:pStyle w:val="20"/>
        <w:tabs>
          <w:tab w:val="left" w:pos="4384"/>
          <w:tab w:val="left" w:pos="7745"/>
        </w:tabs>
        <w:spacing w:line="343" w:lineRule="auto"/>
        <w:ind w:left="424" w:right="298"/>
        <w:rPr>
          <w:color w:val="auto"/>
          <w:highlight w:val="none"/>
        </w:rPr>
      </w:pPr>
      <w:r>
        <w:rPr>
          <w:color w:val="auto"/>
          <w:highlight w:val="none"/>
        </w:rPr>
        <w:pict>
          <v:line id="_x0000_s1094" o:spid="_x0000_s1094" o:spt="20" style="position:absolute;left:0pt;margin-left:250.25pt;margin-top:13.6pt;height:0pt;width:30pt;mso-position-horizontal-relative:page;z-index:-251626496;mso-width-relative:page;mso-height-relative:page;" coordsize="21600,21600">
            <v:path arrowok="t"/>
            <v:fill focussize="0,0"/>
            <v:stroke weight="0.6pt"/>
            <v:imagedata o:title=""/>
            <o:lock v:ext="edit"/>
          </v:line>
        </w:pict>
      </w:r>
      <w:r>
        <w:rPr>
          <w:color w:val="auto"/>
          <w:highlight w:val="none"/>
        </w:rPr>
        <w:t>请你方在接到本通知书后的</w:t>
      </w:r>
      <w:r>
        <w:rPr>
          <w:color w:val="auto"/>
          <w:highlight w:val="none"/>
        </w:rPr>
        <w:tab/>
      </w:r>
      <w:r>
        <w:rPr>
          <w:color w:val="auto"/>
          <w:highlight w:val="none"/>
        </w:rPr>
        <w:t>日内到</w:t>
      </w:r>
      <w:r>
        <w:rPr>
          <w:color w:val="auto"/>
          <w:highlight w:val="none"/>
          <w:u w:val="single"/>
        </w:rPr>
        <w:tab/>
      </w:r>
      <w:r>
        <w:rPr>
          <w:color w:val="auto"/>
          <w:highlight w:val="none"/>
        </w:rPr>
        <w:t>（指定地点） 与我方签订施工承包合同</w:t>
      </w:r>
      <w:r>
        <w:rPr>
          <w:color w:val="auto"/>
          <w:spacing w:val="-118"/>
          <w:highlight w:val="none"/>
        </w:rPr>
        <w:t>，</w:t>
      </w:r>
      <w:r>
        <w:rPr>
          <w:color w:val="auto"/>
          <w:highlight w:val="none"/>
        </w:rPr>
        <w:t>并按招标文件第二章</w:t>
      </w:r>
      <w:r>
        <w:rPr>
          <w:rFonts w:ascii="Times New Roman" w:hAnsi="Times New Roman" w:eastAsia="Times New Roman"/>
          <w:color w:val="auto"/>
          <w:highlight w:val="none"/>
        </w:rPr>
        <w:t>“</w:t>
      </w:r>
      <w:r>
        <w:rPr>
          <w:color w:val="auto"/>
          <w:highlight w:val="none"/>
        </w:rPr>
        <w:t>投标人须知</w:t>
      </w:r>
      <w:r>
        <w:rPr>
          <w:rFonts w:ascii="Times New Roman" w:hAnsi="Times New Roman" w:eastAsia="Times New Roman"/>
          <w:color w:val="auto"/>
          <w:highlight w:val="none"/>
        </w:rPr>
        <w:t>”</w:t>
      </w:r>
      <w:r>
        <w:rPr>
          <w:color w:val="auto"/>
          <w:highlight w:val="none"/>
        </w:rPr>
        <w:t>第</w:t>
      </w:r>
      <w:r>
        <w:rPr>
          <w:rFonts w:ascii="Times New Roman" w:hAnsi="Times New Roman" w:eastAsia="Times New Roman"/>
          <w:color w:val="auto"/>
          <w:highlight w:val="none"/>
        </w:rPr>
        <w:t xml:space="preserve">7.7 </w:t>
      </w:r>
      <w:r>
        <w:rPr>
          <w:color w:val="auto"/>
          <w:highlight w:val="none"/>
        </w:rPr>
        <w:t>款规定向我方提交履约保证金。</w:t>
      </w:r>
    </w:p>
    <w:p>
      <w:pPr>
        <w:pStyle w:val="20"/>
        <w:ind w:left="424"/>
        <w:rPr>
          <w:color w:val="auto"/>
          <w:highlight w:val="none"/>
        </w:rPr>
      </w:pPr>
      <w:r>
        <w:rPr>
          <w:color w:val="auto"/>
          <w:highlight w:val="none"/>
        </w:rPr>
        <w:t xml:space="preserve">    特此通知。</w:t>
      </w:r>
    </w:p>
    <w:p>
      <w:pPr>
        <w:pStyle w:val="20"/>
        <w:rPr>
          <w:color w:val="auto"/>
          <w:highlight w:val="none"/>
        </w:rPr>
      </w:pPr>
    </w:p>
    <w:p>
      <w:pPr>
        <w:pStyle w:val="20"/>
        <w:rPr>
          <w:color w:val="auto"/>
          <w:highlight w:val="none"/>
        </w:rPr>
      </w:pPr>
    </w:p>
    <w:p>
      <w:pPr>
        <w:pStyle w:val="20"/>
        <w:rPr>
          <w:color w:val="auto"/>
          <w:highlight w:val="none"/>
        </w:rPr>
      </w:pPr>
    </w:p>
    <w:p>
      <w:pPr>
        <w:pStyle w:val="20"/>
        <w:tabs>
          <w:tab w:val="left" w:pos="7726"/>
        </w:tabs>
        <w:spacing w:before="215" w:line="468" w:lineRule="auto"/>
        <w:ind w:left="4125" w:right="317"/>
        <w:rPr>
          <w:color w:val="auto"/>
          <w:highlight w:val="none"/>
        </w:rPr>
      </w:pPr>
      <w:r>
        <w:rPr>
          <w:color w:val="auto"/>
          <w:highlight w:val="none"/>
        </w:rPr>
        <w:t>招标人：</w:t>
      </w:r>
      <w:r>
        <w:rPr>
          <w:color w:val="auto"/>
          <w:highlight w:val="none"/>
          <w:u w:val="single"/>
        </w:rPr>
        <w:tab/>
      </w:r>
      <w:r>
        <w:rPr>
          <w:color w:val="auto"/>
          <w:highlight w:val="none"/>
        </w:rPr>
        <w:t>（盖单位章） 招标代理机构：</w:t>
      </w:r>
      <w:r>
        <w:rPr>
          <w:color w:val="auto"/>
          <w:highlight w:val="none"/>
          <w:u w:val="single"/>
        </w:rPr>
        <w:tab/>
      </w:r>
      <w:r>
        <w:rPr>
          <w:color w:val="auto"/>
          <w:highlight w:val="none"/>
        </w:rPr>
        <w:t>（盖单位章）</w:t>
      </w:r>
    </w:p>
    <w:p>
      <w:pPr>
        <w:pStyle w:val="20"/>
        <w:tabs>
          <w:tab w:val="left" w:pos="6161"/>
          <w:tab w:val="left" w:pos="6881"/>
          <w:tab w:val="left" w:pos="7601"/>
        </w:tabs>
        <w:spacing w:before="1"/>
        <w:ind w:left="5201"/>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rPr>
          <w:color w:val="auto"/>
          <w:highlight w:val="none"/>
        </w:rPr>
        <w:sectPr>
          <w:pgSz w:w="11910" w:h="16850"/>
          <w:pgMar w:top="1418" w:right="1191" w:bottom="1418" w:left="1191" w:header="876" w:footer="853" w:gutter="0"/>
          <w:cols w:space="720" w:num="1"/>
        </w:sectPr>
      </w:pPr>
    </w:p>
    <w:p>
      <w:pPr>
        <w:pStyle w:val="20"/>
        <w:rPr>
          <w:color w:val="auto"/>
          <w:sz w:val="20"/>
          <w:highlight w:val="none"/>
        </w:rPr>
      </w:pPr>
    </w:p>
    <w:p>
      <w:pPr>
        <w:pStyle w:val="20"/>
        <w:spacing w:before="7"/>
        <w:rPr>
          <w:color w:val="auto"/>
          <w:sz w:val="17"/>
          <w:highlight w:val="none"/>
        </w:rPr>
      </w:pPr>
    </w:p>
    <w:p>
      <w:pPr>
        <w:rPr>
          <w:color w:val="auto"/>
          <w:sz w:val="17"/>
          <w:highlight w:val="none"/>
        </w:rPr>
        <w:sectPr>
          <w:pgSz w:w="11910" w:h="16850"/>
          <w:pgMar w:top="1418" w:right="1191" w:bottom="1418" w:left="1191" w:header="883" w:footer="884" w:gutter="0"/>
          <w:cols w:space="720" w:num="1"/>
        </w:sectPr>
      </w:pPr>
    </w:p>
    <w:p>
      <w:pPr>
        <w:pStyle w:val="20"/>
        <w:spacing w:before="66"/>
        <w:ind w:left="424"/>
        <w:rPr>
          <w:rFonts w:ascii="黑体" w:eastAsia="黑体"/>
          <w:color w:val="auto"/>
          <w:highlight w:val="none"/>
        </w:rPr>
      </w:pPr>
      <w:bookmarkStart w:id="397" w:name="_bookmark91"/>
      <w:bookmarkEnd w:id="397"/>
      <w:r>
        <w:rPr>
          <w:rFonts w:hint="eastAsia" w:ascii="黑体" w:eastAsia="黑体"/>
          <w:color w:val="auto"/>
          <w:highlight w:val="none"/>
        </w:rPr>
        <w:t>附件五 中标结果通知书</w:t>
      </w:r>
    </w:p>
    <w:p>
      <w:pPr>
        <w:pStyle w:val="20"/>
        <w:spacing w:before="2"/>
        <w:rPr>
          <w:rFonts w:ascii="黑体"/>
          <w:color w:val="auto"/>
          <w:sz w:val="35"/>
          <w:highlight w:val="none"/>
        </w:rPr>
      </w:pPr>
      <w:r>
        <w:rPr>
          <w:color w:val="auto"/>
          <w:highlight w:val="none"/>
        </w:rPr>
        <w:br w:type="column"/>
      </w:r>
    </w:p>
    <w:p>
      <w:pPr>
        <w:ind w:left="424"/>
        <w:rPr>
          <w:rFonts w:ascii="黑体" w:eastAsia="黑体"/>
          <w:color w:val="auto"/>
          <w:sz w:val="28"/>
          <w:highlight w:val="none"/>
        </w:rPr>
      </w:pPr>
      <w:r>
        <w:rPr>
          <w:rFonts w:hint="eastAsia" w:ascii="黑体" w:eastAsia="黑体"/>
          <w:color w:val="auto"/>
          <w:sz w:val="28"/>
          <w:highlight w:val="none"/>
        </w:rPr>
        <w:t>中标结果通知书</w:t>
      </w:r>
    </w:p>
    <w:p>
      <w:pPr>
        <w:rPr>
          <w:rFonts w:ascii="黑体" w:eastAsia="黑体"/>
          <w:color w:val="auto"/>
          <w:sz w:val="28"/>
          <w:highlight w:val="none"/>
        </w:rPr>
        <w:sectPr>
          <w:type w:val="continuous"/>
          <w:pgSz w:w="11910" w:h="16850"/>
          <w:pgMar w:top="1418" w:right="1191" w:bottom="1418" w:left="1191" w:header="720" w:footer="720" w:gutter="0"/>
          <w:cols w:equalWidth="0" w:num="2">
            <w:col w:w="3014" w:space="373"/>
            <w:col w:w="6141"/>
          </w:cols>
        </w:sectPr>
      </w:pPr>
    </w:p>
    <w:p>
      <w:pPr>
        <w:pStyle w:val="20"/>
        <w:rPr>
          <w:rFonts w:ascii="黑体"/>
          <w:color w:val="auto"/>
          <w:sz w:val="20"/>
          <w:highlight w:val="none"/>
        </w:rPr>
      </w:pPr>
    </w:p>
    <w:p>
      <w:pPr>
        <w:pStyle w:val="20"/>
        <w:spacing w:before="12"/>
        <w:rPr>
          <w:rFonts w:ascii="黑体"/>
          <w:color w:val="auto"/>
          <w:sz w:val="17"/>
          <w:highlight w:val="none"/>
        </w:rPr>
      </w:pPr>
    </w:p>
    <w:p>
      <w:pPr>
        <w:pStyle w:val="20"/>
        <w:tabs>
          <w:tab w:val="left" w:pos="2704"/>
        </w:tabs>
        <w:spacing w:before="74"/>
        <w:ind w:left="544"/>
        <w:rPr>
          <w:color w:val="auto"/>
          <w:highlight w:val="none"/>
        </w:rPr>
      </w:pPr>
      <w:r>
        <w:rPr>
          <w:rFonts w:ascii="Times New Roman" w:eastAsia="Times New Roman"/>
          <w:color w:val="auto"/>
          <w:highlight w:val="none"/>
          <w:u w:val="single"/>
        </w:rPr>
        <w:tab/>
      </w:r>
      <w:r>
        <w:rPr>
          <w:color w:val="auto"/>
          <w:highlight w:val="none"/>
        </w:rPr>
        <w:t>（未中标人名称</w:t>
      </w:r>
      <w:r>
        <w:rPr>
          <w:color w:val="auto"/>
          <w:spacing w:val="-120"/>
          <w:highlight w:val="none"/>
        </w:rPr>
        <w:t>）</w:t>
      </w:r>
      <w:r>
        <w:rPr>
          <w:color w:val="auto"/>
          <w:highlight w:val="none"/>
        </w:rPr>
        <w:t>：</w:t>
      </w:r>
    </w:p>
    <w:p>
      <w:pPr>
        <w:pStyle w:val="20"/>
        <w:rPr>
          <w:color w:val="auto"/>
          <w:sz w:val="26"/>
          <w:highlight w:val="none"/>
        </w:rPr>
      </w:pPr>
    </w:p>
    <w:p>
      <w:pPr>
        <w:pStyle w:val="20"/>
        <w:spacing w:before="9"/>
        <w:rPr>
          <w:color w:val="auto"/>
          <w:sz w:val="18"/>
          <w:highlight w:val="none"/>
        </w:rPr>
      </w:pPr>
    </w:p>
    <w:p>
      <w:pPr>
        <w:pStyle w:val="20"/>
        <w:tabs>
          <w:tab w:val="left" w:pos="2142"/>
          <w:tab w:val="left" w:pos="4319"/>
          <w:tab w:val="left" w:pos="7440"/>
          <w:tab w:val="left" w:pos="8619"/>
        </w:tabs>
        <w:spacing w:before="1" w:line="343" w:lineRule="auto"/>
        <w:ind w:left="424" w:right="384"/>
        <w:jc w:val="both"/>
        <w:rPr>
          <w:color w:val="auto"/>
          <w:highlight w:val="none"/>
        </w:rPr>
      </w:pPr>
      <w:r>
        <w:rPr>
          <w:color w:val="auto"/>
          <w:highlight w:val="none"/>
        </w:rPr>
        <w:t>我方已接受</w:t>
      </w:r>
      <w:r>
        <w:rPr>
          <w:color w:val="auto"/>
          <w:highlight w:val="none"/>
          <w:u w:val="single"/>
        </w:rPr>
        <w:tab/>
      </w:r>
      <w:r>
        <w:rPr>
          <w:color w:val="auto"/>
          <w:highlight w:val="none"/>
          <w:u w:val="single"/>
        </w:rPr>
        <w:tab/>
      </w:r>
      <w:r>
        <w:rPr>
          <w:color w:val="auto"/>
          <w:highlight w:val="none"/>
        </w:rPr>
        <w:t>（中标人名称</w:t>
      </w:r>
      <w:r>
        <w:rPr>
          <w:color w:val="auto"/>
          <w:spacing w:val="-22"/>
          <w:highlight w:val="none"/>
        </w:rPr>
        <w:t>）</w:t>
      </w:r>
      <w:r>
        <w:rPr>
          <w:color w:val="auto"/>
          <w:highlight w:val="none"/>
        </w:rPr>
        <w:t>于</w:t>
      </w:r>
      <w:r>
        <w:rPr>
          <w:color w:val="auto"/>
          <w:highlight w:val="none"/>
          <w:u w:val="single"/>
        </w:rPr>
        <w:tab/>
      </w:r>
      <w:r>
        <w:rPr>
          <w:color w:val="auto"/>
          <w:highlight w:val="none"/>
        </w:rPr>
        <w:t>（投标日期</w:t>
      </w:r>
      <w:r>
        <w:rPr>
          <w:color w:val="auto"/>
          <w:spacing w:val="-22"/>
          <w:highlight w:val="none"/>
        </w:rPr>
        <w:t>）</w:t>
      </w:r>
      <w:r>
        <w:rPr>
          <w:color w:val="auto"/>
          <w:highlight w:val="none"/>
        </w:rPr>
        <w:t>所递交的</w:t>
      </w:r>
      <w:r>
        <w:rPr>
          <w:color w:val="auto"/>
          <w:highlight w:val="none"/>
          <w:u w:val="single"/>
        </w:rPr>
        <w:tab/>
      </w:r>
      <w:r>
        <w:rPr>
          <w:color w:val="auto"/>
          <w:highlight w:val="none"/>
          <w:u w:val="single"/>
        </w:rPr>
        <w:t>（</w:t>
      </w:r>
      <w:r>
        <w:rPr>
          <w:color w:val="auto"/>
          <w:highlight w:val="none"/>
        </w:rPr>
        <w:t>项目名称）标段施工投标文件</w:t>
      </w:r>
      <w:r>
        <w:rPr>
          <w:color w:val="auto"/>
          <w:spacing w:val="-82"/>
          <w:highlight w:val="none"/>
        </w:rPr>
        <w:t>，</w:t>
      </w:r>
      <w:r>
        <w:rPr>
          <w:color w:val="auto"/>
          <w:highlight w:val="none"/>
        </w:rPr>
        <w:t>确定</w:t>
      </w:r>
      <w:r>
        <w:rPr>
          <w:color w:val="auto"/>
          <w:highlight w:val="none"/>
          <w:u w:val="single"/>
        </w:rPr>
        <w:tab/>
      </w:r>
      <w:r>
        <w:rPr>
          <w:color w:val="auto"/>
          <w:highlight w:val="none"/>
          <w:u w:val="single"/>
        </w:rPr>
        <w:tab/>
      </w:r>
      <w:r>
        <w:rPr>
          <w:color w:val="auto"/>
          <w:highlight w:val="none"/>
        </w:rPr>
        <w:t>（中标人名称）为中标人。</w:t>
      </w:r>
    </w:p>
    <w:p>
      <w:pPr>
        <w:pStyle w:val="20"/>
        <w:spacing w:before="1"/>
        <w:ind w:left="424"/>
        <w:rPr>
          <w:color w:val="auto"/>
          <w:highlight w:val="none"/>
        </w:rPr>
      </w:pPr>
    </w:p>
    <w:p>
      <w:pPr>
        <w:pStyle w:val="20"/>
        <w:spacing w:before="132"/>
        <w:ind w:left="424"/>
        <w:rPr>
          <w:color w:val="auto"/>
          <w:highlight w:val="none"/>
        </w:rPr>
      </w:pPr>
      <w:r>
        <w:rPr>
          <w:color w:val="auto"/>
          <w:highlight w:val="none"/>
        </w:rPr>
        <w:t xml:space="preserve">    感谢你单位对招标项目的参与！</w:t>
      </w: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spacing w:before="4"/>
        <w:rPr>
          <w:color w:val="auto"/>
          <w:sz w:val="31"/>
          <w:highlight w:val="none"/>
        </w:rPr>
      </w:pPr>
    </w:p>
    <w:p>
      <w:pPr>
        <w:pStyle w:val="20"/>
        <w:tabs>
          <w:tab w:val="left" w:pos="7726"/>
        </w:tabs>
        <w:spacing w:before="1" w:line="468" w:lineRule="auto"/>
        <w:ind w:left="4125" w:right="317"/>
        <w:rPr>
          <w:color w:val="auto"/>
          <w:highlight w:val="none"/>
        </w:rPr>
      </w:pPr>
      <w:r>
        <w:rPr>
          <w:color w:val="auto"/>
          <w:highlight w:val="none"/>
        </w:rPr>
        <w:t>招标人：</w:t>
      </w:r>
      <w:r>
        <w:rPr>
          <w:color w:val="auto"/>
          <w:highlight w:val="none"/>
          <w:u w:val="single"/>
        </w:rPr>
        <w:tab/>
      </w:r>
      <w:r>
        <w:rPr>
          <w:color w:val="auto"/>
          <w:highlight w:val="none"/>
        </w:rPr>
        <w:t>（盖单位章） 招标代理机构：</w:t>
      </w:r>
      <w:r>
        <w:rPr>
          <w:color w:val="auto"/>
          <w:highlight w:val="none"/>
          <w:u w:val="single"/>
        </w:rPr>
        <w:tab/>
      </w:r>
      <w:r>
        <w:rPr>
          <w:color w:val="auto"/>
          <w:highlight w:val="none"/>
        </w:rPr>
        <w:t>（盖单位章）</w:t>
      </w:r>
    </w:p>
    <w:p>
      <w:pPr>
        <w:pStyle w:val="20"/>
        <w:tabs>
          <w:tab w:val="left" w:pos="6425"/>
          <w:tab w:val="left" w:pos="7145"/>
          <w:tab w:val="left" w:pos="7865"/>
        </w:tabs>
        <w:ind w:left="5465"/>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rPr>
          <w:color w:val="auto"/>
          <w:highlight w:val="none"/>
        </w:rPr>
        <w:sectPr>
          <w:type w:val="continuous"/>
          <w:pgSz w:w="11910" w:h="16850"/>
          <w:pgMar w:top="1418" w:right="1191" w:bottom="1418" w:left="1191" w:header="720" w:footer="720" w:gutter="0"/>
          <w:cols w:space="720" w:num="1"/>
        </w:sectPr>
      </w:pPr>
    </w:p>
    <w:p>
      <w:pPr>
        <w:pStyle w:val="20"/>
        <w:spacing w:before="108"/>
        <w:ind w:left="424"/>
        <w:rPr>
          <w:rFonts w:ascii="黑体" w:eastAsia="黑体"/>
          <w:color w:val="auto"/>
          <w:highlight w:val="none"/>
        </w:rPr>
      </w:pPr>
      <w:bookmarkStart w:id="398" w:name="_bookmark92"/>
      <w:bookmarkEnd w:id="398"/>
      <w:r>
        <w:rPr>
          <w:rFonts w:hint="eastAsia" w:ascii="黑体" w:eastAsia="黑体"/>
          <w:color w:val="auto"/>
          <w:highlight w:val="none"/>
        </w:rPr>
        <w:t>附件六 确认通知</w:t>
      </w:r>
    </w:p>
    <w:p>
      <w:pPr>
        <w:pStyle w:val="20"/>
        <w:spacing w:before="3"/>
        <w:rPr>
          <w:rFonts w:ascii="黑体"/>
          <w:color w:val="auto"/>
          <w:sz w:val="38"/>
          <w:highlight w:val="none"/>
        </w:rPr>
      </w:pPr>
      <w:r>
        <w:rPr>
          <w:color w:val="auto"/>
          <w:highlight w:val="none"/>
        </w:rPr>
        <w:br w:type="column"/>
      </w:r>
    </w:p>
    <w:p>
      <w:pPr>
        <w:spacing w:before="1"/>
        <w:ind w:left="424"/>
        <w:rPr>
          <w:rFonts w:ascii="黑体" w:eastAsia="黑体"/>
          <w:color w:val="auto"/>
          <w:sz w:val="28"/>
          <w:highlight w:val="none"/>
        </w:rPr>
      </w:pPr>
      <w:r>
        <w:rPr>
          <w:rFonts w:hint="eastAsia" w:ascii="黑体" w:eastAsia="黑体"/>
          <w:color w:val="auto"/>
          <w:sz w:val="28"/>
          <w:highlight w:val="none"/>
        </w:rPr>
        <w:t>确 认 通 知</w:t>
      </w:r>
    </w:p>
    <w:p>
      <w:pPr>
        <w:rPr>
          <w:rFonts w:ascii="黑体" w:eastAsia="黑体"/>
          <w:color w:val="auto"/>
          <w:sz w:val="28"/>
          <w:highlight w:val="none"/>
        </w:rPr>
        <w:sectPr>
          <w:pgSz w:w="11910" w:h="16850"/>
          <w:pgMar w:top="1418" w:right="1191" w:bottom="1418" w:left="1191" w:header="876" w:footer="853" w:gutter="0"/>
          <w:cols w:equalWidth="0" w:num="2">
            <w:col w:w="2294" w:space="1302"/>
            <w:col w:w="5932"/>
          </w:cols>
        </w:sectPr>
      </w:pPr>
    </w:p>
    <w:p>
      <w:pPr>
        <w:pStyle w:val="20"/>
        <w:rPr>
          <w:rFonts w:ascii="黑体"/>
          <w:color w:val="auto"/>
          <w:sz w:val="20"/>
          <w:highlight w:val="none"/>
        </w:rPr>
      </w:pPr>
    </w:p>
    <w:p>
      <w:pPr>
        <w:pStyle w:val="20"/>
        <w:spacing w:before="1"/>
        <w:rPr>
          <w:rFonts w:ascii="黑体"/>
          <w:color w:val="auto"/>
          <w:sz w:val="18"/>
          <w:highlight w:val="none"/>
        </w:rPr>
      </w:pPr>
    </w:p>
    <w:p>
      <w:pPr>
        <w:pStyle w:val="20"/>
        <w:tabs>
          <w:tab w:val="left" w:pos="1864"/>
        </w:tabs>
        <w:spacing w:before="74"/>
        <w:ind w:left="424"/>
        <w:rPr>
          <w:color w:val="auto"/>
          <w:highlight w:val="none"/>
        </w:rPr>
      </w:pPr>
      <w:r>
        <w:rPr>
          <w:rFonts w:ascii="Times New Roman" w:eastAsia="Times New Roman"/>
          <w:color w:val="auto"/>
          <w:highlight w:val="none"/>
          <w:u w:val="single"/>
        </w:rPr>
        <w:tab/>
      </w:r>
      <w:r>
        <w:rPr>
          <w:color w:val="auto"/>
          <w:highlight w:val="none"/>
        </w:rPr>
        <w:t>（招标人名称</w:t>
      </w:r>
      <w:r>
        <w:rPr>
          <w:color w:val="auto"/>
          <w:spacing w:val="-120"/>
          <w:highlight w:val="none"/>
        </w:rPr>
        <w:t>）</w:t>
      </w:r>
      <w:r>
        <w:rPr>
          <w:color w:val="auto"/>
          <w:highlight w:val="none"/>
        </w:rPr>
        <w:t>：</w:t>
      </w:r>
    </w:p>
    <w:p>
      <w:pPr>
        <w:pStyle w:val="20"/>
        <w:rPr>
          <w:color w:val="auto"/>
          <w:sz w:val="20"/>
          <w:highlight w:val="none"/>
        </w:rPr>
      </w:pPr>
    </w:p>
    <w:p>
      <w:pPr>
        <w:pStyle w:val="20"/>
        <w:rPr>
          <w:color w:val="auto"/>
          <w:sz w:val="20"/>
          <w:highlight w:val="none"/>
        </w:rPr>
      </w:pPr>
    </w:p>
    <w:p>
      <w:pPr>
        <w:pStyle w:val="20"/>
        <w:spacing w:before="7"/>
        <w:rPr>
          <w:color w:val="auto"/>
          <w:sz w:val="18"/>
          <w:highlight w:val="none"/>
        </w:rPr>
      </w:pPr>
    </w:p>
    <w:p>
      <w:pPr>
        <w:pStyle w:val="20"/>
        <w:tabs>
          <w:tab w:val="left" w:pos="2471"/>
          <w:tab w:val="left" w:pos="6811"/>
        </w:tabs>
        <w:spacing w:line="422" w:lineRule="auto"/>
        <w:ind w:left="425" w:leftChars="193" w:right="380" w:firstLine="480" w:firstLineChars="200"/>
        <w:jc w:val="both"/>
        <w:rPr>
          <w:color w:val="auto"/>
          <w:highlight w:val="none"/>
        </w:rPr>
      </w:pPr>
      <w:r>
        <w:rPr>
          <w:color w:val="auto"/>
          <w:highlight w:val="none"/>
        </w:rPr>
        <w:t>你方于</w:t>
      </w:r>
      <w:r>
        <w:rPr>
          <w:color w:val="auto"/>
          <w:highlight w:val="none"/>
          <w:u w:val="single"/>
        </w:rPr>
        <w:tab/>
      </w:r>
      <w:r>
        <w:rPr>
          <w:color w:val="auto"/>
          <w:highlight w:val="none"/>
        </w:rPr>
        <w:t>年月日 发 出的</w:t>
      </w:r>
      <w:r>
        <w:rPr>
          <w:color w:val="auto"/>
          <w:highlight w:val="none"/>
          <w:u w:val="single"/>
        </w:rPr>
        <w:tab/>
      </w:r>
      <w:r>
        <w:rPr>
          <w:color w:val="auto"/>
          <w:highlight w:val="none"/>
        </w:rPr>
        <w:t>（项目名称）标</w:t>
      </w:r>
      <w:r>
        <w:rPr>
          <w:color w:val="auto"/>
          <w:spacing w:val="1"/>
          <w:highlight w:val="none"/>
        </w:rPr>
        <w:t>段施工招标关于招标</w:t>
      </w:r>
      <w:r>
        <w:rPr>
          <w:color w:val="auto"/>
          <w:highlight w:val="none"/>
        </w:rPr>
        <w:t>文</w:t>
      </w:r>
      <w:r>
        <w:rPr>
          <w:color w:val="auto"/>
          <w:spacing w:val="1"/>
          <w:highlight w:val="none"/>
        </w:rPr>
        <w:t>件澄</w:t>
      </w:r>
      <w:r>
        <w:rPr>
          <w:color w:val="auto"/>
          <w:spacing w:val="2"/>
          <w:highlight w:val="none"/>
        </w:rPr>
        <w:t>清</w:t>
      </w:r>
      <w:r>
        <w:rPr>
          <w:rFonts w:ascii="Times New Roman" w:eastAsia="Times New Roman"/>
          <w:color w:val="auto"/>
          <w:spacing w:val="1"/>
          <w:highlight w:val="none"/>
        </w:rPr>
        <w:t>/</w:t>
      </w:r>
      <w:r>
        <w:rPr>
          <w:color w:val="auto"/>
          <w:spacing w:val="1"/>
          <w:highlight w:val="none"/>
        </w:rPr>
        <w:t>修改的通知</w:t>
      </w:r>
      <w:r>
        <w:rPr>
          <w:color w:val="auto"/>
          <w:highlight w:val="none"/>
        </w:rPr>
        <w:t>（</w:t>
      </w:r>
      <w:r>
        <w:rPr>
          <w:color w:val="auto"/>
          <w:spacing w:val="1"/>
          <w:highlight w:val="none"/>
        </w:rPr>
        <w:t>第号补遗书，正</w:t>
      </w:r>
      <w:r>
        <w:rPr>
          <w:color w:val="auto"/>
          <w:highlight w:val="none"/>
        </w:rPr>
        <w:t>文</w:t>
      </w:r>
      <w:r>
        <w:rPr>
          <w:color w:val="auto"/>
          <w:spacing w:val="3"/>
          <w:highlight w:val="none"/>
        </w:rPr>
        <w:t>共</w:t>
      </w:r>
      <w:r>
        <w:rPr>
          <w:color w:val="auto"/>
          <w:spacing w:val="1"/>
          <w:highlight w:val="none"/>
        </w:rPr>
        <w:t>页</w:t>
      </w:r>
      <w:r>
        <w:rPr>
          <w:color w:val="auto"/>
          <w:spacing w:val="-118"/>
          <w:highlight w:val="none"/>
        </w:rPr>
        <w:t>）</w:t>
      </w:r>
      <w:r>
        <w:rPr>
          <w:color w:val="auto"/>
          <w:spacing w:val="1"/>
          <w:highlight w:val="none"/>
        </w:rPr>
        <w:t>，我</w:t>
      </w:r>
      <w:r>
        <w:rPr>
          <w:color w:val="auto"/>
          <w:highlight w:val="none"/>
        </w:rPr>
        <w:t>方已于年月日收到。</w:t>
      </w:r>
    </w:p>
    <w:p>
      <w:pPr>
        <w:pStyle w:val="20"/>
        <w:spacing w:line="305" w:lineRule="exact"/>
        <w:ind w:left="424"/>
        <w:jc w:val="both"/>
        <w:rPr>
          <w:color w:val="auto"/>
          <w:highlight w:val="none"/>
        </w:rPr>
      </w:pPr>
      <w:r>
        <w:rPr>
          <w:color w:val="auto"/>
          <w:highlight w:val="none"/>
        </w:rPr>
        <w:t xml:space="preserve">    特此确认。</w:t>
      </w: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sz w:val="19"/>
          <w:highlight w:val="none"/>
        </w:rPr>
      </w:pPr>
    </w:p>
    <w:p>
      <w:pPr>
        <w:pStyle w:val="20"/>
        <w:tabs>
          <w:tab w:val="left" w:pos="7625"/>
        </w:tabs>
        <w:ind w:left="4025"/>
        <w:rPr>
          <w:color w:val="auto"/>
          <w:highlight w:val="none"/>
        </w:rPr>
      </w:pPr>
      <w:r>
        <w:rPr>
          <w:color w:val="auto"/>
          <w:highlight w:val="none"/>
        </w:rPr>
        <w:t>投标人：</w:t>
      </w:r>
      <w:r>
        <w:rPr>
          <w:color w:val="auto"/>
          <w:highlight w:val="none"/>
          <w:u w:val="single"/>
        </w:rPr>
        <w:tab/>
      </w:r>
      <w:r>
        <w:rPr>
          <w:color w:val="auto"/>
          <w:highlight w:val="none"/>
        </w:rPr>
        <w:t>（盖单位章）</w:t>
      </w:r>
    </w:p>
    <w:p>
      <w:pPr>
        <w:pStyle w:val="20"/>
        <w:rPr>
          <w:color w:val="auto"/>
          <w:sz w:val="20"/>
          <w:highlight w:val="none"/>
        </w:rPr>
      </w:pPr>
    </w:p>
    <w:p>
      <w:pPr>
        <w:pStyle w:val="20"/>
        <w:spacing w:before="8"/>
        <w:rPr>
          <w:color w:val="auto"/>
          <w:sz w:val="19"/>
          <w:highlight w:val="none"/>
        </w:rPr>
      </w:pPr>
    </w:p>
    <w:p>
      <w:pPr>
        <w:pStyle w:val="20"/>
        <w:tabs>
          <w:tab w:val="left" w:pos="5945"/>
          <w:tab w:val="left" w:pos="6665"/>
          <w:tab w:val="left" w:pos="7385"/>
        </w:tabs>
        <w:spacing w:before="66"/>
        <w:ind w:left="4985"/>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rPr>
          <w:color w:val="auto"/>
          <w:highlight w:val="none"/>
        </w:rPr>
        <w:sectPr>
          <w:type w:val="continuous"/>
          <w:pgSz w:w="11910" w:h="16850"/>
          <w:pgMar w:top="1418" w:right="1191" w:bottom="1418" w:left="1191" w:header="720" w:footer="720" w:gutter="0"/>
          <w:cols w:space="720" w:num="1"/>
        </w:sect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spacing w:before="3"/>
        <w:rPr>
          <w:color w:val="auto"/>
          <w:sz w:val="15"/>
          <w:highlight w:val="none"/>
        </w:rPr>
      </w:pPr>
    </w:p>
    <w:p>
      <w:pPr>
        <w:tabs>
          <w:tab w:val="left" w:pos="4747"/>
        </w:tabs>
        <w:spacing w:before="21"/>
        <w:ind w:left="2507"/>
        <w:outlineLvl w:val="1"/>
        <w:rPr>
          <w:rFonts w:ascii="黑体" w:eastAsia="黑体"/>
          <w:color w:val="auto"/>
          <w:sz w:val="56"/>
          <w:highlight w:val="none"/>
        </w:rPr>
        <w:sectPr>
          <w:footerReference r:id="rId26" w:type="default"/>
          <w:pgSz w:w="11907" w:h="16840"/>
          <w:pgMar w:top="1418" w:right="1191" w:bottom="1418" w:left="1191" w:header="873" w:footer="851" w:gutter="0"/>
          <w:cols w:space="720" w:num="1"/>
        </w:sectPr>
      </w:pPr>
      <w:bookmarkStart w:id="399" w:name="_Toc27092"/>
      <w:bookmarkStart w:id="400" w:name="_Toc31498"/>
      <w:bookmarkStart w:id="401" w:name="_Toc22959"/>
      <w:bookmarkStart w:id="402" w:name="_Toc22815"/>
      <w:bookmarkStart w:id="403" w:name="_Toc32362"/>
      <w:bookmarkStart w:id="404" w:name="_Toc14834"/>
      <w:bookmarkStart w:id="405" w:name="_Toc4696"/>
      <w:bookmarkStart w:id="406" w:name="_Toc12650"/>
      <w:bookmarkStart w:id="407" w:name="_Toc11821"/>
      <w:bookmarkStart w:id="408" w:name="_Toc30541"/>
      <w:bookmarkStart w:id="409" w:name="_Toc18106"/>
      <w:bookmarkStart w:id="410" w:name="_Toc15382"/>
      <w:bookmarkStart w:id="411" w:name="_Toc7892"/>
      <w:bookmarkStart w:id="412" w:name="_Toc27284"/>
      <w:bookmarkStart w:id="413" w:name="_Toc28223"/>
      <w:bookmarkStart w:id="414" w:name="_Toc24333"/>
      <w:bookmarkStart w:id="415" w:name="_Toc11635"/>
      <w:bookmarkStart w:id="416" w:name="_Toc7474"/>
      <w:bookmarkStart w:id="417" w:name="_Toc22354"/>
      <w:bookmarkStart w:id="418" w:name="_Toc16424"/>
      <w:bookmarkStart w:id="419" w:name="_Toc11069"/>
      <w:bookmarkStart w:id="420" w:name="_Toc25525"/>
      <w:bookmarkStart w:id="421" w:name="_Toc3570"/>
      <w:bookmarkStart w:id="422" w:name="_Toc12301"/>
      <w:bookmarkStart w:id="423" w:name="_Toc30106"/>
      <w:bookmarkStart w:id="424" w:name="_Toc19510"/>
      <w:bookmarkStart w:id="425" w:name="_Toc12844"/>
      <w:bookmarkStart w:id="426" w:name="_Toc23560"/>
      <w:r>
        <w:rPr>
          <w:rFonts w:hint="eastAsia" w:ascii="黑体" w:eastAsia="黑体"/>
          <w:color w:val="auto"/>
          <w:sz w:val="56"/>
          <w:highlight w:val="none"/>
        </w:rPr>
        <w:t>第三章</w:t>
      </w:r>
      <w:r>
        <w:rPr>
          <w:rFonts w:hint="eastAsia" w:ascii="黑体" w:eastAsia="黑体"/>
          <w:color w:val="auto"/>
          <w:sz w:val="56"/>
          <w:highlight w:val="none"/>
        </w:rPr>
        <w:tab/>
      </w:r>
      <w:r>
        <w:rPr>
          <w:rFonts w:hint="eastAsia" w:ascii="黑体" w:eastAsia="黑体"/>
          <w:color w:val="auto"/>
          <w:sz w:val="56"/>
          <w:highlight w:val="none"/>
        </w:rPr>
        <w:t>评标办法</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Style w:val="20"/>
        <w:spacing w:before="11"/>
        <w:rPr>
          <w:color w:val="auto"/>
          <w:sz w:val="21"/>
          <w:highlight w:val="none"/>
        </w:rPr>
      </w:pPr>
      <w:bookmarkStart w:id="427" w:name="_bookmark93"/>
      <w:bookmarkEnd w:id="427"/>
      <w:bookmarkStart w:id="428" w:name="_bookmark108"/>
      <w:bookmarkEnd w:id="428"/>
    </w:p>
    <w:p>
      <w:pPr>
        <w:tabs>
          <w:tab w:val="left" w:pos="2128"/>
        </w:tabs>
        <w:spacing w:before="52"/>
        <w:ind w:left="441"/>
        <w:rPr>
          <w:rFonts w:ascii="黑体" w:hAnsi="黑体" w:eastAsia="黑体"/>
          <w:b/>
          <w:color w:val="auto"/>
          <w:sz w:val="21"/>
          <w:highlight w:val="none"/>
        </w:rPr>
      </w:pPr>
      <w:bookmarkStart w:id="429" w:name="_bookmark140"/>
      <w:bookmarkEnd w:id="429"/>
      <w:r>
        <w:rPr>
          <w:rFonts w:hint="eastAsia" w:ascii="黑体" w:hAnsi="黑体" w:eastAsia="黑体"/>
          <w:b/>
          <w:color w:val="auto"/>
          <w:sz w:val="42"/>
          <w:highlight w:val="none"/>
        </w:rPr>
        <w:t>第三章</w:t>
      </w:r>
      <w:r>
        <w:rPr>
          <w:rFonts w:hint="eastAsia" w:ascii="黑体" w:hAnsi="黑体" w:eastAsia="黑体"/>
          <w:b/>
          <w:color w:val="auto"/>
          <w:sz w:val="42"/>
          <w:highlight w:val="none"/>
        </w:rPr>
        <w:tab/>
      </w:r>
      <w:r>
        <w:rPr>
          <w:rFonts w:hint="eastAsia" w:ascii="黑体" w:hAnsi="黑体" w:eastAsia="黑体"/>
          <w:b/>
          <w:color w:val="auto"/>
          <w:sz w:val="42"/>
          <w:highlight w:val="none"/>
        </w:rPr>
        <w:t>评标办法（</w:t>
      </w:r>
      <w:r>
        <w:rPr>
          <w:rFonts w:ascii="黑体" w:hAnsi="黑体" w:eastAsia="黑体"/>
          <w:b/>
          <w:color w:val="auto"/>
          <w:sz w:val="42"/>
          <w:highlight w:val="none"/>
        </w:rPr>
        <w:t>技术评分最低标价法</w:t>
      </w:r>
      <w:r>
        <w:rPr>
          <w:rFonts w:hint="eastAsia" w:ascii="黑体" w:hAnsi="黑体" w:eastAsia="黑体"/>
          <w:b/>
          <w:color w:val="auto"/>
          <w:sz w:val="42"/>
          <w:highlight w:val="none"/>
        </w:rPr>
        <w:t>）</w:t>
      </w:r>
    </w:p>
    <w:p>
      <w:pPr>
        <w:pStyle w:val="20"/>
        <w:spacing w:before="4"/>
        <w:rPr>
          <w:rFonts w:ascii="黑体"/>
          <w:b/>
          <w:color w:val="auto"/>
          <w:sz w:val="39"/>
          <w:highlight w:val="none"/>
        </w:rPr>
      </w:pPr>
    </w:p>
    <w:p>
      <w:pPr>
        <w:ind w:left="424"/>
        <w:outlineLvl w:val="2"/>
        <w:rPr>
          <w:rFonts w:ascii="黑体" w:hAnsi="黑体" w:eastAsia="黑体"/>
          <w:b/>
          <w:color w:val="auto"/>
          <w:sz w:val="28"/>
          <w:highlight w:val="none"/>
        </w:rPr>
      </w:pPr>
      <w:bookmarkStart w:id="430" w:name="_bookmark141"/>
      <w:bookmarkEnd w:id="430"/>
      <w:bookmarkStart w:id="431" w:name="_Toc30986"/>
      <w:bookmarkStart w:id="432" w:name="_Toc14336"/>
      <w:bookmarkStart w:id="433" w:name="_Toc19520"/>
      <w:bookmarkStart w:id="434" w:name="_Toc22909"/>
      <w:bookmarkStart w:id="435" w:name="_Toc12548"/>
      <w:bookmarkStart w:id="436" w:name="_Toc20379"/>
      <w:bookmarkStart w:id="437" w:name="_Toc18109"/>
      <w:bookmarkStart w:id="438" w:name="_Toc20855"/>
      <w:bookmarkStart w:id="439" w:name="_Toc20248"/>
      <w:bookmarkStart w:id="440" w:name="_Toc3435"/>
      <w:bookmarkStart w:id="441" w:name="_Toc26224"/>
      <w:bookmarkStart w:id="442" w:name="_Toc14130"/>
      <w:bookmarkStart w:id="443" w:name="_Toc26768"/>
      <w:bookmarkStart w:id="444" w:name="_Toc421"/>
      <w:bookmarkStart w:id="445" w:name="_Toc9113"/>
      <w:bookmarkStart w:id="446" w:name="_Toc3556"/>
      <w:bookmarkStart w:id="447" w:name="_Toc19167"/>
      <w:r>
        <w:rPr>
          <w:rFonts w:hint="eastAsia" w:ascii="黑体" w:hAnsi="黑体" w:eastAsia="黑体"/>
          <w:b/>
          <w:color w:val="auto"/>
          <w:sz w:val="28"/>
          <w:highlight w:val="none"/>
        </w:rPr>
        <w:t>评标办法前附表</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bl>
      <w:tblPr>
        <w:tblStyle w:val="47"/>
        <w:tblW w:w="543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9"/>
        <w:gridCol w:w="1391"/>
        <w:gridCol w:w="8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exact"/>
          <w:jc w:val="center"/>
        </w:trPr>
        <w:tc>
          <w:tcPr>
            <w:tcW w:w="1131" w:type="pct"/>
            <w:gridSpan w:val="2"/>
            <w:tcBorders>
              <w:top w:val="single" w:color="auto" w:sz="4" w:space="0"/>
              <w:bottom w:val="single" w:color="auto" w:sz="4" w:space="0"/>
              <w:right w:val="single" w:color="auto" w:sz="4" w:space="0"/>
            </w:tcBorders>
            <w:vAlign w:val="center"/>
          </w:tcPr>
          <w:p>
            <w:pPr>
              <w:jc w:val="center"/>
              <w:rPr>
                <w:b/>
                <w:color w:val="auto"/>
                <w:szCs w:val="21"/>
                <w:highlight w:val="none"/>
              </w:rPr>
            </w:pPr>
            <w:r>
              <w:rPr>
                <w:b/>
                <w:color w:val="auto"/>
                <w:szCs w:val="21"/>
                <w:highlight w:val="none"/>
              </w:rPr>
              <w:t>条款号</w:t>
            </w:r>
          </w:p>
        </w:tc>
        <w:tc>
          <w:tcPr>
            <w:tcW w:w="3869" w:type="pct"/>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b/>
                <w:color w:val="auto"/>
                <w:szCs w:val="21"/>
                <w:highlight w:val="none"/>
              </w:rPr>
              <w:t>评审因素与标准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3" w:hRule="exact"/>
          <w:jc w:val="center"/>
        </w:trPr>
        <w:tc>
          <w:tcPr>
            <w:tcW w:w="476" w:type="pct"/>
            <w:tcBorders>
              <w:top w:val="single" w:color="auto" w:sz="4" w:space="0"/>
              <w:bottom w:val="single" w:color="auto" w:sz="4" w:space="0"/>
              <w:right w:val="single" w:color="auto" w:sz="4" w:space="0"/>
            </w:tcBorders>
            <w:vAlign w:val="center"/>
          </w:tcPr>
          <w:p>
            <w:pPr>
              <w:jc w:val="center"/>
              <w:rPr>
                <w:b/>
                <w:color w:val="auto"/>
                <w:szCs w:val="21"/>
                <w:highlight w:val="none"/>
              </w:rPr>
            </w:pPr>
            <w:r>
              <w:rPr>
                <w:b/>
                <w:color w:val="auto"/>
                <w:szCs w:val="21"/>
                <w:highlight w:val="none"/>
              </w:rPr>
              <w:t>1</w:t>
            </w:r>
          </w:p>
        </w:tc>
        <w:tc>
          <w:tcPr>
            <w:tcW w:w="656" w:type="pct"/>
            <w:tcBorders>
              <w:top w:val="single" w:color="auto" w:sz="4" w:space="0"/>
              <w:bottom w:val="single" w:color="auto" w:sz="4" w:space="0"/>
              <w:right w:val="single" w:color="auto" w:sz="4" w:space="0"/>
            </w:tcBorders>
            <w:vAlign w:val="center"/>
          </w:tcPr>
          <w:p>
            <w:pPr>
              <w:snapToGrid w:val="0"/>
              <w:spacing w:line="360" w:lineRule="auto"/>
              <w:jc w:val="center"/>
              <w:rPr>
                <w:color w:val="auto"/>
                <w:szCs w:val="21"/>
                <w:highlight w:val="none"/>
              </w:rPr>
            </w:pPr>
            <w:r>
              <w:rPr>
                <w:rFonts w:hint="eastAsia"/>
                <w:color w:val="auto"/>
                <w:szCs w:val="21"/>
                <w:highlight w:val="none"/>
              </w:rPr>
              <w:t>评标办法</w:t>
            </w:r>
          </w:p>
        </w:tc>
        <w:tc>
          <w:tcPr>
            <w:tcW w:w="3869" w:type="pct"/>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r>
              <w:rPr>
                <w:rFonts w:hint="eastAsia"/>
                <w:color w:val="auto"/>
                <w:szCs w:val="21"/>
                <w:highlight w:val="none"/>
              </w:rPr>
              <w:t>若出现最低评标价相同时，评标委员会将详细评审相同评标价的投标人文件，确认无雷同后，则以第一信封得分高者优先；若第一信封得分也相同，则依次以企业业绩、项目管理机构、履约信誉、施工组织设计各单项得分由高至低的顺序进行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1" w:hRule="exact"/>
          <w:jc w:val="center"/>
        </w:trPr>
        <w:tc>
          <w:tcPr>
            <w:tcW w:w="476" w:type="pct"/>
            <w:tcBorders>
              <w:top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2.1.1</w:t>
            </w:r>
          </w:p>
          <w:p>
            <w:pPr>
              <w:jc w:val="center"/>
              <w:rPr>
                <w:color w:val="auto"/>
                <w:szCs w:val="21"/>
                <w:highlight w:val="none"/>
              </w:rPr>
            </w:pPr>
            <w:r>
              <w:rPr>
                <w:color w:val="auto"/>
                <w:szCs w:val="21"/>
                <w:highlight w:val="none"/>
              </w:rPr>
              <w:t>2.1.3</w:t>
            </w:r>
          </w:p>
        </w:tc>
        <w:tc>
          <w:tcPr>
            <w:tcW w:w="656" w:type="pct"/>
            <w:tcBorders>
              <w:top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形式评审与响应性评审标准</w:t>
            </w:r>
          </w:p>
        </w:tc>
        <w:tc>
          <w:tcPr>
            <w:tcW w:w="386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331" w:firstLineChars="150"/>
              <w:rPr>
                <w:color w:val="auto"/>
                <w:szCs w:val="21"/>
                <w:highlight w:val="none"/>
              </w:rPr>
            </w:pPr>
            <w:r>
              <w:rPr>
                <w:b/>
                <w:color w:val="auto"/>
                <w:szCs w:val="21"/>
                <w:highlight w:val="none"/>
              </w:rPr>
              <w:t>第一个信封（商务及技术文件）评审标准：</w:t>
            </w:r>
          </w:p>
          <w:p>
            <w:pPr>
              <w:adjustRightInd w:val="0"/>
              <w:snapToGrid w:val="0"/>
              <w:spacing w:line="300" w:lineRule="auto"/>
              <w:ind w:firstLine="330" w:firstLineChars="150"/>
              <w:rPr>
                <w:color w:val="auto"/>
                <w:szCs w:val="21"/>
                <w:highlight w:val="none"/>
              </w:rPr>
            </w:pPr>
            <w:r>
              <w:rPr>
                <w:rFonts w:hint="eastAsia"/>
                <w:color w:val="auto"/>
                <w:szCs w:val="21"/>
                <w:highlight w:val="none"/>
              </w:rPr>
              <w:t>（1）投标文件按照招标文件规定的格式、内容填写，字迹清晰可辩；</w:t>
            </w:r>
          </w:p>
          <w:p>
            <w:pPr>
              <w:adjustRightInd w:val="0"/>
              <w:snapToGrid w:val="0"/>
              <w:spacing w:line="300" w:lineRule="auto"/>
              <w:ind w:firstLine="440" w:firstLineChars="200"/>
              <w:rPr>
                <w:color w:val="auto"/>
                <w:szCs w:val="21"/>
                <w:highlight w:val="none"/>
              </w:rPr>
            </w:pPr>
            <w:r>
              <w:rPr>
                <w:rFonts w:hint="eastAsia"/>
                <w:color w:val="auto"/>
                <w:szCs w:val="21"/>
                <w:highlight w:val="none"/>
              </w:rPr>
              <w:t>a. 投标函按招标文件规定填报了项目名称、标段号、补遗书编号（如</w:t>
            </w:r>
          </w:p>
          <w:p>
            <w:pPr>
              <w:adjustRightInd w:val="0"/>
              <w:snapToGrid w:val="0"/>
              <w:spacing w:line="300" w:lineRule="auto"/>
              <w:rPr>
                <w:color w:val="auto"/>
                <w:szCs w:val="21"/>
                <w:highlight w:val="none"/>
              </w:rPr>
            </w:pPr>
            <w:r>
              <w:rPr>
                <w:rFonts w:hint="eastAsia"/>
                <w:color w:val="auto"/>
                <w:szCs w:val="21"/>
                <w:highlight w:val="none"/>
              </w:rPr>
              <w:t>有）、工期、工程质量要求及安全目标；</w:t>
            </w:r>
          </w:p>
          <w:p>
            <w:pPr>
              <w:adjustRightInd w:val="0"/>
              <w:snapToGrid w:val="0"/>
              <w:spacing w:line="300" w:lineRule="auto"/>
              <w:ind w:firstLine="440" w:firstLineChars="200"/>
              <w:rPr>
                <w:color w:val="auto"/>
                <w:szCs w:val="21"/>
                <w:highlight w:val="none"/>
              </w:rPr>
            </w:pPr>
            <w:r>
              <w:rPr>
                <w:rFonts w:hint="eastAsia"/>
                <w:color w:val="auto"/>
                <w:szCs w:val="21"/>
                <w:highlight w:val="none"/>
              </w:rPr>
              <w:t>b.投标函附录的所有数据均符合招标文件规定；</w:t>
            </w:r>
          </w:p>
          <w:p>
            <w:pPr>
              <w:adjustRightInd w:val="0"/>
              <w:snapToGrid w:val="0"/>
              <w:spacing w:line="300" w:lineRule="auto"/>
              <w:ind w:firstLine="440" w:firstLineChars="200"/>
              <w:rPr>
                <w:color w:val="auto"/>
                <w:szCs w:val="21"/>
                <w:highlight w:val="none"/>
              </w:rPr>
            </w:pPr>
            <w:r>
              <w:rPr>
                <w:rFonts w:hint="eastAsia"/>
                <w:color w:val="auto"/>
                <w:szCs w:val="21"/>
                <w:highlight w:val="none"/>
              </w:rPr>
              <w:t>c.投标文件组成齐全完整，内容均按规定填写。</w:t>
            </w:r>
          </w:p>
          <w:p>
            <w:pPr>
              <w:adjustRightInd w:val="0"/>
              <w:snapToGrid w:val="0"/>
              <w:spacing w:line="300" w:lineRule="auto"/>
              <w:ind w:firstLine="330" w:firstLineChars="150"/>
              <w:rPr>
                <w:color w:val="auto"/>
                <w:szCs w:val="21"/>
                <w:highlight w:val="none"/>
              </w:rPr>
            </w:pPr>
            <w:r>
              <w:rPr>
                <w:rFonts w:hint="eastAsia"/>
                <w:color w:val="auto"/>
                <w:szCs w:val="21"/>
                <w:highlight w:val="none"/>
              </w:rPr>
              <w:t xml:space="preserve">（2）投标文件上法定代表人或其授权代理人的签字、投标人的单位章盖章齐全，符合招标文件规定； </w:t>
            </w:r>
          </w:p>
          <w:p>
            <w:pPr>
              <w:adjustRightInd w:val="0"/>
              <w:snapToGrid w:val="0"/>
              <w:spacing w:line="300" w:lineRule="auto"/>
              <w:ind w:firstLine="330" w:firstLineChars="150"/>
              <w:rPr>
                <w:color w:val="auto"/>
                <w:szCs w:val="21"/>
                <w:highlight w:val="none"/>
              </w:rPr>
            </w:pPr>
            <w:r>
              <w:rPr>
                <w:rFonts w:hint="eastAsia"/>
                <w:color w:val="auto"/>
                <w:szCs w:val="21"/>
                <w:highlight w:val="none"/>
              </w:rPr>
              <w:t>（3）</w:t>
            </w:r>
            <w:r>
              <w:rPr>
                <w:color w:val="auto"/>
                <w:szCs w:val="21"/>
                <w:highlight w:val="none"/>
              </w:rPr>
              <w:t>投标人按照招标文件规定提供了投标</w:t>
            </w:r>
            <w:r>
              <w:rPr>
                <w:rFonts w:hint="eastAsia"/>
                <w:color w:val="auto"/>
                <w:szCs w:val="21"/>
                <w:highlight w:val="none"/>
              </w:rPr>
              <w:t>保证金</w:t>
            </w:r>
            <w:r>
              <w:rPr>
                <w:color w:val="auto"/>
                <w:szCs w:val="21"/>
                <w:highlight w:val="none"/>
              </w:rPr>
              <w:t>：</w:t>
            </w:r>
          </w:p>
          <w:p>
            <w:pPr>
              <w:adjustRightInd w:val="0"/>
              <w:snapToGrid w:val="0"/>
              <w:spacing w:line="300" w:lineRule="auto"/>
              <w:ind w:firstLine="440" w:firstLineChars="200"/>
              <w:rPr>
                <w:color w:val="auto"/>
                <w:szCs w:val="21"/>
                <w:highlight w:val="none"/>
              </w:rPr>
            </w:pPr>
            <w:r>
              <w:rPr>
                <w:rFonts w:hint="eastAsia"/>
                <w:color w:val="auto"/>
                <w:szCs w:val="21"/>
                <w:highlight w:val="none"/>
              </w:rPr>
              <w:t>a.</w:t>
            </w:r>
            <w:r>
              <w:rPr>
                <w:color w:val="auto"/>
                <w:szCs w:val="21"/>
                <w:highlight w:val="none"/>
              </w:rPr>
              <w:t>投标保证金金额符合招标文件规定的金额，且投标保证金有效期不少于投标有效期；</w:t>
            </w:r>
          </w:p>
          <w:p>
            <w:pPr>
              <w:adjustRightInd w:val="0"/>
              <w:snapToGrid w:val="0"/>
              <w:spacing w:line="300" w:lineRule="auto"/>
              <w:ind w:left="57" w:leftChars="26" w:right="123" w:rightChars="56" w:firstLine="440" w:firstLineChars="200"/>
              <w:rPr>
                <w:color w:val="auto"/>
                <w:szCs w:val="21"/>
                <w:highlight w:val="none"/>
              </w:rPr>
            </w:pPr>
            <w:r>
              <w:rPr>
                <w:rFonts w:hint="eastAsia"/>
                <w:color w:val="auto"/>
                <w:szCs w:val="21"/>
                <w:highlight w:val="none"/>
              </w:rPr>
              <w:t>b.若投标保证金采用现金或支票形式提交，投标人应在递交投标文件截止时间之前，将投标保证金由投标人的基本账户转入招标人指定账户；</w:t>
            </w:r>
          </w:p>
          <w:p>
            <w:pPr>
              <w:adjustRightInd w:val="0"/>
              <w:snapToGrid w:val="0"/>
              <w:spacing w:line="300" w:lineRule="auto"/>
              <w:ind w:left="57" w:leftChars="26" w:right="123" w:rightChars="56" w:firstLine="440" w:firstLineChars="200"/>
              <w:rPr>
                <w:color w:val="auto"/>
                <w:szCs w:val="21"/>
                <w:highlight w:val="none"/>
              </w:rPr>
            </w:pPr>
            <w:r>
              <w:rPr>
                <w:rFonts w:hint="eastAsia"/>
                <w:color w:val="auto"/>
                <w:szCs w:val="21"/>
                <w:highlight w:val="none"/>
              </w:rPr>
              <w:t>c. 若</w:t>
            </w:r>
            <w:r>
              <w:rPr>
                <w:color w:val="auto"/>
                <w:szCs w:val="21"/>
                <w:highlight w:val="none"/>
              </w:rPr>
              <w:t>投标保证金采用银行保函形式</w:t>
            </w:r>
            <w:r>
              <w:rPr>
                <w:rFonts w:hint="eastAsia"/>
                <w:color w:val="auto"/>
                <w:szCs w:val="21"/>
                <w:highlight w:val="none"/>
              </w:rPr>
              <w:t>提交</w:t>
            </w:r>
            <w:r>
              <w:rPr>
                <w:color w:val="auto"/>
                <w:szCs w:val="21"/>
                <w:highlight w:val="none"/>
              </w:rPr>
              <w:t>，银行保函的格式、开具保函的银行均满足招标文件要求</w:t>
            </w:r>
            <w:r>
              <w:rPr>
                <w:rFonts w:hint="eastAsia"/>
                <w:color w:val="auto"/>
                <w:szCs w:val="21"/>
                <w:highlight w:val="none"/>
              </w:rPr>
              <w:t>,</w:t>
            </w:r>
            <w:r>
              <w:rPr>
                <w:color w:val="auto"/>
                <w:szCs w:val="21"/>
                <w:highlight w:val="none"/>
              </w:rPr>
              <w:t>且在递交投标文件截止时间之前向招标人提交了银行保函原件。</w:t>
            </w:r>
          </w:p>
          <w:p>
            <w:pPr>
              <w:adjustRightInd w:val="0"/>
              <w:snapToGrid w:val="0"/>
              <w:spacing w:line="300" w:lineRule="auto"/>
              <w:ind w:left="57" w:leftChars="26" w:right="123" w:rightChars="56" w:firstLine="440" w:firstLineChars="200"/>
              <w:rPr>
                <w:color w:val="auto"/>
                <w:szCs w:val="21"/>
                <w:highlight w:val="none"/>
              </w:rPr>
            </w:pPr>
            <w:r>
              <w:rPr>
                <w:color w:val="auto"/>
                <w:szCs w:val="21"/>
                <w:highlight w:val="none"/>
              </w:rPr>
              <w:t>（4）</w:t>
            </w:r>
            <w:r>
              <w:rPr>
                <w:rFonts w:hint="eastAsia"/>
                <w:color w:val="auto"/>
                <w:szCs w:val="21"/>
                <w:highlight w:val="none"/>
              </w:rPr>
              <w:t>投标人法定代表人授权委托代理人签署投标文件的，需提交授权委托书，且授权人和被授权人均在授权委托书上签名，未使用印章、签名章或其他电子制版签名代替。</w:t>
            </w:r>
          </w:p>
          <w:p>
            <w:pPr>
              <w:adjustRightInd w:val="0"/>
              <w:snapToGrid w:val="0"/>
              <w:spacing w:line="300" w:lineRule="auto"/>
              <w:ind w:firstLine="440" w:firstLineChars="200"/>
              <w:rPr>
                <w:color w:val="auto"/>
                <w:szCs w:val="21"/>
                <w:highlight w:val="none"/>
              </w:rPr>
            </w:pPr>
            <w:r>
              <w:rPr>
                <w:color w:val="auto"/>
                <w:szCs w:val="21"/>
                <w:highlight w:val="none"/>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00" w:lineRule="auto"/>
              <w:ind w:right="113" w:firstLine="440" w:firstLineChars="200"/>
              <w:rPr>
                <w:color w:val="auto"/>
                <w:szCs w:val="21"/>
                <w:highlight w:val="none"/>
              </w:rPr>
            </w:pPr>
            <w:r>
              <w:rPr>
                <w:rFonts w:hint="eastAsia"/>
                <w:color w:val="auto"/>
                <w:szCs w:val="21"/>
                <w:highlight w:val="none"/>
              </w:rPr>
              <w:t>（6）投标人以联合体形式进行投标时，联合体满足招标文件要求。</w:t>
            </w:r>
          </w:p>
          <w:p>
            <w:pPr>
              <w:adjustRightInd w:val="0"/>
              <w:snapToGrid w:val="0"/>
              <w:spacing w:line="300" w:lineRule="auto"/>
              <w:ind w:right="113" w:firstLine="440" w:firstLineChars="200"/>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）投标人如有分包计划，符合招标文件第二章</w:t>
            </w:r>
            <w:r>
              <w:rPr>
                <w:rFonts w:ascii="Arial" w:hAnsi="Arial" w:eastAsia="Arial"/>
                <w:color w:val="auto"/>
                <w:szCs w:val="21"/>
                <w:highlight w:val="none"/>
              </w:rPr>
              <w:t>“</w:t>
            </w:r>
            <w:r>
              <w:rPr>
                <w:color w:val="auto"/>
                <w:szCs w:val="21"/>
                <w:highlight w:val="none"/>
              </w:rPr>
              <w:t>投标人须知</w:t>
            </w:r>
            <w:r>
              <w:rPr>
                <w:rFonts w:ascii="Arial" w:hAnsi="Arial" w:eastAsia="Arial"/>
                <w:color w:val="auto"/>
                <w:szCs w:val="21"/>
                <w:highlight w:val="none"/>
              </w:rPr>
              <w:t>”</w:t>
            </w:r>
            <w:r>
              <w:rPr>
                <w:color w:val="auto"/>
                <w:szCs w:val="21"/>
                <w:highlight w:val="none"/>
              </w:rPr>
              <w:t>第</w:t>
            </w:r>
            <w:r>
              <w:rPr>
                <w:rFonts w:eastAsia="Times New Roman"/>
                <w:color w:val="auto"/>
                <w:szCs w:val="21"/>
                <w:highlight w:val="none"/>
              </w:rPr>
              <w:t xml:space="preserve"> 1.11 </w:t>
            </w:r>
            <w:r>
              <w:rPr>
                <w:color w:val="auto"/>
                <w:szCs w:val="21"/>
                <w:highlight w:val="none"/>
              </w:rPr>
              <w:t>款规定，且按招标文件第九章</w:t>
            </w:r>
            <w:r>
              <w:rPr>
                <w:rFonts w:ascii="Arial" w:hAnsi="Arial" w:eastAsia="Arial"/>
                <w:color w:val="auto"/>
                <w:szCs w:val="21"/>
                <w:highlight w:val="none"/>
              </w:rPr>
              <w:t>“</w:t>
            </w:r>
            <w:r>
              <w:rPr>
                <w:color w:val="auto"/>
                <w:szCs w:val="21"/>
                <w:highlight w:val="none"/>
              </w:rPr>
              <w:t>投标文件格式</w:t>
            </w:r>
            <w:r>
              <w:rPr>
                <w:rFonts w:ascii="Arial" w:hAnsi="Arial" w:eastAsia="Arial"/>
                <w:color w:val="auto"/>
                <w:szCs w:val="21"/>
                <w:highlight w:val="none"/>
              </w:rPr>
              <w:t>”</w:t>
            </w:r>
            <w:r>
              <w:rPr>
                <w:color w:val="auto"/>
                <w:szCs w:val="21"/>
                <w:highlight w:val="none"/>
              </w:rPr>
              <w:t>的要求填写了</w:t>
            </w:r>
            <w:r>
              <w:rPr>
                <w:rFonts w:ascii="Arial" w:hAnsi="Arial" w:eastAsia="Arial"/>
                <w:color w:val="auto"/>
                <w:szCs w:val="21"/>
                <w:highlight w:val="none"/>
              </w:rPr>
              <w:t>“</w:t>
            </w:r>
            <w:r>
              <w:rPr>
                <w:color w:val="auto"/>
                <w:szCs w:val="21"/>
                <w:highlight w:val="none"/>
              </w:rPr>
              <w:t>拟分包项目情况表</w:t>
            </w:r>
            <w:r>
              <w:rPr>
                <w:rFonts w:ascii="Arial" w:hAnsi="Arial" w:eastAsia="Arial"/>
                <w:color w:val="auto"/>
                <w:szCs w:val="21"/>
                <w:highlight w:val="none"/>
              </w:rPr>
              <w:t>”</w:t>
            </w:r>
            <w:r>
              <w:rPr>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1" w:hRule="exact"/>
          <w:jc w:val="center"/>
        </w:trPr>
        <w:tc>
          <w:tcPr>
            <w:tcW w:w="476" w:type="pct"/>
            <w:tcBorders>
              <w:top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2.1.1</w:t>
            </w:r>
          </w:p>
          <w:p>
            <w:pPr>
              <w:jc w:val="center"/>
              <w:rPr>
                <w:b/>
                <w:color w:val="auto"/>
                <w:szCs w:val="21"/>
                <w:highlight w:val="none"/>
              </w:rPr>
            </w:pPr>
            <w:r>
              <w:rPr>
                <w:color w:val="auto"/>
                <w:szCs w:val="21"/>
                <w:highlight w:val="none"/>
              </w:rPr>
              <w:t>2.1.3</w:t>
            </w:r>
          </w:p>
        </w:tc>
        <w:tc>
          <w:tcPr>
            <w:tcW w:w="656" w:type="pct"/>
            <w:tcBorders>
              <w:top w:val="single" w:color="auto" w:sz="4" w:space="0"/>
              <w:bottom w:val="single" w:color="auto" w:sz="4" w:space="0"/>
              <w:right w:val="single" w:color="auto" w:sz="4" w:space="0"/>
            </w:tcBorders>
            <w:vAlign w:val="center"/>
          </w:tcPr>
          <w:p>
            <w:pPr>
              <w:jc w:val="center"/>
              <w:rPr>
                <w:b/>
                <w:color w:val="auto"/>
                <w:szCs w:val="21"/>
                <w:highlight w:val="none"/>
              </w:rPr>
            </w:pPr>
            <w:r>
              <w:rPr>
                <w:color w:val="auto"/>
                <w:szCs w:val="21"/>
                <w:highlight w:val="none"/>
              </w:rPr>
              <w:t>形式评审与响应性评审标准</w:t>
            </w:r>
          </w:p>
        </w:tc>
        <w:tc>
          <w:tcPr>
            <w:tcW w:w="3869" w:type="pct"/>
            <w:tcBorders>
              <w:top w:val="single" w:color="auto" w:sz="4" w:space="0"/>
              <w:left w:val="single" w:color="auto" w:sz="4" w:space="0"/>
              <w:bottom w:val="single" w:color="auto" w:sz="4" w:space="0"/>
              <w:right w:val="single" w:color="auto" w:sz="4" w:space="0"/>
            </w:tcBorders>
            <w:vAlign w:val="center"/>
          </w:tcPr>
          <w:p>
            <w:pPr>
              <w:spacing w:line="400" w:lineRule="exact"/>
              <w:ind w:firstLine="210"/>
              <w:rPr>
                <w:color w:val="auto"/>
                <w:szCs w:val="21"/>
                <w:highlight w:val="none"/>
              </w:rPr>
            </w:pPr>
            <w:r>
              <w:rPr>
                <w:rFonts w:hint="eastAsia"/>
                <w:color w:val="auto"/>
                <w:szCs w:val="21"/>
                <w:highlight w:val="none"/>
              </w:rPr>
              <w:t>（8）</w:t>
            </w:r>
            <w:r>
              <w:rPr>
                <w:color w:val="auto"/>
                <w:szCs w:val="21"/>
                <w:highlight w:val="none"/>
              </w:rPr>
              <w:t>同一投标人未提交两个以上不同的投标文件，但招标文件要求提交备选投标的除外。</w:t>
            </w:r>
          </w:p>
          <w:p>
            <w:pPr>
              <w:spacing w:line="400" w:lineRule="exact"/>
              <w:ind w:firstLine="210"/>
              <w:rPr>
                <w:color w:val="auto"/>
                <w:szCs w:val="21"/>
                <w:highlight w:val="none"/>
              </w:rPr>
            </w:pPr>
            <w:r>
              <w:rPr>
                <w:rFonts w:hint="eastAsia"/>
                <w:color w:val="auto"/>
                <w:szCs w:val="21"/>
                <w:highlight w:val="none"/>
              </w:rPr>
              <w:t>（9）投标文件中未出现有关投标报价的内容。</w:t>
            </w:r>
          </w:p>
          <w:p>
            <w:pPr>
              <w:spacing w:line="400" w:lineRule="exact"/>
              <w:ind w:firstLine="210"/>
              <w:rPr>
                <w:color w:val="auto"/>
                <w:szCs w:val="21"/>
                <w:highlight w:val="none"/>
              </w:rPr>
            </w:pPr>
            <w:r>
              <w:rPr>
                <w:rFonts w:hint="eastAsia"/>
                <w:color w:val="auto"/>
                <w:szCs w:val="21"/>
                <w:highlight w:val="none"/>
              </w:rPr>
              <w:t>（10）投标文件载明的招标项目完成期限未超过招标文件规定的时限。</w:t>
            </w:r>
          </w:p>
          <w:p>
            <w:pPr>
              <w:spacing w:line="400" w:lineRule="exact"/>
              <w:ind w:firstLine="210"/>
              <w:rPr>
                <w:color w:val="auto"/>
                <w:szCs w:val="21"/>
                <w:highlight w:val="none"/>
              </w:rPr>
            </w:pPr>
            <w:r>
              <w:rPr>
                <w:rFonts w:hint="eastAsia"/>
                <w:color w:val="auto"/>
                <w:szCs w:val="21"/>
                <w:highlight w:val="none"/>
              </w:rPr>
              <w:t>（11）投标文件对招标文件的实质性要求和条件作出响应。</w:t>
            </w:r>
          </w:p>
          <w:p>
            <w:pPr>
              <w:spacing w:line="400" w:lineRule="exact"/>
              <w:ind w:firstLine="210"/>
              <w:rPr>
                <w:color w:val="auto"/>
                <w:szCs w:val="21"/>
                <w:highlight w:val="none"/>
              </w:rPr>
            </w:pPr>
            <w:r>
              <w:rPr>
                <w:rFonts w:hint="eastAsia"/>
                <w:color w:val="auto"/>
                <w:szCs w:val="21"/>
                <w:highlight w:val="none"/>
              </w:rPr>
              <w:t>（12）权利义务符合招标文件规定：</w:t>
            </w:r>
          </w:p>
          <w:p>
            <w:pPr>
              <w:spacing w:line="400" w:lineRule="exact"/>
              <w:ind w:firstLine="210"/>
              <w:rPr>
                <w:color w:val="auto"/>
                <w:szCs w:val="21"/>
                <w:highlight w:val="none"/>
              </w:rPr>
            </w:pPr>
            <w:r>
              <w:rPr>
                <w:rFonts w:hint="eastAsia"/>
                <w:color w:val="auto"/>
                <w:szCs w:val="21"/>
                <w:highlight w:val="none"/>
              </w:rPr>
              <w:t>a.投标人应接受招标文件规定的风险划分原则，未提出新的风险划分办法；</w:t>
            </w:r>
          </w:p>
          <w:p>
            <w:pPr>
              <w:spacing w:line="400" w:lineRule="exact"/>
              <w:ind w:firstLine="210"/>
              <w:rPr>
                <w:color w:val="auto"/>
                <w:szCs w:val="21"/>
                <w:highlight w:val="none"/>
              </w:rPr>
            </w:pPr>
            <w:r>
              <w:rPr>
                <w:rFonts w:hint="eastAsia"/>
                <w:color w:val="auto"/>
                <w:szCs w:val="21"/>
                <w:highlight w:val="none"/>
              </w:rPr>
              <w:t>b.投标人未增加委托人的责任范围，或减少投标人义务；</w:t>
            </w:r>
          </w:p>
          <w:p>
            <w:pPr>
              <w:spacing w:line="400" w:lineRule="exact"/>
              <w:ind w:firstLine="210"/>
              <w:rPr>
                <w:color w:val="auto"/>
                <w:szCs w:val="21"/>
                <w:highlight w:val="none"/>
              </w:rPr>
            </w:pPr>
            <w:r>
              <w:rPr>
                <w:rFonts w:hint="eastAsia"/>
                <w:color w:val="auto"/>
                <w:szCs w:val="21"/>
                <w:highlight w:val="none"/>
              </w:rPr>
              <w:t>c.投标人未提出不同的支付办法；</w:t>
            </w:r>
          </w:p>
          <w:p>
            <w:pPr>
              <w:spacing w:line="400" w:lineRule="exact"/>
              <w:ind w:firstLine="210"/>
              <w:rPr>
                <w:color w:val="auto"/>
                <w:szCs w:val="21"/>
                <w:highlight w:val="none"/>
              </w:rPr>
            </w:pPr>
            <w:r>
              <w:rPr>
                <w:rFonts w:hint="eastAsia"/>
                <w:color w:val="auto"/>
                <w:szCs w:val="21"/>
                <w:highlight w:val="none"/>
              </w:rPr>
              <w:t>d.投标人对合同纠纷、事故处理办法未提出异议；</w:t>
            </w:r>
          </w:p>
          <w:p>
            <w:pPr>
              <w:spacing w:line="400" w:lineRule="exact"/>
              <w:ind w:firstLine="210"/>
              <w:rPr>
                <w:color w:val="auto"/>
                <w:szCs w:val="21"/>
                <w:highlight w:val="none"/>
              </w:rPr>
            </w:pPr>
            <w:r>
              <w:rPr>
                <w:rFonts w:hint="eastAsia"/>
                <w:color w:val="auto"/>
                <w:szCs w:val="21"/>
                <w:highlight w:val="none"/>
              </w:rPr>
              <w:t>e.投标人在投标活动中无欺诈行为；</w:t>
            </w:r>
          </w:p>
          <w:p>
            <w:pPr>
              <w:spacing w:line="400" w:lineRule="exact"/>
              <w:ind w:firstLine="210"/>
              <w:rPr>
                <w:color w:val="auto"/>
                <w:szCs w:val="21"/>
                <w:highlight w:val="none"/>
              </w:rPr>
            </w:pPr>
            <w:r>
              <w:rPr>
                <w:rFonts w:hint="eastAsia"/>
                <w:color w:val="auto"/>
                <w:szCs w:val="21"/>
                <w:highlight w:val="none"/>
              </w:rPr>
              <w:t>f.投标人未对合同条款有重要保留。</w:t>
            </w:r>
          </w:p>
          <w:p>
            <w:pPr>
              <w:spacing w:line="400" w:lineRule="exact"/>
              <w:ind w:firstLine="210"/>
              <w:rPr>
                <w:color w:val="auto"/>
                <w:szCs w:val="21"/>
                <w:highlight w:val="none"/>
              </w:rPr>
            </w:pPr>
            <w:r>
              <w:rPr>
                <w:rFonts w:hint="eastAsia"/>
                <w:color w:val="auto"/>
                <w:szCs w:val="21"/>
                <w:highlight w:val="none"/>
              </w:rPr>
              <w:t>（13）投标文件正、副本份数符合招标文件第二章“投标人须知”3.7.4 项规定。</w:t>
            </w:r>
          </w:p>
          <w:p>
            <w:pPr>
              <w:spacing w:line="240" w:lineRule="exact"/>
              <w:ind w:firstLine="221" w:firstLineChars="100"/>
              <w:rPr>
                <w:b/>
                <w:color w:val="auto"/>
                <w:szCs w:val="21"/>
                <w:highlight w:val="none"/>
              </w:rPr>
            </w:pPr>
            <w:r>
              <w:rPr>
                <w:b/>
                <w:color w:val="auto"/>
                <w:szCs w:val="21"/>
                <w:highlight w:val="none"/>
              </w:rPr>
              <w:t>第二个信封（报价文件）评审标准：</w:t>
            </w:r>
          </w:p>
          <w:p>
            <w:pPr>
              <w:spacing w:line="400" w:lineRule="exact"/>
              <w:ind w:firstLine="220" w:firstLineChars="100"/>
              <w:rPr>
                <w:color w:val="auto"/>
                <w:szCs w:val="21"/>
                <w:highlight w:val="none"/>
              </w:rPr>
            </w:pPr>
            <w:r>
              <w:rPr>
                <w:color w:val="auto"/>
                <w:szCs w:val="21"/>
                <w:highlight w:val="none"/>
              </w:rPr>
              <w:t>（1）投标文件按照招标文件规定的格式、内容填写，字迹清晰可辩</w:t>
            </w:r>
            <w:r>
              <w:rPr>
                <w:rFonts w:hint="eastAsia"/>
                <w:color w:val="auto"/>
                <w:szCs w:val="21"/>
                <w:highlight w:val="none"/>
              </w:rPr>
              <w:t>，内容齐全完整</w:t>
            </w:r>
            <w:r>
              <w:rPr>
                <w:color w:val="auto"/>
                <w:szCs w:val="21"/>
                <w:highlight w:val="none"/>
              </w:rPr>
              <w:t>；</w:t>
            </w:r>
          </w:p>
          <w:p>
            <w:pPr>
              <w:spacing w:line="400" w:lineRule="exact"/>
              <w:ind w:firstLine="440" w:firstLineChars="200"/>
              <w:rPr>
                <w:color w:val="auto"/>
                <w:szCs w:val="21"/>
                <w:highlight w:val="none"/>
              </w:rPr>
            </w:pPr>
            <w:r>
              <w:rPr>
                <w:color w:val="auto"/>
                <w:szCs w:val="21"/>
                <w:highlight w:val="none"/>
              </w:rPr>
              <w:t>a.投标函按招标文件规定填报了项目名称、补遗书编号（如有）、投标价（包括大写金额和小写金额）；</w:t>
            </w:r>
          </w:p>
          <w:p>
            <w:pPr>
              <w:spacing w:line="400" w:lineRule="exact"/>
              <w:ind w:firstLine="440" w:firstLineChars="200"/>
              <w:rPr>
                <w:color w:val="auto"/>
                <w:szCs w:val="21"/>
                <w:highlight w:val="none"/>
              </w:rPr>
            </w:pPr>
            <w:r>
              <w:rPr>
                <w:color w:val="auto"/>
                <w:szCs w:val="21"/>
                <w:highlight w:val="none"/>
              </w:rPr>
              <w:t>b.已标价</w:t>
            </w:r>
            <w:r>
              <w:rPr>
                <w:rFonts w:hint="eastAsia"/>
                <w:color w:val="auto"/>
                <w:szCs w:val="21"/>
                <w:highlight w:val="none"/>
              </w:rPr>
              <w:t>报价</w:t>
            </w:r>
            <w:r>
              <w:rPr>
                <w:color w:val="auto"/>
                <w:szCs w:val="21"/>
                <w:highlight w:val="none"/>
              </w:rPr>
              <w:t>清单说明</w:t>
            </w:r>
            <w:r>
              <w:rPr>
                <w:rFonts w:hint="eastAsia"/>
                <w:color w:val="auto"/>
                <w:szCs w:val="21"/>
                <w:highlight w:val="none"/>
              </w:rPr>
              <w:t>文字</w:t>
            </w:r>
            <w:r>
              <w:rPr>
                <w:color w:val="auto"/>
                <w:szCs w:val="21"/>
                <w:highlight w:val="none"/>
              </w:rPr>
              <w:t>与招标文件规定一致，未进行实质性修改和删减；</w:t>
            </w:r>
          </w:p>
          <w:p>
            <w:pPr>
              <w:spacing w:line="400" w:lineRule="exact"/>
              <w:ind w:firstLine="440" w:firstLineChars="200"/>
              <w:rPr>
                <w:color w:val="auto"/>
                <w:szCs w:val="21"/>
                <w:highlight w:val="none"/>
              </w:rPr>
            </w:pPr>
            <w:r>
              <w:rPr>
                <w:color w:val="auto"/>
                <w:szCs w:val="21"/>
                <w:highlight w:val="none"/>
              </w:rPr>
              <w:t>c.投标文件组成齐全完整，内容均按规定填写。</w:t>
            </w:r>
          </w:p>
          <w:p>
            <w:pPr>
              <w:spacing w:line="400" w:lineRule="exact"/>
              <w:ind w:firstLine="220" w:firstLineChars="100"/>
              <w:rPr>
                <w:color w:val="auto"/>
                <w:szCs w:val="21"/>
                <w:highlight w:val="none"/>
              </w:rPr>
            </w:pPr>
            <w:r>
              <w:rPr>
                <w:color w:val="auto"/>
                <w:szCs w:val="21"/>
                <w:highlight w:val="none"/>
              </w:rPr>
              <w:t>（2）投标文件上法定代表人或其</w:t>
            </w:r>
            <w:r>
              <w:rPr>
                <w:rFonts w:hint="eastAsia"/>
                <w:color w:val="auto"/>
                <w:szCs w:val="21"/>
                <w:highlight w:val="none"/>
              </w:rPr>
              <w:t>委托</w:t>
            </w:r>
            <w:r>
              <w:rPr>
                <w:color w:val="auto"/>
                <w:szCs w:val="21"/>
                <w:highlight w:val="none"/>
              </w:rPr>
              <w:t>代理人的签字、投标人的单位公章盖章齐全，符合招标文件规定</w:t>
            </w:r>
            <w:r>
              <w:rPr>
                <w:rFonts w:hint="eastAsia"/>
                <w:color w:val="auto"/>
                <w:szCs w:val="21"/>
                <w:highlight w:val="none"/>
              </w:rPr>
              <w:t>。</w:t>
            </w:r>
          </w:p>
          <w:p>
            <w:pPr>
              <w:spacing w:line="400" w:lineRule="exact"/>
              <w:ind w:firstLine="220" w:firstLineChars="100"/>
              <w:rPr>
                <w:color w:val="auto"/>
                <w:szCs w:val="21"/>
                <w:highlight w:val="none"/>
              </w:rPr>
            </w:pPr>
            <w:r>
              <w:rPr>
                <w:rFonts w:hint="eastAsia"/>
                <w:color w:val="auto"/>
                <w:szCs w:val="21"/>
                <w:highlight w:val="none"/>
              </w:rPr>
              <w:t>（3）投标报价或调价函中的报价未超过招标文件设定的最高投标限价（如有）</w:t>
            </w:r>
          </w:p>
          <w:p>
            <w:pPr>
              <w:spacing w:line="400" w:lineRule="exact"/>
              <w:ind w:firstLine="220" w:firstLineChars="100"/>
              <w:rPr>
                <w:color w:val="auto"/>
                <w:szCs w:val="21"/>
                <w:highlight w:val="none"/>
              </w:rPr>
            </w:pPr>
            <w:r>
              <w:rPr>
                <w:rFonts w:hint="eastAsia"/>
                <w:color w:val="auto"/>
                <w:szCs w:val="21"/>
                <w:highlight w:val="none"/>
              </w:rPr>
              <w:t>（4）投标报价或调价函中报价的大写金额能够确定具体数值。</w:t>
            </w:r>
          </w:p>
          <w:p>
            <w:pPr>
              <w:spacing w:line="400" w:lineRule="exact"/>
              <w:ind w:firstLine="220" w:firstLineChars="100"/>
              <w:rPr>
                <w:color w:val="auto"/>
                <w:szCs w:val="21"/>
                <w:highlight w:val="none"/>
              </w:rPr>
            </w:pPr>
            <w:r>
              <w:rPr>
                <w:rFonts w:hint="eastAsia"/>
                <w:color w:val="auto"/>
                <w:szCs w:val="21"/>
                <w:highlight w:val="none"/>
              </w:rPr>
              <w:t>（5）同一投标人未提交两个以上不同的投标报价，但招标文件要求提交备选投标的除外。</w:t>
            </w:r>
          </w:p>
          <w:p>
            <w:pPr>
              <w:spacing w:line="400" w:lineRule="exact"/>
              <w:ind w:firstLine="220" w:firstLineChars="100"/>
              <w:rPr>
                <w:color w:val="auto"/>
                <w:szCs w:val="21"/>
                <w:highlight w:val="none"/>
              </w:rPr>
            </w:pPr>
            <w:r>
              <w:rPr>
                <w:rFonts w:hint="eastAsia"/>
                <w:color w:val="auto"/>
                <w:szCs w:val="21"/>
                <w:highlight w:val="none"/>
              </w:rPr>
              <w:t>（6）投标文件正、副本份数符合招标文件第二章“投标人须知”第3.7.4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3" w:hRule="exact"/>
          <w:jc w:val="center"/>
        </w:trPr>
        <w:tc>
          <w:tcPr>
            <w:tcW w:w="476" w:type="pct"/>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color w:val="auto"/>
                <w:szCs w:val="21"/>
                <w:highlight w:val="none"/>
              </w:rPr>
            </w:pPr>
            <w:r>
              <w:rPr>
                <w:color w:val="auto"/>
                <w:szCs w:val="21"/>
                <w:highlight w:val="none"/>
              </w:rPr>
              <w:t>2.1.2</w:t>
            </w:r>
          </w:p>
        </w:tc>
        <w:tc>
          <w:tcPr>
            <w:tcW w:w="656" w:type="pct"/>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color w:val="auto"/>
                <w:szCs w:val="21"/>
                <w:highlight w:val="none"/>
              </w:rPr>
            </w:pPr>
            <w:r>
              <w:rPr>
                <w:color w:val="auto"/>
                <w:szCs w:val="21"/>
                <w:highlight w:val="none"/>
              </w:rPr>
              <w:t>资格评审标准</w:t>
            </w:r>
          </w:p>
        </w:tc>
        <w:tc>
          <w:tcPr>
            <w:tcW w:w="3869" w:type="pct"/>
            <w:tcBorders>
              <w:top w:val="single" w:color="000000" w:sz="2" w:space="0"/>
              <w:left w:val="single" w:color="000000" w:sz="2" w:space="0"/>
              <w:bottom w:val="single" w:color="000000" w:sz="2" w:space="0"/>
              <w:right w:val="single" w:color="000000" w:sz="2" w:space="0"/>
            </w:tcBorders>
            <w:vAlign w:val="center"/>
          </w:tcPr>
          <w:p>
            <w:pPr>
              <w:topLinePunct/>
              <w:spacing w:line="400" w:lineRule="exact"/>
              <w:ind w:firstLine="220" w:firstLineChars="100"/>
              <w:rPr>
                <w:color w:val="auto"/>
                <w:szCs w:val="21"/>
                <w:highlight w:val="none"/>
              </w:rPr>
            </w:pPr>
            <w:r>
              <w:rPr>
                <w:color w:val="auto"/>
                <w:szCs w:val="21"/>
                <w:highlight w:val="none"/>
              </w:rPr>
              <w:t>（1）投标人具备有效的营业执照、组织机构代码证、资质证书</w:t>
            </w:r>
            <w:r>
              <w:rPr>
                <w:rFonts w:hint="eastAsia"/>
                <w:color w:val="auto"/>
                <w:szCs w:val="21"/>
                <w:highlight w:val="none"/>
              </w:rPr>
              <w:t>、安全生产许可证和</w:t>
            </w:r>
            <w:r>
              <w:rPr>
                <w:color w:val="auto"/>
                <w:szCs w:val="21"/>
                <w:highlight w:val="none"/>
              </w:rPr>
              <w:t>基本账户开户许可证。</w:t>
            </w:r>
          </w:p>
          <w:p>
            <w:pPr>
              <w:topLinePunct/>
              <w:spacing w:line="400" w:lineRule="exact"/>
              <w:ind w:firstLine="257" w:firstLineChars="117"/>
              <w:rPr>
                <w:color w:val="auto"/>
                <w:szCs w:val="21"/>
                <w:highlight w:val="none"/>
              </w:rPr>
            </w:pPr>
            <w:r>
              <w:rPr>
                <w:color w:val="auto"/>
                <w:szCs w:val="21"/>
                <w:highlight w:val="none"/>
              </w:rPr>
              <w:t>（2）投标人的资质等级符合招标文件规定；</w:t>
            </w:r>
          </w:p>
          <w:p>
            <w:pPr>
              <w:topLinePunct/>
              <w:spacing w:line="400" w:lineRule="exact"/>
              <w:ind w:firstLine="257" w:firstLineChars="117"/>
              <w:rPr>
                <w:color w:val="auto"/>
                <w:szCs w:val="21"/>
                <w:highlight w:val="none"/>
              </w:rPr>
            </w:pPr>
            <w:r>
              <w:rPr>
                <w:rFonts w:hint="eastAsia"/>
                <w:color w:val="auto"/>
                <w:szCs w:val="21"/>
                <w:highlight w:val="none"/>
              </w:rPr>
              <w:t>（3）</w:t>
            </w:r>
            <w:r>
              <w:rPr>
                <w:color w:val="auto"/>
                <w:szCs w:val="21"/>
                <w:highlight w:val="none"/>
              </w:rPr>
              <w:t>投标人的</w:t>
            </w:r>
            <w:r>
              <w:rPr>
                <w:rFonts w:hint="eastAsia"/>
                <w:color w:val="auto"/>
                <w:szCs w:val="21"/>
                <w:highlight w:val="none"/>
              </w:rPr>
              <w:t>财务状况</w:t>
            </w:r>
            <w:r>
              <w:rPr>
                <w:color w:val="auto"/>
                <w:szCs w:val="21"/>
                <w:highlight w:val="none"/>
              </w:rPr>
              <w:t>符合招标文件规定；</w:t>
            </w:r>
          </w:p>
          <w:p>
            <w:pPr>
              <w:topLinePunct/>
              <w:spacing w:line="400" w:lineRule="exact"/>
              <w:ind w:firstLine="257" w:firstLineChars="117"/>
              <w:rPr>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）投标人的类似项目业绩符合招标文件规定；</w:t>
            </w:r>
          </w:p>
          <w:p>
            <w:pPr>
              <w:topLinePunct/>
              <w:spacing w:line="400" w:lineRule="exact"/>
              <w:ind w:firstLine="257" w:firstLineChars="117"/>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）投标人的信誉符合招标文件规定；</w:t>
            </w:r>
          </w:p>
          <w:p>
            <w:pPr>
              <w:topLinePunct/>
              <w:spacing w:line="400" w:lineRule="exact"/>
              <w:ind w:firstLine="257" w:firstLineChars="117"/>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）投标人的</w:t>
            </w:r>
            <w:r>
              <w:rPr>
                <w:rFonts w:hint="eastAsia"/>
                <w:color w:val="auto"/>
                <w:szCs w:val="21"/>
                <w:highlight w:val="none"/>
              </w:rPr>
              <w:t>项目经理和项目总工资格、在岗情况</w:t>
            </w:r>
            <w:r>
              <w:rPr>
                <w:color w:val="auto"/>
                <w:szCs w:val="21"/>
                <w:highlight w:val="none"/>
              </w:rPr>
              <w:t>符合招标文件规定；</w:t>
            </w:r>
          </w:p>
          <w:p>
            <w:pPr>
              <w:topLinePunct/>
              <w:spacing w:line="400" w:lineRule="exact"/>
              <w:ind w:firstLine="257" w:firstLineChars="117"/>
              <w:rPr>
                <w:color w:val="auto"/>
                <w:szCs w:val="21"/>
                <w:highlight w:val="none"/>
              </w:rPr>
            </w:pPr>
            <w:r>
              <w:rPr>
                <w:rFonts w:hint="eastAsia"/>
                <w:color w:val="auto"/>
                <w:szCs w:val="21"/>
                <w:highlight w:val="none"/>
              </w:rPr>
              <w:t>（7）投标人不存在第二章“投标人须知”第 1.4.3 项或第 1.4.4 项规</w:t>
            </w:r>
          </w:p>
          <w:p>
            <w:pPr>
              <w:topLinePunct/>
              <w:spacing w:line="400" w:lineRule="exact"/>
              <w:ind w:firstLine="257" w:firstLineChars="117"/>
              <w:rPr>
                <w:color w:val="auto"/>
                <w:szCs w:val="21"/>
                <w:highlight w:val="none"/>
              </w:rPr>
            </w:pPr>
            <w:r>
              <w:rPr>
                <w:rFonts w:hint="eastAsia"/>
                <w:color w:val="auto"/>
                <w:szCs w:val="21"/>
                <w:highlight w:val="none"/>
              </w:rPr>
              <w:t>定的任何一种情形。</w:t>
            </w:r>
          </w:p>
          <w:p>
            <w:pPr>
              <w:topLinePunct/>
              <w:spacing w:line="400" w:lineRule="exact"/>
              <w:ind w:firstLine="257" w:firstLineChars="117"/>
              <w:rPr>
                <w:color w:val="auto"/>
                <w:szCs w:val="21"/>
                <w:highlight w:val="none"/>
              </w:rPr>
            </w:pPr>
            <w:r>
              <w:rPr>
                <w:rFonts w:hint="eastAsia"/>
                <w:color w:val="auto"/>
                <w:szCs w:val="21"/>
                <w:highlight w:val="none"/>
              </w:rPr>
              <w:t>（8）投标人符合第二章“投标人须知”第 1.4.5 项规定。</w:t>
            </w:r>
          </w:p>
          <w:p>
            <w:pPr>
              <w:topLinePunct/>
              <w:spacing w:line="400" w:lineRule="exact"/>
              <w:ind w:firstLine="257" w:firstLineChars="117"/>
              <w:rPr>
                <w:color w:val="auto"/>
                <w:szCs w:val="21"/>
                <w:highlight w:val="none"/>
              </w:rPr>
            </w:pPr>
            <w:r>
              <w:rPr>
                <w:rFonts w:hint="eastAsia"/>
                <w:color w:val="auto"/>
                <w:szCs w:val="21"/>
                <w:highlight w:val="none"/>
              </w:rPr>
              <w:t>（9）以联合体形式参与投标的，联合体各方均未再以自己名义单独或参加其他联合体在同一标段中投标；独立参与投标的，投标人未同时参加联合体在同一标段中投标。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476" w:type="pct"/>
            <w:tcBorders>
              <w:top w:val="single" w:color="000000" w:sz="2" w:space="0"/>
              <w:left w:val="single" w:color="000000" w:sz="2" w:space="0"/>
              <w:bottom w:val="single" w:color="000000" w:sz="2" w:space="0"/>
              <w:right w:val="single" w:color="000000" w:sz="2" w:space="0"/>
            </w:tcBorders>
            <w:vAlign w:val="center"/>
          </w:tcPr>
          <w:p>
            <w:pPr>
              <w:jc w:val="center"/>
              <w:rPr>
                <w:b/>
                <w:color w:val="auto"/>
                <w:szCs w:val="21"/>
                <w:highlight w:val="none"/>
              </w:rPr>
            </w:pPr>
            <w:r>
              <w:rPr>
                <w:b/>
                <w:color w:val="auto"/>
                <w:szCs w:val="21"/>
                <w:highlight w:val="none"/>
              </w:rPr>
              <w:t>条款号</w:t>
            </w:r>
          </w:p>
        </w:tc>
        <w:tc>
          <w:tcPr>
            <w:tcW w:w="656" w:type="pct"/>
            <w:tcBorders>
              <w:top w:val="single" w:color="000000" w:sz="2" w:space="0"/>
              <w:left w:val="single" w:color="000000" w:sz="2" w:space="0"/>
              <w:bottom w:val="single" w:color="000000" w:sz="2" w:space="0"/>
              <w:right w:val="single" w:color="000000" w:sz="2" w:space="0"/>
            </w:tcBorders>
            <w:vAlign w:val="center"/>
          </w:tcPr>
          <w:p>
            <w:pPr>
              <w:snapToGrid w:val="0"/>
              <w:spacing w:line="360" w:lineRule="auto"/>
              <w:jc w:val="center"/>
              <w:rPr>
                <w:b/>
                <w:color w:val="auto"/>
                <w:szCs w:val="21"/>
                <w:highlight w:val="none"/>
              </w:rPr>
            </w:pPr>
            <w:r>
              <w:rPr>
                <w:b/>
                <w:color w:val="auto"/>
                <w:szCs w:val="21"/>
                <w:highlight w:val="none"/>
              </w:rPr>
              <w:t>条款内容</w:t>
            </w:r>
          </w:p>
        </w:tc>
        <w:tc>
          <w:tcPr>
            <w:tcW w:w="3869" w:type="pct"/>
            <w:tcBorders>
              <w:top w:val="single" w:color="000000" w:sz="2" w:space="0"/>
              <w:left w:val="single" w:color="000000" w:sz="2" w:space="0"/>
              <w:bottom w:val="single" w:color="000000" w:sz="2" w:space="0"/>
              <w:right w:val="single" w:color="000000" w:sz="2" w:space="0"/>
            </w:tcBorders>
            <w:vAlign w:val="center"/>
          </w:tcPr>
          <w:p>
            <w:pPr>
              <w:snapToGrid w:val="0"/>
              <w:spacing w:line="360" w:lineRule="auto"/>
              <w:jc w:val="center"/>
              <w:rPr>
                <w:b/>
                <w:color w:val="auto"/>
                <w:szCs w:val="21"/>
                <w:highlight w:val="none"/>
              </w:rPr>
            </w:pPr>
            <w:r>
              <w:rPr>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2" w:hRule="exact"/>
          <w:jc w:val="center"/>
        </w:trPr>
        <w:tc>
          <w:tcPr>
            <w:tcW w:w="476" w:type="pct"/>
            <w:tcBorders>
              <w:top w:val="single" w:color="000000" w:sz="2" w:space="0"/>
              <w:left w:val="single" w:color="000000" w:sz="2" w:space="0"/>
              <w:bottom w:val="single" w:color="000000" w:sz="2" w:space="0"/>
              <w:right w:val="single" w:color="000000" w:sz="2" w:space="0"/>
            </w:tcBorders>
            <w:vAlign w:val="center"/>
          </w:tcPr>
          <w:p>
            <w:pPr>
              <w:jc w:val="center"/>
              <w:rPr>
                <w:b/>
                <w:color w:val="auto"/>
                <w:szCs w:val="21"/>
                <w:highlight w:val="none"/>
              </w:rPr>
            </w:pPr>
            <w:r>
              <w:rPr>
                <w:b/>
                <w:color w:val="auto"/>
                <w:szCs w:val="21"/>
                <w:highlight w:val="none"/>
              </w:rPr>
              <w:t>2.2.1</w:t>
            </w:r>
          </w:p>
        </w:tc>
        <w:tc>
          <w:tcPr>
            <w:tcW w:w="656" w:type="pct"/>
            <w:tcBorders>
              <w:top w:val="single" w:color="000000" w:sz="2" w:space="0"/>
              <w:left w:val="single" w:color="000000" w:sz="2" w:space="0"/>
              <w:bottom w:val="single" w:color="000000" w:sz="2" w:space="0"/>
              <w:right w:val="single" w:color="000000" w:sz="2" w:space="0"/>
            </w:tcBorders>
            <w:vAlign w:val="center"/>
          </w:tcPr>
          <w:p>
            <w:pPr>
              <w:snapToGrid w:val="0"/>
              <w:spacing w:line="360" w:lineRule="auto"/>
              <w:jc w:val="center"/>
              <w:rPr>
                <w:b/>
                <w:color w:val="auto"/>
                <w:szCs w:val="21"/>
                <w:highlight w:val="none"/>
              </w:rPr>
            </w:pPr>
            <w:r>
              <w:rPr>
                <w:rFonts w:hint="eastAsia"/>
                <w:b/>
                <w:color w:val="auto"/>
                <w:szCs w:val="21"/>
                <w:highlight w:val="none"/>
              </w:rPr>
              <w:t>第一信封评分</w:t>
            </w:r>
            <w:r>
              <w:rPr>
                <w:b/>
                <w:color w:val="auto"/>
                <w:szCs w:val="21"/>
                <w:highlight w:val="none"/>
              </w:rPr>
              <w:t>分值构成</w:t>
            </w:r>
          </w:p>
          <w:p>
            <w:pPr>
              <w:snapToGrid w:val="0"/>
              <w:spacing w:line="360" w:lineRule="auto"/>
              <w:jc w:val="center"/>
              <w:rPr>
                <w:b/>
                <w:color w:val="auto"/>
                <w:szCs w:val="21"/>
                <w:highlight w:val="none"/>
              </w:rPr>
            </w:pPr>
            <w:r>
              <w:rPr>
                <w:b/>
                <w:color w:val="auto"/>
                <w:szCs w:val="21"/>
                <w:highlight w:val="none"/>
              </w:rPr>
              <w:t>(总分100分)</w:t>
            </w:r>
          </w:p>
        </w:tc>
        <w:tc>
          <w:tcPr>
            <w:tcW w:w="3869" w:type="pct"/>
            <w:tcBorders>
              <w:top w:val="single" w:color="000000" w:sz="2" w:space="0"/>
              <w:left w:val="single" w:color="000000" w:sz="2" w:space="0"/>
              <w:bottom w:val="single" w:color="000000" w:sz="2" w:space="0"/>
              <w:right w:val="single" w:color="000000" w:sz="2" w:space="0"/>
            </w:tcBorders>
            <w:vAlign w:val="center"/>
          </w:tcPr>
          <w:p>
            <w:pPr>
              <w:snapToGrid w:val="0"/>
              <w:spacing w:line="360" w:lineRule="auto"/>
              <w:ind w:left="88" w:leftChars="-82" w:hanging="268" w:hangingChars="122"/>
              <w:rPr>
                <w:color w:val="auto"/>
                <w:szCs w:val="21"/>
                <w:highlight w:val="none"/>
              </w:rPr>
            </w:pPr>
            <w:r>
              <w:rPr>
                <w:rFonts w:hint="eastAsia"/>
                <w:color w:val="auto"/>
                <w:szCs w:val="21"/>
                <w:highlight w:val="none"/>
              </w:rPr>
              <w:t>（1）主要人员（30分）；</w:t>
            </w:r>
          </w:p>
          <w:p>
            <w:pPr>
              <w:snapToGrid w:val="0"/>
              <w:spacing w:line="360" w:lineRule="auto"/>
              <w:ind w:left="88" w:leftChars="-82" w:hanging="268" w:hangingChars="122"/>
              <w:rPr>
                <w:color w:val="auto"/>
                <w:szCs w:val="21"/>
                <w:highlight w:val="none"/>
              </w:rPr>
            </w:pPr>
            <w:r>
              <w:rPr>
                <w:rFonts w:hint="eastAsia"/>
                <w:color w:val="auto"/>
                <w:szCs w:val="21"/>
                <w:highlight w:val="none"/>
              </w:rPr>
              <w:t>（2）技术</w:t>
            </w:r>
            <w:r>
              <w:rPr>
                <w:color w:val="auto"/>
                <w:szCs w:val="21"/>
                <w:highlight w:val="none"/>
              </w:rPr>
              <w:t>能力</w:t>
            </w:r>
            <w:r>
              <w:rPr>
                <w:rFonts w:hint="eastAsia"/>
                <w:color w:val="auto"/>
                <w:szCs w:val="21"/>
                <w:highlight w:val="none"/>
              </w:rPr>
              <w:t>（</w:t>
            </w:r>
            <w:r>
              <w:rPr>
                <w:color w:val="auto"/>
                <w:szCs w:val="21"/>
                <w:highlight w:val="none"/>
              </w:rPr>
              <w:t>15分</w:t>
            </w:r>
            <w:r>
              <w:rPr>
                <w:rFonts w:hint="eastAsia"/>
                <w:color w:val="auto"/>
                <w:szCs w:val="21"/>
                <w:highlight w:val="none"/>
              </w:rPr>
              <w:t>）；</w:t>
            </w:r>
          </w:p>
          <w:p>
            <w:pPr>
              <w:snapToGrid w:val="0"/>
              <w:spacing w:line="360" w:lineRule="auto"/>
              <w:ind w:left="88" w:leftChars="-82" w:hanging="268" w:hangingChars="122"/>
              <w:rPr>
                <w:color w:val="auto"/>
                <w:szCs w:val="21"/>
                <w:highlight w:val="none"/>
              </w:rPr>
            </w:pPr>
            <w:r>
              <w:rPr>
                <w:rFonts w:hint="eastAsia"/>
                <w:color w:val="auto"/>
                <w:szCs w:val="21"/>
                <w:highlight w:val="none"/>
              </w:rPr>
              <w:t>（3）企业</w:t>
            </w:r>
            <w:r>
              <w:rPr>
                <w:color w:val="auto"/>
                <w:szCs w:val="21"/>
                <w:highlight w:val="none"/>
              </w:rPr>
              <w:t>履约信誉</w:t>
            </w:r>
            <w:r>
              <w:rPr>
                <w:rFonts w:hint="eastAsia"/>
                <w:color w:val="auto"/>
                <w:szCs w:val="21"/>
                <w:highlight w:val="none"/>
              </w:rPr>
              <w:t>及专业能力（</w:t>
            </w:r>
            <w:r>
              <w:rPr>
                <w:color w:val="auto"/>
                <w:szCs w:val="21"/>
                <w:highlight w:val="none"/>
              </w:rPr>
              <w:t>15分</w:t>
            </w:r>
            <w:r>
              <w:rPr>
                <w:rFonts w:hint="eastAsia"/>
                <w:color w:val="auto"/>
                <w:szCs w:val="21"/>
                <w:highlight w:val="none"/>
              </w:rPr>
              <w:t>）；</w:t>
            </w:r>
          </w:p>
          <w:p>
            <w:pPr>
              <w:snapToGrid w:val="0"/>
              <w:spacing w:line="360" w:lineRule="auto"/>
              <w:ind w:left="88" w:leftChars="-82" w:hanging="268" w:hangingChars="122"/>
              <w:rPr>
                <w:color w:val="auto"/>
                <w:szCs w:val="21"/>
                <w:highlight w:val="none"/>
              </w:rPr>
            </w:pPr>
            <w:r>
              <w:rPr>
                <w:rFonts w:hint="eastAsia"/>
                <w:color w:val="auto"/>
                <w:szCs w:val="21"/>
                <w:highlight w:val="none"/>
              </w:rPr>
              <w:t>（4）初步</w:t>
            </w:r>
            <w:r>
              <w:rPr>
                <w:color w:val="auto"/>
                <w:szCs w:val="21"/>
                <w:highlight w:val="none"/>
              </w:rPr>
              <w:t>施工组织计划</w:t>
            </w:r>
            <w:r>
              <w:rPr>
                <w:rFonts w:hint="eastAsia"/>
                <w:color w:val="auto"/>
                <w:szCs w:val="21"/>
                <w:highlight w:val="none"/>
              </w:rPr>
              <w:t>（40</w:t>
            </w:r>
            <w:r>
              <w:rPr>
                <w:color w:val="auto"/>
                <w:szCs w:val="21"/>
                <w:highlight w:val="none"/>
              </w:rPr>
              <w:t>分</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exact"/>
          <w:jc w:val="center"/>
        </w:trPr>
        <w:tc>
          <w:tcPr>
            <w:tcW w:w="476" w:type="pct"/>
            <w:tcBorders>
              <w:top w:val="single" w:color="000000" w:sz="2" w:space="0"/>
              <w:left w:val="single" w:color="000000" w:sz="2" w:space="0"/>
              <w:bottom w:val="single" w:color="000000" w:sz="2" w:space="0"/>
              <w:right w:val="single" w:color="000000" w:sz="2" w:space="0"/>
            </w:tcBorders>
            <w:vAlign w:val="center"/>
          </w:tcPr>
          <w:p>
            <w:pPr>
              <w:ind w:left="-97" w:leftChars="-44" w:right="-92" w:rightChars="-42"/>
              <w:jc w:val="center"/>
              <w:rPr>
                <w:color w:val="auto"/>
                <w:szCs w:val="21"/>
                <w:highlight w:val="none"/>
              </w:rPr>
            </w:pPr>
            <w:r>
              <w:rPr>
                <w:color w:val="auto"/>
                <w:szCs w:val="21"/>
                <w:highlight w:val="none"/>
              </w:rPr>
              <w:t>2.2.</w:t>
            </w:r>
            <w:r>
              <w:rPr>
                <w:rFonts w:hint="eastAsia"/>
                <w:color w:val="auto"/>
                <w:szCs w:val="21"/>
                <w:highlight w:val="none"/>
              </w:rPr>
              <w:t>3</w:t>
            </w:r>
          </w:p>
        </w:tc>
        <w:tc>
          <w:tcPr>
            <w:tcW w:w="656" w:type="pct"/>
            <w:tcBorders>
              <w:top w:val="single" w:color="000000" w:sz="2" w:space="0"/>
              <w:left w:val="single" w:color="000000" w:sz="2" w:space="0"/>
              <w:bottom w:val="single" w:color="000000" w:sz="2" w:space="0"/>
              <w:right w:val="single" w:color="000000" w:sz="2" w:space="0"/>
            </w:tcBorders>
            <w:vAlign w:val="center"/>
          </w:tcPr>
          <w:p>
            <w:pPr>
              <w:jc w:val="center"/>
              <w:rPr>
                <w:color w:val="auto"/>
                <w:szCs w:val="21"/>
                <w:highlight w:val="none"/>
              </w:rPr>
            </w:pPr>
            <w:r>
              <w:rPr>
                <w:rFonts w:hint="eastAsia"/>
                <w:color w:val="auto"/>
                <w:szCs w:val="21"/>
                <w:highlight w:val="none"/>
              </w:rPr>
              <w:t>第二个信封详细评审标准</w:t>
            </w:r>
          </w:p>
        </w:tc>
        <w:tc>
          <w:tcPr>
            <w:tcW w:w="3869" w:type="pct"/>
            <w:tcBorders>
              <w:top w:val="single" w:color="000000" w:sz="2" w:space="0"/>
              <w:left w:val="single" w:color="000000" w:sz="2" w:space="0"/>
              <w:bottom w:val="single" w:color="000000" w:sz="2" w:space="0"/>
              <w:right w:val="single" w:color="000000" w:sz="2" w:space="0"/>
            </w:tcBorders>
            <w:vAlign w:val="center"/>
          </w:tcPr>
          <w:p>
            <w:pPr>
              <w:snapToGrid w:val="0"/>
              <w:spacing w:line="360" w:lineRule="auto"/>
              <w:rPr>
                <w:b/>
                <w:color w:val="auto"/>
                <w:szCs w:val="21"/>
                <w:highlight w:val="none"/>
              </w:rPr>
            </w:pPr>
            <w:r>
              <w:rPr>
                <w:rFonts w:hint="eastAsia"/>
                <w:b/>
                <w:color w:val="auto"/>
                <w:szCs w:val="21"/>
                <w:highlight w:val="none"/>
              </w:rPr>
              <w:t>评标价=修正后的投标报价-暂估价-暂列金额（不含计日工总额）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exact"/>
          <w:jc w:val="center"/>
        </w:trPr>
        <w:tc>
          <w:tcPr>
            <w:tcW w:w="476" w:type="pct"/>
            <w:tcBorders>
              <w:top w:val="single" w:color="000000" w:sz="2" w:space="0"/>
              <w:left w:val="single" w:color="000000" w:sz="2" w:space="0"/>
              <w:bottom w:val="single" w:color="000000" w:sz="2" w:space="0"/>
              <w:right w:val="single" w:color="000000" w:sz="2" w:space="0"/>
            </w:tcBorders>
            <w:vAlign w:val="center"/>
          </w:tcPr>
          <w:p>
            <w:pPr>
              <w:ind w:left="-97" w:leftChars="-44" w:right="-92" w:rightChars="-42"/>
              <w:jc w:val="center"/>
              <w:rPr>
                <w:color w:val="auto"/>
                <w:szCs w:val="21"/>
                <w:highlight w:val="none"/>
              </w:rPr>
            </w:pPr>
            <w:r>
              <w:rPr>
                <w:rFonts w:hint="eastAsia"/>
                <w:color w:val="auto"/>
                <w:szCs w:val="21"/>
                <w:highlight w:val="none"/>
              </w:rPr>
              <w:t>3.2.4</w:t>
            </w:r>
          </w:p>
        </w:tc>
        <w:tc>
          <w:tcPr>
            <w:tcW w:w="656" w:type="pct"/>
            <w:tcBorders>
              <w:top w:val="single" w:color="000000" w:sz="2" w:space="0"/>
              <w:left w:val="single" w:color="000000" w:sz="2" w:space="0"/>
              <w:bottom w:val="single" w:color="000000" w:sz="2" w:space="0"/>
              <w:right w:val="single" w:color="000000" w:sz="2" w:space="0"/>
            </w:tcBorders>
            <w:vAlign w:val="center"/>
          </w:tcPr>
          <w:p>
            <w:pPr>
              <w:jc w:val="center"/>
              <w:rPr>
                <w:color w:val="auto"/>
                <w:szCs w:val="21"/>
                <w:highlight w:val="none"/>
              </w:rPr>
            </w:pPr>
            <w:r>
              <w:rPr>
                <w:rFonts w:hint="eastAsia"/>
                <w:color w:val="auto"/>
                <w:szCs w:val="21"/>
                <w:highlight w:val="none"/>
              </w:rPr>
              <w:t>通过第一个信封详细评审的投标人的数量</w:t>
            </w:r>
          </w:p>
        </w:tc>
        <w:tc>
          <w:tcPr>
            <w:tcW w:w="3869" w:type="pct"/>
            <w:tcBorders>
              <w:top w:val="single" w:color="000000" w:sz="2" w:space="0"/>
              <w:left w:val="single" w:color="000000" w:sz="2" w:space="0"/>
              <w:bottom w:val="single" w:color="000000" w:sz="2" w:space="0"/>
              <w:right w:val="single" w:color="000000" w:sz="2" w:space="0"/>
            </w:tcBorders>
            <w:vAlign w:val="center"/>
          </w:tcPr>
          <w:p>
            <w:pPr>
              <w:snapToGrid w:val="0"/>
              <w:spacing w:line="360" w:lineRule="auto"/>
              <w:rPr>
                <w:b/>
                <w:color w:val="auto"/>
                <w:szCs w:val="21"/>
                <w:highlight w:val="none"/>
              </w:rPr>
            </w:pPr>
            <w:r>
              <w:rPr>
                <w:rFonts w:hint="eastAsia"/>
                <w:b/>
                <w:color w:val="auto"/>
                <w:szCs w:val="21"/>
                <w:highlight w:val="none"/>
              </w:rPr>
              <w:t>按照投标人的商务和技术得分由高到低排序，选择前</w:t>
            </w:r>
            <w:r>
              <w:rPr>
                <w:rFonts w:hint="eastAsia"/>
                <w:b/>
                <w:color w:val="auto"/>
                <w:szCs w:val="21"/>
                <w:highlight w:val="none"/>
                <w:u w:val="single"/>
              </w:rPr>
              <w:t xml:space="preserve">  3  名</w:t>
            </w:r>
            <w:r>
              <w:rPr>
                <w:rFonts w:hint="eastAsia"/>
                <w:b/>
                <w:color w:val="auto"/>
                <w:szCs w:val="21"/>
                <w:highlight w:val="none"/>
              </w:rPr>
              <w:t>通过详细评审</w:t>
            </w:r>
          </w:p>
        </w:tc>
      </w:tr>
    </w:tbl>
    <w:p>
      <w:pPr>
        <w:ind w:left="424"/>
        <w:rPr>
          <w:rFonts w:ascii="黑体" w:hAnsi="黑体" w:eastAsia="黑体"/>
          <w:b/>
          <w:color w:val="auto"/>
          <w:sz w:val="21"/>
          <w:szCs w:val="21"/>
          <w:highlight w:val="none"/>
        </w:rPr>
      </w:pPr>
    </w:p>
    <w:p>
      <w:pPr>
        <w:pStyle w:val="20"/>
        <w:spacing w:before="5"/>
        <w:rPr>
          <w:color w:val="auto"/>
          <w:sz w:val="22"/>
          <w:highlight w:val="none"/>
        </w:rPr>
        <w:sectPr>
          <w:pgSz w:w="11910" w:h="16850"/>
          <w:pgMar w:top="1418" w:right="1191" w:bottom="1418" w:left="1191" w:header="876" w:footer="853" w:gutter="0"/>
          <w:cols w:space="720" w:num="1"/>
        </w:sectPr>
      </w:pPr>
    </w:p>
    <w:tbl>
      <w:tblPr>
        <w:tblStyle w:val="47"/>
        <w:tblW w:w="1034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068"/>
        <w:gridCol w:w="1134"/>
        <w:gridCol w:w="567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exact"/>
        </w:trPr>
        <w:tc>
          <w:tcPr>
            <w:tcW w:w="993" w:type="dxa"/>
            <w:tcBorders>
              <w:bottom w:val="single" w:color="auto" w:sz="4" w:space="0"/>
            </w:tcBorders>
            <w:vAlign w:val="center"/>
          </w:tcPr>
          <w:p>
            <w:pPr>
              <w:jc w:val="center"/>
              <w:rPr>
                <w:b/>
                <w:color w:val="auto"/>
                <w:szCs w:val="21"/>
                <w:highlight w:val="none"/>
              </w:rPr>
            </w:pPr>
            <w:r>
              <w:rPr>
                <w:rFonts w:hint="eastAsia"/>
                <w:b/>
                <w:color w:val="auto"/>
                <w:szCs w:val="21"/>
                <w:highlight w:val="none"/>
              </w:rPr>
              <w:t>条款号</w:t>
            </w:r>
          </w:p>
        </w:tc>
        <w:tc>
          <w:tcPr>
            <w:tcW w:w="1068" w:type="dxa"/>
            <w:tcBorders>
              <w:bottom w:val="single" w:color="auto" w:sz="4" w:space="0"/>
            </w:tcBorders>
            <w:vAlign w:val="center"/>
          </w:tcPr>
          <w:p>
            <w:pPr>
              <w:jc w:val="center"/>
              <w:rPr>
                <w:b/>
                <w:color w:val="auto"/>
                <w:szCs w:val="21"/>
                <w:highlight w:val="none"/>
              </w:rPr>
            </w:pPr>
            <w:r>
              <w:rPr>
                <w:rFonts w:hint="eastAsia"/>
                <w:b/>
                <w:color w:val="auto"/>
                <w:szCs w:val="21"/>
                <w:highlight w:val="none"/>
              </w:rPr>
              <w:t>评分因素</w:t>
            </w:r>
          </w:p>
        </w:tc>
        <w:tc>
          <w:tcPr>
            <w:tcW w:w="1134" w:type="dxa"/>
            <w:tcBorders>
              <w:bottom w:val="single" w:color="auto" w:sz="4" w:space="0"/>
            </w:tcBorders>
            <w:vAlign w:val="center"/>
          </w:tcPr>
          <w:p>
            <w:pPr>
              <w:jc w:val="center"/>
              <w:rPr>
                <w:b/>
                <w:color w:val="auto"/>
                <w:szCs w:val="21"/>
                <w:highlight w:val="none"/>
              </w:rPr>
            </w:pPr>
            <w:r>
              <w:rPr>
                <w:rFonts w:hint="eastAsia"/>
                <w:b/>
                <w:color w:val="auto"/>
                <w:szCs w:val="21"/>
                <w:highlight w:val="none"/>
              </w:rPr>
              <w:t>评分因素</w:t>
            </w:r>
          </w:p>
          <w:p>
            <w:pPr>
              <w:jc w:val="center"/>
              <w:rPr>
                <w:b/>
                <w:color w:val="auto"/>
                <w:szCs w:val="21"/>
                <w:highlight w:val="none"/>
              </w:rPr>
            </w:pPr>
            <w:r>
              <w:rPr>
                <w:rFonts w:hint="eastAsia"/>
                <w:b/>
                <w:color w:val="auto"/>
                <w:szCs w:val="21"/>
                <w:highlight w:val="none"/>
              </w:rPr>
              <w:t>权重分值</w:t>
            </w:r>
          </w:p>
        </w:tc>
        <w:tc>
          <w:tcPr>
            <w:tcW w:w="5670" w:type="dxa"/>
            <w:tcBorders>
              <w:bottom w:val="single" w:color="auto" w:sz="4" w:space="0"/>
            </w:tcBorders>
            <w:vAlign w:val="center"/>
          </w:tcPr>
          <w:p>
            <w:pPr>
              <w:jc w:val="center"/>
              <w:rPr>
                <w:b/>
                <w:color w:val="auto"/>
                <w:szCs w:val="21"/>
                <w:highlight w:val="none"/>
              </w:rPr>
            </w:pPr>
            <w:r>
              <w:rPr>
                <w:rFonts w:hint="eastAsia"/>
                <w:b/>
                <w:color w:val="auto"/>
                <w:szCs w:val="21"/>
                <w:highlight w:val="none"/>
              </w:rPr>
              <w:t>各评分因素细分项</w:t>
            </w:r>
          </w:p>
        </w:tc>
        <w:tc>
          <w:tcPr>
            <w:tcW w:w="1484" w:type="dxa"/>
            <w:tcBorders>
              <w:bottom w:val="single" w:color="auto" w:sz="4" w:space="0"/>
            </w:tcBorders>
            <w:vAlign w:val="center"/>
          </w:tcPr>
          <w:p>
            <w:pPr>
              <w:jc w:val="center"/>
              <w:rPr>
                <w:b/>
                <w:color w:val="auto"/>
                <w:szCs w:val="21"/>
                <w:highlight w:val="none"/>
              </w:rPr>
            </w:pPr>
            <w:r>
              <w:rPr>
                <w:rFonts w:hint="eastAsia"/>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exact"/>
        </w:trPr>
        <w:tc>
          <w:tcPr>
            <w:tcW w:w="993" w:type="dxa"/>
            <w:vMerge w:val="restart"/>
            <w:vAlign w:val="center"/>
          </w:tcPr>
          <w:p>
            <w:pPr>
              <w:jc w:val="center"/>
              <w:rPr>
                <w:color w:val="auto"/>
                <w:szCs w:val="21"/>
                <w:highlight w:val="none"/>
              </w:rPr>
            </w:pPr>
            <w:r>
              <w:rPr>
                <w:rFonts w:hint="eastAsia"/>
                <w:color w:val="auto"/>
                <w:szCs w:val="21"/>
                <w:highlight w:val="none"/>
              </w:rPr>
              <w:t>2.2.2（1）</w:t>
            </w:r>
          </w:p>
        </w:tc>
        <w:tc>
          <w:tcPr>
            <w:tcW w:w="1068" w:type="dxa"/>
            <w:vMerge w:val="restart"/>
            <w:vAlign w:val="center"/>
          </w:tcPr>
          <w:p>
            <w:pPr>
              <w:spacing w:line="380" w:lineRule="exact"/>
              <w:jc w:val="center"/>
              <w:rPr>
                <w:color w:val="auto"/>
                <w:szCs w:val="21"/>
                <w:highlight w:val="none"/>
              </w:rPr>
            </w:pPr>
            <w:r>
              <w:rPr>
                <w:rFonts w:hint="eastAsia"/>
                <w:color w:val="auto"/>
                <w:szCs w:val="21"/>
                <w:highlight w:val="none"/>
              </w:rPr>
              <w:t>主要人员</w:t>
            </w:r>
          </w:p>
          <w:p>
            <w:pPr>
              <w:spacing w:line="380" w:lineRule="exact"/>
              <w:jc w:val="center"/>
              <w:rPr>
                <w:color w:val="auto"/>
                <w:szCs w:val="21"/>
                <w:highlight w:val="none"/>
              </w:rPr>
            </w:pPr>
            <w:r>
              <w:rPr>
                <w:rFonts w:hint="eastAsia"/>
                <w:color w:val="auto"/>
                <w:szCs w:val="21"/>
                <w:highlight w:val="none"/>
              </w:rPr>
              <w:t>（30分）</w:t>
            </w:r>
          </w:p>
        </w:tc>
        <w:tc>
          <w:tcPr>
            <w:tcW w:w="1134" w:type="dxa"/>
            <w:vAlign w:val="center"/>
          </w:tcPr>
          <w:p>
            <w:pPr>
              <w:spacing w:line="380" w:lineRule="exact"/>
              <w:jc w:val="center"/>
              <w:rPr>
                <w:color w:val="auto"/>
                <w:szCs w:val="21"/>
                <w:highlight w:val="none"/>
              </w:rPr>
            </w:pPr>
            <w:r>
              <w:rPr>
                <w:rFonts w:hint="eastAsia"/>
                <w:color w:val="auto"/>
                <w:szCs w:val="21"/>
                <w:highlight w:val="none"/>
              </w:rPr>
              <w:t>项目经理</w:t>
            </w:r>
          </w:p>
          <w:p>
            <w:pPr>
              <w:spacing w:line="380" w:lineRule="exact"/>
              <w:jc w:val="center"/>
              <w:rPr>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分）</w:t>
            </w:r>
          </w:p>
        </w:tc>
        <w:tc>
          <w:tcPr>
            <w:tcW w:w="5670" w:type="dxa"/>
            <w:vAlign w:val="center"/>
          </w:tcPr>
          <w:p>
            <w:pPr>
              <w:pStyle w:val="86"/>
              <w:numPr>
                <w:ilvl w:val="0"/>
                <w:numId w:val="10"/>
              </w:numPr>
              <w:spacing w:line="360" w:lineRule="auto"/>
              <w:rPr>
                <w:color w:val="auto"/>
                <w:szCs w:val="21"/>
                <w:highlight w:val="none"/>
              </w:rPr>
            </w:pPr>
            <w:r>
              <w:rPr>
                <w:rFonts w:hint="eastAsia"/>
                <w:color w:val="auto"/>
                <w:szCs w:val="21"/>
                <w:highlight w:val="none"/>
              </w:rPr>
              <w:t>满足资格审查强制性资格条件要求的，得</w:t>
            </w:r>
            <w:r>
              <w:rPr>
                <w:color w:val="auto"/>
                <w:szCs w:val="21"/>
                <w:highlight w:val="none"/>
              </w:rPr>
              <w:t>10</w:t>
            </w:r>
            <w:r>
              <w:rPr>
                <w:rFonts w:hint="eastAsia"/>
                <w:color w:val="auto"/>
                <w:szCs w:val="21"/>
                <w:highlight w:val="none"/>
              </w:rPr>
              <w:t>分。</w:t>
            </w:r>
          </w:p>
          <w:p>
            <w:pPr>
              <w:pStyle w:val="86"/>
              <w:numPr>
                <w:ilvl w:val="0"/>
                <w:numId w:val="10"/>
              </w:numPr>
              <w:spacing w:line="360" w:lineRule="auto"/>
              <w:rPr>
                <w:color w:val="auto"/>
                <w:szCs w:val="21"/>
                <w:highlight w:val="none"/>
              </w:rPr>
            </w:pPr>
            <w:r>
              <w:rPr>
                <w:rFonts w:hint="eastAsia"/>
                <w:color w:val="auto"/>
                <w:szCs w:val="21"/>
                <w:highlight w:val="none"/>
              </w:rPr>
              <w:t>满足公路相关专业高级工程师技术职称的，加2分</w:t>
            </w:r>
          </w:p>
          <w:p>
            <w:pPr>
              <w:spacing w:line="360" w:lineRule="auto"/>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）近5年（201</w:t>
            </w:r>
            <w:r>
              <w:rPr>
                <w:color w:val="auto"/>
                <w:szCs w:val="21"/>
                <w:highlight w:val="none"/>
              </w:rPr>
              <w:t>6</w:t>
            </w:r>
            <w:r>
              <w:rPr>
                <w:rFonts w:hint="eastAsia"/>
                <w:color w:val="auto"/>
                <w:szCs w:val="21"/>
                <w:highlight w:val="none"/>
              </w:rPr>
              <w:t>年1月1日至投标截止日，以交工时间为准），与资格审查强制性资格条件相比，每有一个类似桥梁工程施工业绩加</w:t>
            </w:r>
            <w:r>
              <w:rPr>
                <w:color w:val="auto"/>
                <w:szCs w:val="21"/>
                <w:highlight w:val="none"/>
              </w:rPr>
              <w:t>3</w:t>
            </w:r>
            <w:r>
              <w:rPr>
                <w:rFonts w:hint="eastAsia"/>
                <w:color w:val="auto"/>
                <w:szCs w:val="21"/>
                <w:highlight w:val="none"/>
              </w:rPr>
              <w:t>分，最多加</w:t>
            </w:r>
            <w:r>
              <w:rPr>
                <w:color w:val="auto"/>
                <w:szCs w:val="21"/>
                <w:highlight w:val="none"/>
              </w:rPr>
              <w:t>3</w:t>
            </w:r>
            <w:r>
              <w:rPr>
                <w:rFonts w:hint="eastAsia"/>
                <w:color w:val="auto"/>
                <w:szCs w:val="21"/>
                <w:highlight w:val="none"/>
              </w:rPr>
              <w:t>分。</w:t>
            </w:r>
          </w:p>
          <w:p>
            <w:pPr>
              <w:spacing w:line="360" w:lineRule="auto"/>
              <w:rPr>
                <w:color w:val="auto"/>
                <w:szCs w:val="21"/>
                <w:highlight w:val="none"/>
              </w:rPr>
            </w:pPr>
            <w:r>
              <w:rPr>
                <w:rFonts w:hint="eastAsia"/>
                <w:color w:val="auto"/>
                <w:szCs w:val="21"/>
                <w:highlight w:val="none"/>
              </w:rPr>
              <w:t>注：类似业绩必须在</w:t>
            </w:r>
            <w:r>
              <w:rPr>
                <w:rFonts w:hint="eastAsia"/>
                <w:color w:val="auto"/>
                <w:szCs w:val="21"/>
                <w:highlight w:val="none"/>
                <w:lang w:val="en-US" w:eastAsia="zh-CN"/>
              </w:rPr>
              <w:t>全国</w:t>
            </w:r>
            <w:r>
              <w:rPr>
                <w:rFonts w:hint="eastAsia"/>
                <w:color w:val="auto"/>
                <w:szCs w:val="21"/>
                <w:highlight w:val="none"/>
              </w:rPr>
              <w:t>公路建设市场信用信息管理系统或在省级交通运输主管部门公路建设市场信用信息管理系统可查询，担任岗位含项目经理或项目副经理；类似桥梁工程施工业绩指单项工程合同额在</w:t>
            </w:r>
            <w:r>
              <w:rPr>
                <w:color w:val="auto"/>
                <w:szCs w:val="21"/>
                <w:highlight w:val="none"/>
              </w:rPr>
              <w:t>4000</w:t>
            </w:r>
            <w:r>
              <w:rPr>
                <w:rFonts w:hint="eastAsia"/>
                <w:color w:val="auto"/>
                <w:szCs w:val="21"/>
                <w:highlight w:val="none"/>
              </w:rPr>
              <w:t xml:space="preserve">万元以上的业绩。 </w:t>
            </w:r>
          </w:p>
          <w:p>
            <w:pPr>
              <w:spacing w:line="360" w:lineRule="auto"/>
              <w:rPr>
                <w:color w:val="auto"/>
                <w:szCs w:val="21"/>
                <w:highlight w:val="none"/>
              </w:rPr>
            </w:pPr>
          </w:p>
        </w:tc>
        <w:tc>
          <w:tcPr>
            <w:tcW w:w="1484" w:type="dxa"/>
            <w:vAlign w:val="center"/>
          </w:tcPr>
          <w:p>
            <w:pPr>
              <w:jc w:val="center"/>
              <w:rPr>
                <w:color w:val="auto"/>
                <w:szCs w:val="21"/>
                <w:highlight w:val="none"/>
              </w:rPr>
            </w:pPr>
            <w:r>
              <w:rPr>
                <w:color w:val="auto"/>
                <w:szCs w:val="21"/>
                <w:highlight w:val="none"/>
              </w:rPr>
              <w:t>10</w:t>
            </w:r>
            <w:r>
              <w:rPr>
                <w:rFonts w:hint="eastAsia"/>
                <w:color w:val="auto"/>
                <w:szCs w:val="21"/>
                <w:highlight w:val="none"/>
              </w:rPr>
              <w:t>～</w:t>
            </w:r>
            <w:r>
              <w:rPr>
                <w:color w:val="auto"/>
                <w:szCs w:val="21"/>
                <w:highlight w:val="none"/>
              </w:rPr>
              <w:t>15</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exact"/>
        </w:trPr>
        <w:tc>
          <w:tcPr>
            <w:tcW w:w="993" w:type="dxa"/>
            <w:vMerge w:val="continue"/>
            <w:vAlign w:val="center"/>
          </w:tcPr>
          <w:p>
            <w:pPr>
              <w:jc w:val="center"/>
              <w:rPr>
                <w:color w:val="auto"/>
                <w:szCs w:val="21"/>
                <w:highlight w:val="none"/>
              </w:rPr>
            </w:pPr>
          </w:p>
        </w:tc>
        <w:tc>
          <w:tcPr>
            <w:tcW w:w="1068" w:type="dxa"/>
            <w:vMerge w:val="continue"/>
            <w:vAlign w:val="center"/>
          </w:tcPr>
          <w:p>
            <w:pPr>
              <w:spacing w:line="380" w:lineRule="exact"/>
              <w:jc w:val="center"/>
              <w:rPr>
                <w:color w:val="auto"/>
                <w:szCs w:val="21"/>
                <w:highlight w:val="none"/>
              </w:rPr>
            </w:pPr>
          </w:p>
        </w:tc>
        <w:tc>
          <w:tcPr>
            <w:tcW w:w="1134" w:type="dxa"/>
            <w:vAlign w:val="center"/>
          </w:tcPr>
          <w:p>
            <w:pPr>
              <w:spacing w:line="380" w:lineRule="exact"/>
              <w:jc w:val="center"/>
              <w:rPr>
                <w:color w:val="auto"/>
                <w:szCs w:val="21"/>
                <w:highlight w:val="none"/>
              </w:rPr>
            </w:pPr>
            <w:r>
              <w:rPr>
                <w:rFonts w:hint="eastAsia"/>
                <w:color w:val="auto"/>
                <w:szCs w:val="21"/>
                <w:highlight w:val="none"/>
              </w:rPr>
              <w:t>项目总工</w:t>
            </w:r>
          </w:p>
          <w:p>
            <w:pPr>
              <w:spacing w:line="380" w:lineRule="exact"/>
              <w:jc w:val="center"/>
              <w:rPr>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分）</w:t>
            </w:r>
          </w:p>
        </w:tc>
        <w:tc>
          <w:tcPr>
            <w:tcW w:w="5670" w:type="dxa"/>
            <w:vAlign w:val="center"/>
          </w:tcPr>
          <w:p>
            <w:pPr>
              <w:pStyle w:val="86"/>
              <w:numPr>
                <w:ilvl w:val="0"/>
                <w:numId w:val="11"/>
              </w:numPr>
              <w:spacing w:line="360" w:lineRule="auto"/>
              <w:rPr>
                <w:color w:val="auto"/>
                <w:szCs w:val="21"/>
                <w:highlight w:val="none"/>
              </w:rPr>
            </w:pPr>
            <w:r>
              <w:rPr>
                <w:rFonts w:hint="eastAsia"/>
                <w:color w:val="auto"/>
                <w:szCs w:val="21"/>
                <w:highlight w:val="none"/>
              </w:rPr>
              <w:t>满足资格审查强制性资格条件要求的，得</w:t>
            </w:r>
            <w:r>
              <w:rPr>
                <w:color w:val="auto"/>
                <w:szCs w:val="21"/>
                <w:highlight w:val="none"/>
              </w:rPr>
              <w:t>10</w:t>
            </w:r>
            <w:r>
              <w:rPr>
                <w:rFonts w:hint="eastAsia"/>
                <w:color w:val="auto"/>
                <w:szCs w:val="21"/>
                <w:highlight w:val="none"/>
              </w:rPr>
              <w:t>分。</w:t>
            </w:r>
          </w:p>
          <w:p>
            <w:pPr>
              <w:pStyle w:val="86"/>
              <w:numPr>
                <w:ilvl w:val="0"/>
                <w:numId w:val="11"/>
              </w:numPr>
              <w:spacing w:line="360" w:lineRule="auto"/>
              <w:rPr>
                <w:color w:val="auto"/>
                <w:szCs w:val="21"/>
                <w:highlight w:val="none"/>
              </w:rPr>
            </w:pPr>
            <w:r>
              <w:rPr>
                <w:rFonts w:hint="eastAsia"/>
                <w:color w:val="auto"/>
                <w:szCs w:val="21"/>
                <w:highlight w:val="none"/>
              </w:rPr>
              <w:t>满足公路相关专业高级工程师技术职称的，加2分</w:t>
            </w:r>
          </w:p>
          <w:p>
            <w:pPr>
              <w:spacing w:line="360" w:lineRule="auto"/>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）近5年（201</w:t>
            </w:r>
            <w:r>
              <w:rPr>
                <w:color w:val="auto"/>
                <w:szCs w:val="21"/>
                <w:highlight w:val="none"/>
              </w:rPr>
              <w:t>6</w:t>
            </w:r>
            <w:r>
              <w:rPr>
                <w:rFonts w:hint="eastAsia"/>
                <w:color w:val="auto"/>
                <w:szCs w:val="21"/>
                <w:highlight w:val="none"/>
              </w:rPr>
              <w:t>年1月1日至投标截止日，以交工时间为准），与资格审查强制性资格条件相比，每有一个类似桥梁工程施工业绩加</w:t>
            </w:r>
            <w:r>
              <w:rPr>
                <w:color w:val="auto"/>
                <w:szCs w:val="21"/>
                <w:highlight w:val="none"/>
              </w:rPr>
              <w:t>3</w:t>
            </w:r>
            <w:r>
              <w:rPr>
                <w:rFonts w:hint="eastAsia"/>
                <w:color w:val="auto"/>
                <w:szCs w:val="21"/>
                <w:highlight w:val="none"/>
              </w:rPr>
              <w:t>分，最多加</w:t>
            </w:r>
            <w:r>
              <w:rPr>
                <w:color w:val="auto"/>
                <w:szCs w:val="21"/>
                <w:highlight w:val="none"/>
              </w:rPr>
              <w:t>3</w:t>
            </w:r>
            <w:r>
              <w:rPr>
                <w:rFonts w:hint="eastAsia"/>
                <w:color w:val="auto"/>
                <w:szCs w:val="21"/>
                <w:highlight w:val="none"/>
              </w:rPr>
              <w:t>分。</w:t>
            </w:r>
          </w:p>
          <w:p>
            <w:pPr>
              <w:spacing w:line="360" w:lineRule="auto"/>
              <w:rPr>
                <w:color w:val="auto"/>
                <w:szCs w:val="21"/>
                <w:highlight w:val="none"/>
              </w:rPr>
            </w:pPr>
            <w:r>
              <w:rPr>
                <w:rFonts w:hint="eastAsia"/>
                <w:color w:val="auto"/>
                <w:szCs w:val="21"/>
                <w:highlight w:val="none"/>
              </w:rPr>
              <w:t>注：类似业绩必须在</w:t>
            </w:r>
            <w:r>
              <w:rPr>
                <w:rFonts w:hint="eastAsia"/>
                <w:color w:val="auto"/>
                <w:szCs w:val="21"/>
                <w:highlight w:val="none"/>
                <w:lang w:val="en-US" w:eastAsia="zh-CN"/>
              </w:rPr>
              <w:t>全国</w:t>
            </w:r>
            <w:r>
              <w:rPr>
                <w:rFonts w:hint="eastAsia"/>
                <w:color w:val="auto"/>
                <w:szCs w:val="21"/>
                <w:highlight w:val="none"/>
              </w:rPr>
              <w:t>公路建设市场信用信息管理系统或在省级交通运输主管部门公路建设市场信用信息管理系统可查询，担任岗位含项目总工或项目副总工；类似桥梁工程施工业绩指单项工程合同额在</w:t>
            </w:r>
            <w:r>
              <w:rPr>
                <w:color w:val="auto"/>
                <w:szCs w:val="21"/>
                <w:highlight w:val="none"/>
              </w:rPr>
              <w:t>4000</w:t>
            </w:r>
            <w:r>
              <w:rPr>
                <w:rFonts w:hint="eastAsia"/>
                <w:color w:val="auto"/>
                <w:szCs w:val="21"/>
                <w:highlight w:val="none"/>
              </w:rPr>
              <w:t>万元以上的业绩。</w:t>
            </w:r>
          </w:p>
        </w:tc>
        <w:tc>
          <w:tcPr>
            <w:tcW w:w="1484" w:type="dxa"/>
            <w:vAlign w:val="center"/>
          </w:tcPr>
          <w:p>
            <w:pPr>
              <w:jc w:val="center"/>
              <w:rPr>
                <w:color w:val="auto"/>
                <w:szCs w:val="21"/>
                <w:highlight w:val="none"/>
              </w:rPr>
            </w:pPr>
            <w:r>
              <w:rPr>
                <w:color w:val="auto"/>
                <w:szCs w:val="21"/>
                <w:highlight w:val="none"/>
              </w:rPr>
              <w:t>10</w:t>
            </w:r>
            <w:r>
              <w:rPr>
                <w:rFonts w:hint="eastAsia"/>
                <w:color w:val="auto"/>
                <w:szCs w:val="21"/>
                <w:highlight w:val="none"/>
              </w:rPr>
              <w:t>～</w:t>
            </w:r>
            <w:r>
              <w:rPr>
                <w:color w:val="auto"/>
                <w:szCs w:val="21"/>
                <w:highlight w:val="none"/>
              </w:rPr>
              <w:t>15</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993" w:type="dxa"/>
            <w:vAlign w:val="center"/>
          </w:tcPr>
          <w:p>
            <w:pPr>
              <w:spacing w:line="480" w:lineRule="exact"/>
              <w:rPr>
                <w:color w:val="auto"/>
                <w:szCs w:val="21"/>
                <w:highlight w:val="none"/>
              </w:rPr>
            </w:pPr>
            <w:r>
              <w:rPr>
                <w:rFonts w:hint="eastAsia"/>
                <w:color w:val="auto"/>
                <w:szCs w:val="21"/>
                <w:highlight w:val="none"/>
              </w:rPr>
              <w:t>2.2.2（2）</w:t>
            </w:r>
          </w:p>
          <w:p>
            <w:pPr>
              <w:spacing w:line="480" w:lineRule="exact"/>
              <w:rPr>
                <w:color w:val="auto"/>
                <w:szCs w:val="21"/>
                <w:highlight w:val="none"/>
              </w:rPr>
            </w:pPr>
          </w:p>
        </w:tc>
        <w:tc>
          <w:tcPr>
            <w:tcW w:w="1068" w:type="dxa"/>
            <w:vAlign w:val="center"/>
          </w:tcPr>
          <w:p>
            <w:pPr>
              <w:spacing w:line="480" w:lineRule="exact"/>
              <w:jc w:val="center"/>
              <w:rPr>
                <w:color w:val="auto"/>
                <w:szCs w:val="21"/>
                <w:highlight w:val="none"/>
              </w:rPr>
            </w:pPr>
            <w:r>
              <w:rPr>
                <w:rFonts w:hint="eastAsia"/>
                <w:color w:val="auto"/>
                <w:szCs w:val="21"/>
                <w:highlight w:val="none"/>
              </w:rPr>
              <w:t>技术能力</w:t>
            </w:r>
          </w:p>
          <w:p>
            <w:pPr>
              <w:spacing w:line="480" w:lineRule="exact"/>
              <w:jc w:val="center"/>
              <w:rPr>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分</w:t>
            </w:r>
            <w:r>
              <w:rPr>
                <w:color w:val="auto"/>
                <w:szCs w:val="21"/>
                <w:highlight w:val="none"/>
              </w:rPr>
              <w:t>）</w:t>
            </w:r>
          </w:p>
          <w:p>
            <w:pPr>
              <w:spacing w:line="480" w:lineRule="exact"/>
              <w:jc w:val="center"/>
              <w:rPr>
                <w:color w:val="auto"/>
                <w:szCs w:val="21"/>
                <w:highlight w:val="none"/>
              </w:rPr>
            </w:pPr>
            <w:r>
              <w:rPr>
                <w:rFonts w:hint="eastAsia"/>
                <w:color w:val="auto"/>
                <w:szCs w:val="21"/>
                <w:highlight w:val="none"/>
              </w:rPr>
              <w:t xml:space="preserve"> </w:t>
            </w:r>
          </w:p>
        </w:tc>
        <w:tc>
          <w:tcPr>
            <w:tcW w:w="1134" w:type="dxa"/>
            <w:vAlign w:val="center"/>
          </w:tcPr>
          <w:p>
            <w:pPr>
              <w:adjustRightInd w:val="0"/>
              <w:snapToGrid w:val="0"/>
              <w:spacing w:line="400" w:lineRule="exact"/>
              <w:ind w:left="-86" w:leftChars="-39"/>
              <w:jc w:val="center"/>
              <w:rPr>
                <w:color w:val="auto"/>
                <w:szCs w:val="21"/>
                <w:highlight w:val="none"/>
              </w:rPr>
            </w:pPr>
            <w:r>
              <w:rPr>
                <w:rFonts w:hint="eastAsia"/>
                <w:color w:val="auto"/>
                <w:szCs w:val="21"/>
                <w:highlight w:val="none"/>
              </w:rPr>
              <w:t>企业类似工程</w:t>
            </w:r>
          </w:p>
          <w:p>
            <w:pPr>
              <w:adjustRightInd w:val="0"/>
              <w:snapToGrid w:val="0"/>
              <w:spacing w:line="400" w:lineRule="exact"/>
              <w:ind w:left="-86" w:leftChars="-39"/>
              <w:jc w:val="center"/>
              <w:rPr>
                <w:color w:val="auto"/>
                <w:szCs w:val="21"/>
                <w:highlight w:val="none"/>
              </w:rPr>
            </w:pPr>
            <w:r>
              <w:rPr>
                <w:rFonts w:hint="eastAsia"/>
                <w:color w:val="auto"/>
                <w:szCs w:val="21"/>
                <w:highlight w:val="none"/>
              </w:rPr>
              <w:t>业绩</w:t>
            </w:r>
          </w:p>
          <w:p>
            <w:pPr>
              <w:adjustRightInd w:val="0"/>
              <w:snapToGrid w:val="0"/>
              <w:spacing w:line="400" w:lineRule="exact"/>
              <w:ind w:left="-86" w:leftChars="-39"/>
              <w:jc w:val="center"/>
              <w:rPr>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分）</w:t>
            </w:r>
          </w:p>
        </w:tc>
        <w:tc>
          <w:tcPr>
            <w:tcW w:w="5670" w:type="dxa"/>
            <w:vAlign w:val="center"/>
          </w:tcPr>
          <w:p>
            <w:pPr>
              <w:adjustRightInd w:val="0"/>
              <w:spacing w:line="360" w:lineRule="auto"/>
              <w:ind w:firstLine="440" w:firstLineChars="200"/>
              <w:rPr>
                <w:b/>
                <w:color w:val="auto"/>
                <w:szCs w:val="21"/>
                <w:highlight w:val="none"/>
              </w:rPr>
            </w:pPr>
            <w:r>
              <w:rPr>
                <w:rFonts w:hint="eastAsia"/>
                <w:color w:val="auto"/>
                <w:szCs w:val="21"/>
                <w:highlight w:val="none"/>
              </w:rPr>
              <w:t>近5年（201</w:t>
            </w:r>
            <w:r>
              <w:rPr>
                <w:color w:val="auto"/>
                <w:szCs w:val="21"/>
                <w:highlight w:val="none"/>
              </w:rPr>
              <w:t>6</w:t>
            </w:r>
            <w:r>
              <w:rPr>
                <w:rFonts w:hint="eastAsia"/>
                <w:color w:val="auto"/>
                <w:szCs w:val="21"/>
                <w:highlight w:val="none"/>
              </w:rPr>
              <w:t>年1月1日至投标截止日，以交工时间为准）完成过类似桥梁工程施工业绩得</w:t>
            </w:r>
            <w:r>
              <w:rPr>
                <w:color w:val="auto"/>
                <w:szCs w:val="21"/>
                <w:highlight w:val="none"/>
              </w:rPr>
              <w:t>3</w:t>
            </w:r>
            <w:r>
              <w:rPr>
                <w:rFonts w:hint="eastAsia"/>
                <w:color w:val="auto"/>
                <w:szCs w:val="21"/>
                <w:highlight w:val="none"/>
              </w:rPr>
              <w:t>分；每增加一个加</w:t>
            </w:r>
            <w:r>
              <w:rPr>
                <w:color w:val="auto"/>
                <w:szCs w:val="21"/>
                <w:highlight w:val="none"/>
              </w:rPr>
              <w:t>3</w:t>
            </w:r>
            <w:r>
              <w:rPr>
                <w:rFonts w:hint="eastAsia"/>
                <w:color w:val="auto"/>
                <w:szCs w:val="21"/>
                <w:highlight w:val="none"/>
              </w:rPr>
              <w:t>分，最多加</w:t>
            </w:r>
            <w:r>
              <w:rPr>
                <w:color w:val="auto"/>
                <w:szCs w:val="21"/>
                <w:highlight w:val="none"/>
              </w:rPr>
              <w:t>12</w:t>
            </w:r>
            <w:r>
              <w:rPr>
                <w:rFonts w:hint="eastAsia"/>
                <w:color w:val="auto"/>
                <w:szCs w:val="21"/>
                <w:highlight w:val="none"/>
              </w:rPr>
              <w:t>分。</w:t>
            </w:r>
          </w:p>
          <w:p>
            <w:pPr>
              <w:adjustRightInd w:val="0"/>
              <w:spacing w:line="360" w:lineRule="auto"/>
              <w:ind w:firstLine="440" w:firstLineChars="200"/>
              <w:rPr>
                <w:color w:val="auto"/>
                <w:szCs w:val="21"/>
                <w:highlight w:val="none"/>
              </w:rPr>
            </w:pPr>
            <w:r>
              <w:rPr>
                <w:rFonts w:hint="eastAsia"/>
                <w:color w:val="auto"/>
                <w:szCs w:val="21"/>
                <w:highlight w:val="none"/>
              </w:rPr>
              <w:t>注：类似业绩必须在</w:t>
            </w:r>
            <w:r>
              <w:rPr>
                <w:rFonts w:hint="eastAsia"/>
                <w:color w:val="auto"/>
                <w:szCs w:val="21"/>
                <w:highlight w:val="none"/>
                <w:lang w:val="en-US" w:eastAsia="zh-CN"/>
              </w:rPr>
              <w:t>全国</w:t>
            </w:r>
            <w:r>
              <w:rPr>
                <w:rFonts w:hint="eastAsia"/>
                <w:color w:val="auto"/>
                <w:szCs w:val="21"/>
                <w:highlight w:val="none"/>
              </w:rPr>
              <w:t>公路建设市场信用信息管理系统或在省级交通运输主管部门公路建设市场信用信息管理系统可查询，</w:t>
            </w:r>
            <w:r>
              <w:rPr>
                <w:rFonts w:hint="eastAsia"/>
                <w:color w:val="auto"/>
                <w:highlight w:val="none"/>
              </w:rPr>
              <w:t>类似桥梁工程施工业绩指单项工程合同额在</w:t>
            </w:r>
            <w:r>
              <w:rPr>
                <w:color w:val="auto"/>
                <w:highlight w:val="none"/>
              </w:rPr>
              <w:t>4000</w:t>
            </w:r>
            <w:r>
              <w:rPr>
                <w:rFonts w:hint="eastAsia"/>
                <w:color w:val="auto"/>
                <w:highlight w:val="none"/>
              </w:rPr>
              <w:t>万元（含）以上的桥梁工程业绩。</w:t>
            </w:r>
          </w:p>
        </w:tc>
        <w:tc>
          <w:tcPr>
            <w:tcW w:w="1484" w:type="dxa"/>
            <w:vAlign w:val="center"/>
          </w:tcPr>
          <w:p>
            <w:pPr>
              <w:spacing w:line="480" w:lineRule="exact"/>
              <w:ind w:firstLine="220" w:firstLineChars="100"/>
              <w:rPr>
                <w:color w:val="auto"/>
                <w:szCs w:val="21"/>
                <w:highlight w:val="none"/>
              </w:rPr>
            </w:pPr>
            <w:r>
              <w:rPr>
                <w:rFonts w:hint="eastAsia"/>
                <w:color w:val="auto"/>
                <w:szCs w:val="21"/>
                <w:highlight w:val="none"/>
              </w:rPr>
              <w:t>0～</w:t>
            </w:r>
            <w:r>
              <w:rPr>
                <w:color w:val="auto"/>
                <w:szCs w:val="21"/>
                <w:highlight w:val="none"/>
              </w:rPr>
              <w:t>15</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993" w:type="dxa"/>
            <w:vAlign w:val="center"/>
          </w:tcPr>
          <w:p>
            <w:pPr>
              <w:spacing w:line="480" w:lineRule="exact"/>
              <w:rPr>
                <w:color w:val="auto"/>
                <w:szCs w:val="21"/>
                <w:highlight w:val="none"/>
              </w:rPr>
            </w:pPr>
            <w:r>
              <w:rPr>
                <w:rFonts w:hint="eastAsia"/>
                <w:color w:val="auto"/>
                <w:szCs w:val="21"/>
                <w:highlight w:val="none"/>
              </w:rPr>
              <w:t>2.2.2（3）</w:t>
            </w:r>
          </w:p>
          <w:p>
            <w:pPr>
              <w:spacing w:line="480" w:lineRule="exact"/>
              <w:jc w:val="center"/>
              <w:rPr>
                <w:color w:val="auto"/>
                <w:szCs w:val="21"/>
                <w:highlight w:val="none"/>
              </w:rPr>
            </w:pPr>
          </w:p>
        </w:tc>
        <w:tc>
          <w:tcPr>
            <w:tcW w:w="1068" w:type="dxa"/>
            <w:vAlign w:val="center"/>
          </w:tcPr>
          <w:p>
            <w:pPr>
              <w:spacing w:line="480" w:lineRule="exact"/>
              <w:jc w:val="both"/>
              <w:rPr>
                <w:color w:val="auto"/>
                <w:szCs w:val="21"/>
                <w:highlight w:val="none"/>
              </w:rPr>
            </w:pPr>
            <w:r>
              <w:rPr>
                <w:rFonts w:hint="eastAsia"/>
                <w:color w:val="auto"/>
                <w:szCs w:val="21"/>
                <w:highlight w:val="none"/>
              </w:rPr>
              <w:t>企业履约信誉及专业能力</w:t>
            </w:r>
          </w:p>
          <w:p>
            <w:pPr>
              <w:spacing w:line="480" w:lineRule="exact"/>
              <w:jc w:val="center"/>
              <w:rPr>
                <w:rFonts w:hint="eastAsia" w:eastAsia="宋体"/>
                <w:color w:val="auto"/>
                <w:szCs w:val="21"/>
                <w:highlight w:val="none"/>
                <w:lang w:eastAsia="zh-CN"/>
              </w:rPr>
            </w:pPr>
            <w:r>
              <w:rPr>
                <w:rFonts w:hint="eastAsia"/>
                <w:color w:val="auto"/>
                <w:szCs w:val="21"/>
                <w:highlight w:val="none"/>
                <w:lang w:val="en-US" w:eastAsia="zh-CN"/>
              </w:rPr>
              <w:t>(</w:t>
            </w:r>
            <w:r>
              <w:rPr>
                <w:color w:val="auto"/>
                <w:szCs w:val="21"/>
                <w:highlight w:val="none"/>
              </w:rPr>
              <w:t>15</w:t>
            </w:r>
            <w:r>
              <w:rPr>
                <w:rFonts w:hint="eastAsia"/>
                <w:color w:val="auto"/>
                <w:szCs w:val="21"/>
                <w:highlight w:val="none"/>
              </w:rPr>
              <w:t>分</w:t>
            </w:r>
            <w:r>
              <w:rPr>
                <w:rFonts w:hint="eastAsia"/>
                <w:color w:val="auto"/>
                <w:szCs w:val="21"/>
                <w:highlight w:val="none"/>
                <w:lang w:val="en-US" w:eastAsia="zh-CN"/>
              </w:rPr>
              <w:t>)</w:t>
            </w:r>
          </w:p>
        </w:tc>
        <w:tc>
          <w:tcPr>
            <w:tcW w:w="1134" w:type="dxa"/>
            <w:vAlign w:val="center"/>
          </w:tcPr>
          <w:p>
            <w:pPr>
              <w:spacing w:line="480" w:lineRule="exact"/>
              <w:jc w:val="center"/>
              <w:rPr>
                <w:rFonts w:ascii="HiddenHorzOCl" w:hAnsi="HiddenHorzOCl"/>
                <w:color w:val="auto"/>
                <w:szCs w:val="21"/>
                <w:highlight w:val="none"/>
              </w:rPr>
            </w:pPr>
            <w:r>
              <w:rPr>
                <w:rFonts w:hint="eastAsia" w:ascii="HiddenHorzOCl" w:hAnsi="HiddenHorzOCl"/>
                <w:color w:val="auto"/>
                <w:szCs w:val="21"/>
                <w:highlight w:val="none"/>
              </w:rPr>
              <w:t>企业信誉</w:t>
            </w:r>
          </w:p>
          <w:p>
            <w:pPr>
              <w:spacing w:line="480" w:lineRule="exact"/>
              <w:jc w:val="center"/>
              <w:rPr>
                <w:rFonts w:ascii="HiddenHorzOCl" w:hAnsi="HiddenHorzOCl"/>
                <w:color w:val="auto"/>
                <w:szCs w:val="21"/>
                <w:highlight w:val="none"/>
              </w:rPr>
            </w:pPr>
            <w:r>
              <w:rPr>
                <w:rFonts w:hint="eastAsia" w:ascii="HiddenHorzOCl" w:hAnsi="HiddenHorzOCl"/>
                <w:color w:val="auto"/>
                <w:szCs w:val="21"/>
                <w:highlight w:val="none"/>
              </w:rPr>
              <w:t>（</w:t>
            </w:r>
            <w:r>
              <w:rPr>
                <w:rFonts w:ascii="HiddenHorzOCl" w:hAnsi="HiddenHorzOCl"/>
                <w:color w:val="auto"/>
                <w:szCs w:val="21"/>
                <w:highlight w:val="none"/>
              </w:rPr>
              <w:t>15</w:t>
            </w:r>
            <w:r>
              <w:rPr>
                <w:rFonts w:hint="eastAsia" w:ascii="HiddenHorzOCl" w:hAnsi="HiddenHorzOCl"/>
                <w:color w:val="auto"/>
                <w:szCs w:val="21"/>
                <w:highlight w:val="none"/>
              </w:rPr>
              <w:t>分）</w:t>
            </w:r>
          </w:p>
        </w:tc>
        <w:tc>
          <w:tcPr>
            <w:tcW w:w="5670" w:type="dxa"/>
            <w:vAlign w:val="center"/>
          </w:tcPr>
          <w:p>
            <w:pPr>
              <w:adjustRightInd w:val="0"/>
              <w:spacing w:line="360" w:lineRule="auto"/>
              <w:ind w:firstLine="440" w:firstLineChars="200"/>
              <w:rPr>
                <w:color w:val="auto"/>
                <w:szCs w:val="21"/>
                <w:highlight w:val="none"/>
              </w:rPr>
            </w:pPr>
            <w:r>
              <w:rPr>
                <w:rFonts w:hint="eastAsia"/>
                <w:color w:val="auto"/>
                <w:szCs w:val="21"/>
                <w:highlight w:val="none"/>
              </w:rPr>
              <w:t>信用等级AAA得15分，AA得10分，A得5分，A级以下不得分。</w:t>
            </w:r>
          </w:p>
          <w:p>
            <w:pPr>
              <w:adjustRightInd w:val="0"/>
              <w:spacing w:line="360" w:lineRule="auto"/>
              <w:ind w:firstLine="440" w:firstLineChars="200"/>
              <w:rPr>
                <w:rFonts w:ascii="HiddenHorzOCl" w:hAnsi="HiddenHorzOCl"/>
                <w:color w:val="auto"/>
                <w:szCs w:val="21"/>
                <w:highlight w:val="none"/>
              </w:rPr>
            </w:pPr>
            <w:r>
              <w:rPr>
                <w:rFonts w:hint="eastAsia"/>
                <w:color w:val="auto"/>
                <w:szCs w:val="21"/>
                <w:highlight w:val="none"/>
              </w:rPr>
              <w:t>注：由辽宁省社会信用体系建设领导小组办公室认定的备案信用中介机构核发的信用报告或“信用中国（辽宁）” （</w:t>
            </w:r>
            <w:r>
              <w:rPr>
                <w:color w:val="auto"/>
                <w:highlight w:val="none"/>
              </w:rPr>
              <w:fldChar w:fldCharType="begin"/>
            </w:r>
            <w:r>
              <w:rPr>
                <w:color w:val="auto"/>
                <w:highlight w:val="none"/>
              </w:rPr>
              <w:instrText xml:space="preserve"> HYPERLINK "http://www.xyln.net/" </w:instrText>
            </w:r>
            <w:r>
              <w:rPr>
                <w:color w:val="auto"/>
                <w:highlight w:val="none"/>
              </w:rPr>
              <w:fldChar w:fldCharType="separate"/>
            </w:r>
            <w:r>
              <w:rPr>
                <w:rFonts w:hint="eastAsia"/>
                <w:color w:val="auto"/>
                <w:szCs w:val="21"/>
                <w:highlight w:val="none"/>
              </w:rPr>
              <w:t>www.xyln.net/</w:t>
            </w:r>
            <w:r>
              <w:rPr>
                <w:rFonts w:hint="eastAsia"/>
                <w:color w:val="auto"/>
                <w:szCs w:val="21"/>
                <w:highlight w:val="none"/>
              </w:rPr>
              <w:fldChar w:fldCharType="end"/>
            </w:r>
            <w:r>
              <w:rPr>
                <w:rFonts w:hint="eastAsia"/>
                <w:color w:val="auto"/>
                <w:szCs w:val="21"/>
                <w:highlight w:val="none"/>
              </w:rPr>
              <w:t>）</w:t>
            </w:r>
            <w:r>
              <w:rPr>
                <w:rFonts w:hint="eastAsia"/>
                <w:color w:val="auto"/>
                <w:sz w:val="21"/>
                <w:szCs w:val="21"/>
                <w:highlight w:val="none"/>
                <w:lang w:val="en-US" w:eastAsia="zh-CN"/>
              </w:rPr>
              <w:t>及</w:t>
            </w:r>
            <w:r>
              <w:rPr>
                <w:rFonts w:hint="eastAsia"/>
                <w:color w:val="auto"/>
                <w:sz w:val="21"/>
                <w:szCs w:val="21"/>
                <w:highlight w:val="none"/>
              </w:rPr>
              <w:t>相关网站</w:t>
            </w:r>
            <w:r>
              <w:rPr>
                <w:rFonts w:hint="eastAsia"/>
                <w:color w:val="auto"/>
                <w:szCs w:val="21"/>
                <w:highlight w:val="none"/>
              </w:rPr>
              <w:t>公示</w:t>
            </w:r>
            <w:r>
              <w:rPr>
                <w:rFonts w:hint="eastAsia"/>
                <w:color w:val="auto"/>
                <w:szCs w:val="21"/>
                <w:highlight w:val="none"/>
                <w:lang w:val="en-US" w:eastAsia="zh-CN"/>
              </w:rPr>
              <w:t>后的企业信用报告</w:t>
            </w:r>
            <w:r>
              <w:rPr>
                <w:rFonts w:hint="eastAsia"/>
                <w:color w:val="auto"/>
                <w:szCs w:val="21"/>
                <w:highlight w:val="none"/>
              </w:rPr>
              <w:t>信用等级，并在有效期内。</w:t>
            </w:r>
          </w:p>
        </w:tc>
        <w:tc>
          <w:tcPr>
            <w:tcW w:w="1484" w:type="dxa"/>
            <w:vAlign w:val="center"/>
          </w:tcPr>
          <w:p>
            <w:pPr>
              <w:spacing w:line="480" w:lineRule="exact"/>
              <w:jc w:val="center"/>
              <w:rPr>
                <w:color w:val="auto"/>
                <w:szCs w:val="21"/>
                <w:highlight w:val="none"/>
              </w:rPr>
            </w:pPr>
            <w:r>
              <w:rPr>
                <w:rFonts w:hint="eastAsia" w:ascii="HiddenHorzOCl" w:hAnsi="HiddenHorzOCl"/>
                <w:color w:val="auto"/>
                <w:szCs w:val="21"/>
                <w:highlight w:val="none"/>
              </w:rPr>
              <w:t>0～</w:t>
            </w:r>
            <w:r>
              <w:rPr>
                <w:color w:val="auto"/>
                <w:szCs w:val="21"/>
                <w:highlight w:val="none"/>
              </w:rPr>
              <w:t>15</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exact"/>
        </w:trPr>
        <w:tc>
          <w:tcPr>
            <w:tcW w:w="993" w:type="dxa"/>
            <w:vAlign w:val="center"/>
          </w:tcPr>
          <w:p>
            <w:pPr>
              <w:spacing w:line="480" w:lineRule="exact"/>
              <w:jc w:val="center"/>
              <w:rPr>
                <w:color w:val="auto"/>
                <w:szCs w:val="21"/>
                <w:highlight w:val="none"/>
              </w:rPr>
            </w:pPr>
            <w:r>
              <w:rPr>
                <w:rFonts w:hint="eastAsia"/>
                <w:color w:val="auto"/>
                <w:szCs w:val="21"/>
                <w:highlight w:val="none"/>
              </w:rPr>
              <w:t>2.2.2（4）</w:t>
            </w:r>
          </w:p>
        </w:tc>
        <w:tc>
          <w:tcPr>
            <w:tcW w:w="1068" w:type="dxa"/>
            <w:vAlign w:val="center"/>
          </w:tcPr>
          <w:p>
            <w:pPr>
              <w:spacing w:line="480" w:lineRule="exact"/>
              <w:jc w:val="center"/>
              <w:rPr>
                <w:color w:val="auto"/>
                <w:szCs w:val="21"/>
                <w:highlight w:val="none"/>
              </w:rPr>
            </w:pPr>
            <w:r>
              <w:rPr>
                <w:rFonts w:hint="eastAsia"/>
                <w:color w:val="auto"/>
                <w:szCs w:val="21"/>
                <w:highlight w:val="none"/>
              </w:rPr>
              <w:t>初步施工组织计划（40分）</w:t>
            </w:r>
          </w:p>
        </w:tc>
        <w:tc>
          <w:tcPr>
            <w:tcW w:w="6804" w:type="dxa"/>
            <w:gridSpan w:val="2"/>
            <w:vAlign w:val="center"/>
          </w:tcPr>
          <w:p>
            <w:pPr>
              <w:spacing w:line="480" w:lineRule="exact"/>
              <w:rPr>
                <w:color w:val="auto"/>
                <w:szCs w:val="21"/>
                <w:highlight w:val="none"/>
              </w:rPr>
            </w:pPr>
            <w:r>
              <w:rPr>
                <w:rFonts w:hint="eastAsia"/>
                <w:color w:val="auto"/>
                <w:szCs w:val="21"/>
                <w:highlight w:val="none"/>
              </w:rPr>
              <w:t xml:space="preserve">（1）施工总体计划 （10分） </w:t>
            </w:r>
          </w:p>
          <w:p>
            <w:pPr>
              <w:spacing w:line="480" w:lineRule="exact"/>
              <w:rPr>
                <w:color w:val="auto"/>
                <w:szCs w:val="21"/>
                <w:highlight w:val="none"/>
              </w:rPr>
            </w:pPr>
            <w:r>
              <w:rPr>
                <w:rFonts w:hint="eastAsia"/>
                <w:color w:val="auto"/>
                <w:szCs w:val="21"/>
                <w:highlight w:val="none"/>
              </w:rPr>
              <w:t xml:space="preserve">施工总体计划及质量目标、工期目标（包括总工期、节点工期）、安全目标，视方案优劣，6-10分。 </w:t>
            </w:r>
          </w:p>
          <w:p>
            <w:pPr>
              <w:spacing w:line="480" w:lineRule="exact"/>
              <w:rPr>
                <w:color w:val="auto"/>
                <w:szCs w:val="21"/>
                <w:highlight w:val="none"/>
              </w:rPr>
            </w:pPr>
            <w:r>
              <w:rPr>
                <w:rFonts w:hint="eastAsia"/>
                <w:color w:val="auto"/>
                <w:szCs w:val="21"/>
                <w:highlight w:val="none"/>
              </w:rPr>
              <w:t>（2）对项目重点、难点工程的理解及施工方案、工艺流程（10分）</w:t>
            </w:r>
          </w:p>
          <w:p>
            <w:pPr>
              <w:spacing w:line="480" w:lineRule="exact"/>
              <w:rPr>
                <w:color w:val="auto"/>
                <w:szCs w:val="21"/>
                <w:highlight w:val="none"/>
              </w:rPr>
            </w:pPr>
            <w:r>
              <w:rPr>
                <w:rFonts w:hint="eastAsia"/>
                <w:color w:val="auto"/>
                <w:szCs w:val="21"/>
                <w:highlight w:val="none"/>
              </w:rPr>
              <w:t>对提出的项目重点、难点方案，视方案优劣，6-10分。</w:t>
            </w:r>
          </w:p>
          <w:p>
            <w:pPr>
              <w:spacing w:line="480" w:lineRule="exact"/>
              <w:rPr>
                <w:color w:val="auto"/>
                <w:szCs w:val="21"/>
                <w:highlight w:val="none"/>
              </w:rPr>
            </w:pPr>
            <w:r>
              <w:rPr>
                <w:rFonts w:hint="eastAsia"/>
                <w:color w:val="auto"/>
                <w:szCs w:val="21"/>
                <w:highlight w:val="none"/>
              </w:rPr>
              <w:t xml:space="preserve">（3）质量、工期、安全生产、人员安排保证方案和措施（10分）  </w:t>
            </w:r>
          </w:p>
          <w:p>
            <w:pPr>
              <w:spacing w:line="480" w:lineRule="exact"/>
              <w:rPr>
                <w:color w:val="auto"/>
                <w:szCs w:val="21"/>
                <w:highlight w:val="none"/>
              </w:rPr>
            </w:pPr>
            <w:r>
              <w:rPr>
                <w:rFonts w:hint="eastAsia"/>
                <w:color w:val="auto"/>
                <w:szCs w:val="21"/>
                <w:highlight w:val="none"/>
              </w:rPr>
              <w:t xml:space="preserve">质量、工期、安全管理、人员安排保证方案和措施，视方案和措施优劣，6-10分。 </w:t>
            </w:r>
          </w:p>
          <w:p>
            <w:pPr>
              <w:spacing w:line="480" w:lineRule="exact"/>
              <w:rPr>
                <w:color w:val="auto"/>
                <w:szCs w:val="21"/>
                <w:highlight w:val="none"/>
              </w:rPr>
            </w:pPr>
            <w:r>
              <w:rPr>
                <w:rFonts w:hint="eastAsia"/>
                <w:color w:val="auto"/>
                <w:szCs w:val="21"/>
                <w:highlight w:val="none"/>
              </w:rPr>
              <w:t>（4）环境保护、水土保持、施工后期场地恢复、支付保障方案和措施（5分）</w:t>
            </w:r>
          </w:p>
          <w:p>
            <w:pPr>
              <w:spacing w:line="480" w:lineRule="exact"/>
              <w:rPr>
                <w:color w:val="auto"/>
                <w:szCs w:val="21"/>
                <w:highlight w:val="none"/>
              </w:rPr>
            </w:pPr>
            <w:r>
              <w:rPr>
                <w:rFonts w:hint="eastAsia"/>
                <w:color w:val="auto"/>
                <w:szCs w:val="21"/>
                <w:highlight w:val="none"/>
              </w:rPr>
              <w:t>环境保护、水土保持、施工后期场地恢复、支付保障方案和措施，视方案和措施优劣，3-5分。</w:t>
            </w:r>
          </w:p>
          <w:p>
            <w:pPr>
              <w:spacing w:line="480" w:lineRule="exact"/>
              <w:rPr>
                <w:color w:val="auto"/>
                <w:szCs w:val="21"/>
                <w:highlight w:val="none"/>
              </w:rPr>
            </w:pPr>
            <w:r>
              <w:rPr>
                <w:rFonts w:hint="eastAsia"/>
                <w:color w:val="auto"/>
                <w:szCs w:val="21"/>
                <w:highlight w:val="none"/>
              </w:rPr>
              <w:t>（5）施工现场标准化、安全生产标准化、信息化建设的保证方案和措施（5分）</w:t>
            </w:r>
          </w:p>
          <w:p>
            <w:pPr>
              <w:spacing w:line="480" w:lineRule="exact"/>
              <w:rPr>
                <w:color w:val="auto"/>
                <w:szCs w:val="21"/>
                <w:highlight w:val="none"/>
              </w:rPr>
            </w:pPr>
            <w:r>
              <w:rPr>
                <w:rFonts w:hint="eastAsia"/>
                <w:color w:val="auto"/>
                <w:szCs w:val="21"/>
                <w:highlight w:val="none"/>
              </w:rPr>
              <w:t>视方案和措施优劣3-5分。</w:t>
            </w:r>
          </w:p>
        </w:tc>
        <w:tc>
          <w:tcPr>
            <w:tcW w:w="1484" w:type="dxa"/>
            <w:vAlign w:val="center"/>
          </w:tcPr>
          <w:p>
            <w:pPr>
              <w:spacing w:line="480" w:lineRule="exact"/>
              <w:jc w:val="center"/>
              <w:rPr>
                <w:color w:val="auto"/>
                <w:szCs w:val="21"/>
                <w:highlight w:val="none"/>
              </w:rPr>
            </w:pPr>
            <w:r>
              <w:rPr>
                <w:rFonts w:hint="eastAsia"/>
                <w:color w:val="auto"/>
                <w:szCs w:val="21"/>
                <w:highlight w:val="none"/>
              </w:rPr>
              <w:t>24</w:t>
            </w:r>
            <w:r>
              <w:rPr>
                <w:rFonts w:hint="eastAsia" w:ascii="HiddenHorzOCl" w:hAnsi="HiddenHorzOCl"/>
                <w:color w:val="auto"/>
                <w:szCs w:val="21"/>
                <w:highlight w:val="none"/>
              </w:rPr>
              <w:t>～</w:t>
            </w:r>
            <w:r>
              <w:rPr>
                <w:rFonts w:hint="eastAsia"/>
                <w:color w:val="auto"/>
                <w:szCs w:val="21"/>
                <w:highlight w:val="none"/>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49" w:type="dxa"/>
            <w:gridSpan w:val="5"/>
            <w:vAlign w:val="center"/>
          </w:tcPr>
          <w:p>
            <w:pPr>
              <w:rPr>
                <w:b/>
                <w:color w:val="auto"/>
                <w:szCs w:val="21"/>
                <w:highlight w:val="none"/>
              </w:rPr>
            </w:pPr>
            <w:r>
              <w:rPr>
                <w:rFonts w:hint="eastAsia"/>
                <w:b/>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3" w:type="dxa"/>
            <w:vAlign w:val="center"/>
          </w:tcPr>
          <w:p>
            <w:pPr>
              <w:rPr>
                <w:b/>
                <w:color w:val="auto"/>
                <w:szCs w:val="21"/>
                <w:highlight w:val="none"/>
              </w:rPr>
            </w:pPr>
            <w:r>
              <w:rPr>
                <w:rFonts w:hint="eastAsia"/>
                <w:b/>
                <w:color w:val="auto"/>
                <w:szCs w:val="21"/>
                <w:highlight w:val="none"/>
              </w:rPr>
              <w:t>条款号</w:t>
            </w:r>
          </w:p>
        </w:tc>
        <w:tc>
          <w:tcPr>
            <w:tcW w:w="9356" w:type="dxa"/>
            <w:gridSpan w:val="4"/>
            <w:vAlign w:val="center"/>
          </w:tcPr>
          <w:p>
            <w:pPr>
              <w:jc w:val="center"/>
              <w:rPr>
                <w:b/>
                <w:color w:val="auto"/>
                <w:szCs w:val="21"/>
                <w:highlight w:val="none"/>
              </w:rPr>
            </w:pPr>
            <w:r>
              <w:rPr>
                <w:rFonts w:hint="eastAsia"/>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8" w:hRule="atLeast"/>
        </w:trPr>
        <w:tc>
          <w:tcPr>
            <w:tcW w:w="993" w:type="dxa"/>
            <w:vAlign w:val="center"/>
          </w:tcPr>
          <w:p>
            <w:pPr>
              <w:jc w:val="center"/>
              <w:rPr>
                <w:color w:val="auto"/>
                <w:szCs w:val="21"/>
                <w:highlight w:val="none"/>
              </w:rPr>
            </w:pPr>
            <w:r>
              <w:rPr>
                <w:rFonts w:hint="eastAsia"/>
                <w:color w:val="auto"/>
                <w:szCs w:val="21"/>
                <w:highlight w:val="none"/>
              </w:rPr>
              <w:t>1</w:t>
            </w:r>
          </w:p>
        </w:tc>
        <w:tc>
          <w:tcPr>
            <w:tcW w:w="9356" w:type="dxa"/>
            <w:gridSpan w:val="4"/>
            <w:vAlign w:val="center"/>
          </w:tcPr>
          <w:p>
            <w:pPr>
              <w:snapToGrid w:val="0"/>
              <w:spacing w:line="300" w:lineRule="auto"/>
              <w:ind w:firstLine="552" w:firstLineChars="250"/>
              <w:rPr>
                <w:b/>
                <w:bCs/>
                <w:color w:val="auto"/>
                <w:szCs w:val="21"/>
                <w:highlight w:val="none"/>
              </w:rPr>
            </w:pPr>
            <w:r>
              <w:rPr>
                <w:rFonts w:hint="eastAsia"/>
                <w:b/>
                <w:bCs/>
                <w:color w:val="auto"/>
                <w:szCs w:val="21"/>
                <w:highlight w:val="none"/>
              </w:rPr>
              <w:t>评标办法</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本条细化为：</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1.1</w:t>
            </w:r>
            <w:r>
              <w:rPr>
                <w:color w:val="auto"/>
                <w:szCs w:val="21"/>
                <w:highlight w:val="none"/>
              </w:rPr>
              <w:t>本次评标</w:t>
            </w:r>
            <w:r>
              <w:rPr>
                <w:rFonts w:hint="eastAsia"/>
                <w:color w:val="auto"/>
                <w:szCs w:val="21"/>
                <w:highlight w:val="none"/>
              </w:rPr>
              <w:t>采用技术评分最低标价法</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（1）评标委员会首先对投标文件第一信封进行初步评审，然后对通过第一信封初步评审的投标文件按照本章2.2款规定的评分标准进行第一信封详细量化评审，所有投标人的第二信封由招标人统一负责保存。</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（2）第一信封评审综合得分排列前3名的投标人进入第二信封的评审，其第二信封在监督机关的监督下进行开标；其他投标人的第二信封原封退回投标人。</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若两个及以上投标人在综合得分均相同时，以“信用</w:t>
            </w:r>
            <w:r>
              <w:rPr>
                <w:rFonts w:hint="eastAsia"/>
                <w:color w:val="auto"/>
                <w:szCs w:val="21"/>
                <w:highlight w:val="none"/>
                <w:lang w:val="en-US"/>
              </w:rPr>
              <w:t>中国（</w:t>
            </w:r>
            <w:r>
              <w:rPr>
                <w:rFonts w:hint="eastAsia"/>
                <w:color w:val="auto"/>
                <w:szCs w:val="21"/>
                <w:highlight w:val="none"/>
              </w:rPr>
              <w:t>辽宁）”中信用等级高者优先，若信用等级相同时，以施工组织设计得分高者优先。</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（3）评标委员会对开启的投标文件第二信封进行形式和响应性评审，对通过形式和响应性评审的投标人，按评标价由低至高的顺序推荐中标候选人。</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4）若出现最低评标价相同时，评标委员会将详细评审相同评标价的投标人文件，确认无雷同后，则以第一信封得分高者优先；若第一信封得分也相同，则依次以企业业绩、项目管理机构、履约信誉、施工组织设计各单项得分由高至低的顺序进行推荐。</w:t>
            </w:r>
          </w:p>
          <w:p>
            <w:pPr>
              <w:snapToGrid w:val="0"/>
              <w:spacing w:line="300" w:lineRule="auto"/>
              <w:ind w:left="119" w:leftChars="54" w:right="113" w:firstLine="440" w:firstLineChars="200"/>
              <w:rPr>
                <w:color w:val="auto"/>
                <w:szCs w:val="21"/>
                <w:highlight w:val="none"/>
              </w:rPr>
            </w:pPr>
            <w:r>
              <w:rPr>
                <w:rFonts w:hint="eastAsia"/>
                <w:color w:val="auto"/>
                <w:szCs w:val="21"/>
                <w:highlight w:val="none"/>
              </w:rPr>
              <w:t>（5）通过第一信封评审的投标人为3个的，招标人将按规定的程序进行第二信封开标；在对第二信封进行评审后，有效投标人不足3个使得投标明显缺乏竞争的，评标委员会可以否决全部投标。评标委员会未否决全部投标的，应当在评标报告中阐明理由并推荐中标候选人。</w:t>
            </w:r>
          </w:p>
          <w:p>
            <w:pPr>
              <w:snapToGrid w:val="0"/>
              <w:spacing w:line="300" w:lineRule="auto"/>
              <w:ind w:firstLine="550" w:firstLineChars="250"/>
              <w:rPr>
                <w:color w:val="auto"/>
                <w:szCs w:val="21"/>
                <w:highlight w:val="none"/>
              </w:rPr>
            </w:pPr>
            <w:r>
              <w:rPr>
                <w:rFonts w:hint="eastAsia"/>
                <w:color w:val="auto"/>
                <w:szCs w:val="21"/>
                <w:highlight w:val="none"/>
              </w:rPr>
              <w:t>（6）若通过第一信封形式性与响应性及资格性评审的有效投标人数量仅为三家时，不再进行打分，第一信封评审采用通过制。</w:t>
            </w:r>
          </w:p>
          <w:p>
            <w:pPr>
              <w:snapToGrid w:val="0"/>
              <w:spacing w:line="300" w:lineRule="auto"/>
              <w:ind w:firstLine="550" w:firstLineChars="250"/>
              <w:rPr>
                <w:color w:val="auto"/>
                <w:szCs w:val="21"/>
                <w:highlight w:val="none"/>
              </w:rPr>
            </w:pPr>
            <w:r>
              <w:rPr>
                <w:rFonts w:hint="eastAsia"/>
                <w:color w:val="auto"/>
                <w:szCs w:val="21"/>
                <w:highlight w:val="none"/>
              </w:rPr>
              <w:t>(</w:t>
            </w:r>
            <w:r>
              <w:rPr>
                <w:rFonts w:hint="eastAsia"/>
                <w:color w:val="auto"/>
                <w:szCs w:val="21"/>
                <w:highlight w:val="none"/>
                <w:lang w:val="en-US"/>
              </w:rPr>
              <w:t>7</w:t>
            </w:r>
            <w:r>
              <w:rPr>
                <w:rFonts w:hint="eastAsia"/>
                <w:color w:val="auto"/>
                <w:szCs w:val="21"/>
                <w:highlight w:val="none"/>
              </w:rPr>
              <w:t>)</w:t>
            </w:r>
            <w:r>
              <w:rPr>
                <w:color w:val="auto"/>
                <w:highlight w:val="none"/>
              </w:rPr>
              <w:t xml:space="preserve"> </w:t>
            </w:r>
            <w:r>
              <w:rPr>
                <w:rFonts w:hint="eastAsia"/>
                <w:color w:val="auto"/>
                <w:highlight w:val="none"/>
              </w:rPr>
              <w:t>投标人应按本项目招标文件投标人须知正文3.5.3</w:t>
            </w:r>
            <w:r>
              <w:rPr>
                <w:rFonts w:hint="eastAsia"/>
                <w:color w:val="auto"/>
                <w:szCs w:val="21"/>
                <w:highlight w:val="none"/>
              </w:rPr>
              <w:t>、</w:t>
            </w:r>
            <w:r>
              <w:rPr>
                <w:color w:val="auto"/>
                <w:highlight w:val="none"/>
              </w:rPr>
              <w:t>3.5.5</w:t>
            </w:r>
            <w:r>
              <w:rPr>
                <w:rFonts w:hint="eastAsia"/>
                <w:color w:val="auto"/>
                <w:highlight w:val="none"/>
              </w:rPr>
              <w:t>项要求提供企业及人员业绩证明，企业</w:t>
            </w:r>
            <w:r>
              <w:rPr>
                <w:rFonts w:hint="eastAsia"/>
                <w:color w:val="auto"/>
                <w:highlight w:val="none"/>
                <w:lang w:val="en-US"/>
              </w:rPr>
              <w:t>及</w:t>
            </w:r>
            <w:r>
              <w:rPr>
                <w:rFonts w:hint="eastAsia"/>
                <w:color w:val="auto"/>
                <w:highlight w:val="none"/>
              </w:rPr>
              <w:t>主要人员</w:t>
            </w:r>
            <w:r>
              <w:rPr>
                <w:rFonts w:hint="eastAsia"/>
                <w:color w:val="auto"/>
                <w:sz w:val="21"/>
                <w:szCs w:val="21"/>
                <w:highlight w:val="none"/>
              </w:rPr>
              <w:t>项目业绩及其考核指标均以</w:t>
            </w:r>
            <w:r>
              <w:rPr>
                <w:rFonts w:hint="eastAsia"/>
                <w:color w:val="auto"/>
                <w:sz w:val="21"/>
                <w:szCs w:val="21"/>
                <w:highlight w:val="none"/>
                <w:lang w:val="en-US"/>
              </w:rPr>
              <w:t>全国或省级交通运输主管部门</w:t>
            </w:r>
            <w:r>
              <w:rPr>
                <w:color w:val="auto"/>
                <w:sz w:val="21"/>
                <w:szCs w:val="21"/>
                <w:highlight w:val="none"/>
              </w:rPr>
              <w:t>“</w:t>
            </w:r>
            <w:r>
              <w:rPr>
                <w:rFonts w:hint="eastAsia"/>
                <w:color w:val="auto"/>
                <w:sz w:val="21"/>
                <w:szCs w:val="21"/>
                <w:highlight w:val="none"/>
              </w:rPr>
              <w:t>公路建设市场信用信息管理系统</w:t>
            </w:r>
            <w:r>
              <w:rPr>
                <w:color w:val="auto"/>
                <w:sz w:val="21"/>
                <w:szCs w:val="21"/>
                <w:highlight w:val="none"/>
              </w:rPr>
              <w:t>”</w:t>
            </w:r>
            <w:r>
              <w:rPr>
                <w:rFonts w:hint="eastAsia"/>
                <w:color w:val="auto"/>
                <w:sz w:val="21"/>
                <w:szCs w:val="21"/>
                <w:highlight w:val="none"/>
              </w:rPr>
              <w:t>中录入并通过审核的信息为准，其余业绩证明材料体现的但系统网站中未载明的主要人员项目业绩信息在评审时均不予采信；投标人</w:t>
            </w:r>
            <w:r>
              <w:rPr>
                <w:rFonts w:hint="eastAsia"/>
                <w:color w:val="auto"/>
                <w:sz w:val="21"/>
                <w:szCs w:val="21"/>
                <w:highlight w:val="none"/>
                <w:lang w:val="en-US"/>
              </w:rPr>
              <w:t>未</w:t>
            </w:r>
            <w:r>
              <w:rPr>
                <w:rFonts w:hint="eastAsia"/>
                <w:color w:val="auto"/>
                <w:sz w:val="21"/>
                <w:szCs w:val="21"/>
                <w:highlight w:val="none"/>
              </w:rPr>
              <w:t>提供相关项目</w:t>
            </w:r>
            <w:r>
              <w:rPr>
                <w:rFonts w:hint="eastAsia"/>
                <w:color w:val="auto"/>
                <w:sz w:val="21"/>
                <w:szCs w:val="21"/>
                <w:highlight w:val="none"/>
                <w:lang w:val="en-US"/>
              </w:rPr>
              <w:t>业绩</w:t>
            </w:r>
            <w:r>
              <w:rPr>
                <w:rFonts w:hint="eastAsia"/>
                <w:color w:val="auto"/>
                <w:sz w:val="21"/>
                <w:szCs w:val="21"/>
                <w:highlight w:val="none"/>
              </w:rPr>
              <w:t>网页截图复印件或相关项目</w:t>
            </w:r>
            <w:r>
              <w:rPr>
                <w:rFonts w:hint="eastAsia"/>
                <w:color w:val="auto"/>
                <w:sz w:val="21"/>
                <w:szCs w:val="21"/>
                <w:highlight w:val="none"/>
                <w:lang w:val="en-US"/>
              </w:rPr>
              <w:t>业绩</w:t>
            </w:r>
            <w:r>
              <w:rPr>
                <w:rFonts w:hint="eastAsia"/>
                <w:color w:val="auto"/>
                <w:sz w:val="21"/>
                <w:szCs w:val="21"/>
                <w:highlight w:val="none"/>
              </w:rPr>
              <w:t>网页截图中的信息均不能体现考核指标（姓名、职务、任职时段、合同金额、合同内容、交工时间等）的</w:t>
            </w:r>
            <w:r>
              <w:rPr>
                <w:rFonts w:hint="eastAsia"/>
                <w:color w:val="auto"/>
                <w:sz w:val="21"/>
                <w:szCs w:val="21"/>
                <w:highlight w:val="none"/>
                <w:lang w:val="en-US"/>
              </w:rPr>
              <w:t>企业或</w:t>
            </w:r>
            <w:r>
              <w:rPr>
                <w:rFonts w:hint="eastAsia"/>
                <w:color w:val="auto"/>
                <w:sz w:val="21"/>
                <w:szCs w:val="21"/>
                <w:highlight w:val="none"/>
              </w:rPr>
              <w:t>个人业绩将不予认定。</w:t>
            </w:r>
          </w:p>
        </w:tc>
      </w:tr>
    </w:tbl>
    <w:p>
      <w:pPr>
        <w:pStyle w:val="20"/>
        <w:spacing w:before="5"/>
        <w:rPr>
          <w:color w:val="auto"/>
          <w:sz w:val="22"/>
          <w:highlight w:val="none"/>
        </w:rPr>
        <w:sectPr>
          <w:pgSz w:w="11910" w:h="16850"/>
          <w:pgMar w:top="1418" w:right="1191" w:bottom="1418" w:left="1191" w:header="876" w:footer="853" w:gutter="0"/>
          <w:cols w:space="720" w:num="1"/>
        </w:sectPr>
      </w:pPr>
    </w:p>
    <w:p>
      <w:pPr>
        <w:pStyle w:val="20"/>
        <w:spacing w:before="5"/>
        <w:rPr>
          <w:color w:val="auto"/>
          <w:sz w:val="22"/>
          <w:highlight w:val="none"/>
        </w:rPr>
      </w:pPr>
    </w:p>
    <w:p>
      <w:pPr>
        <w:numPr>
          <w:ilvl w:val="0"/>
          <w:numId w:val="12"/>
        </w:numPr>
        <w:tabs>
          <w:tab w:val="left" w:pos="845"/>
        </w:tabs>
        <w:spacing w:before="62"/>
        <w:outlineLvl w:val="2"/>
        <w:rPr>
          <w:rFonts w:ascii="黑体" w:eastAsia="黑体"/>
          <w:color w:val="auto"/>
          <w:sz w:val="28"/>
          <w:highlight w:val="none"/>
        </w:rPr>
      </w:pPr>
      <w:bookmarkStart w:id="448" w:name="_bookmark142"/>
      <w:bookmarkEnd w:id="448"/>
      <w:bookmarkStart w:id="449" w:name="_Toc15893"/>
      <w:bookmarkStart w:id="450" w:name="_Toc8495"/>
      <w:bookmarkStart w:id="451" w:name="_Toc17690"/>
      <w:bookmarkStart w:id="452" w:name="_Toc32606"/>
      <w:bookmarkStart w:id="453" w:name="_Toc9884"/>
      <w:bookmarkStart w:id="454" w:name="_Toc30228"/>
      <w:bookmarkStart w:id="455" w:name="_Toc24209"/>
      <w:bookmarkStart w:id="456" w:name="_Toc30316"/>
      <w:bookmarkStart w:id="457" w:name="_Toc22116"/>
      <w:bookmarkStart w:id="458" w:name="_Toc30763"/>
      <w:bookmarkStart w:id="459" w:name="_Toc32599"/>
      <w:bookmarkStart w:id="460" w:name="_Toc25133"/>
      <w:bookmarkStart w:id="461" w:name="_Toc25327"/>
      <w:bookmarkStart w:id="462" w:name="_Toc27240"/>
      <w:bookmarkStart w:id="463" w:name="_Toc9584"/>
      <w:bookmarkStart w:id="464" w:name="_Toc29386"/>
      <w:bookmarkStart w:id="465" w:name="_Toc30854"/>
      <w:r>
        <w:rPr>
          <w:rFonts w:hint="eastAsia" w:ascii="黑体" w:eastAsia="黑体"/>
          <w:color w:val="auto"/>
          <w:sz w:val="28"/>
          <w:highlight w:val="none"/>
        </w:rPr>
        <w:t>评标方法</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Style w:val="20"/>
        <w:spacing w:before="11"/>
        <w:rPr>
          <w:rFonts w:ascii="黑体"/>
          <w:color w:val="auto"/>
          <w:sz w:val="25"/>
          <w:highlight w:val="none"/>
        </w:rPr>
      </w:pPr>
    </w:p>
    <w:p>
      <w:pPr>
        <w:pStyle w:val="20"/>
        <w:spacing w:line="312" w:lineRule="auto"/>
        <w:ind w:left="424" w:right="387" w:firstLine="479"/>
        <w:jc w:val="both"/>
        <w:rPr>
          <w:color w:val="auto"/>
          <w:highlight w:val="none"/>
        </w:rPr>
      </w:pPr>
      <w:r>
        <w:rPr>
          <w:color w:val="auto"/>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20"/>
        <w:spacing w:before="5"/>
        <w:rPr>
          <w:color w:val="auto"/>
          <w:sz w:val="21"/>
          <w:highlight w:val="none"/>
        </w:rPr>
      </w:pPr>
    </w:p>
    <w:p>
      <w:pPr>
        <w:numPr>
          <w:ilvl w:val="0"/>
          <w:numId w:val="12"/>
        </w:numPr>
        <w:tabs>
          <w:tab w:val="left" w:pos="845"/>
        </w:tabs>
        <w:outlineLvl w:val="2"/>
        <w:rPr>
          <w:rFonts w:ascii="黑体" w:eastAsia="黑体"/>
          <w:color w:val="auto"/>
          <w:sz w:val="28"/>
          <w:highlight w:val="none"/>
        </w:rPr>
      </w:pPr>
      <w:bookmarkStart w:id="466" w:name="_bookmark111"/>
      <w:bookmarkEnd w:id="466"/>
      <w:bookmarkStart w:id="467" w:name="_Toc32730"/>
      <w:bookmarkStart w:id="468" w:name="_Toc28103"/>
      <w:bookmarkStart w:id="469" w:name="_Toc13064"/>
      <w:bookmarkStart w:id="470" w:name="_Toc26473"/>
      <w:bookmarkStart w:id="471" w:name="_Toc18283"/>
      <w:bookmarkStart w:id="472" w:name="_Toc10749"/>
      <w:bookmarkStart w:id="473" w:name="_Toc6766"/>
      <w:bookmarkStart w:id="474" w:name="_Toc18881"/>
      <w:bookmarkStart w:id="475" w:name="_Toc21792"/>
      <w:bookmarkStart w:id="476" w:name="_Toc23527"/>
      <w:bookmarkStart w:id="477" w:name="_Toc21448"/>
      <w:bookmarkStart w:id="478" w:name="_Toc13547"/>
      <w:bookmarkStart w:id="479" w:name="_Toc14646"/>
      <w:bookmarkStart w:id="480" w:name="_Toc14255"/>
      <w:bookmarkStart w:id="481" w:name="_Toc10187"/>
      <w:bookmarkStart w:id="482" w:name="_Toc16472"/>
      <w:bookmarkStart w:id="483" w:name="_Toc26197"/>
      <w:r>
        <w:rPr>
          <w:rFonts w:hint="eastAsia" w:ascii="黑体" w:eastAsia="黑体"/>
          <w:color w:val="auto"/>
          <w:sz w:val="28"/>
          <w:highlight w:val="none"/>
        </w:rPr>
        <w:t>评审标准</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pStyle w:val="86"/>
        <w:numPr>
          <w:ilvl w:val="1"/>
          <w:numId w:val="12"/>
        </w:numPr>
        <w:tabs>
          <w:tab w:val="left" w:pos="905"/>
        </w:tabs>
        <w:spacing w:before="243"/>
        <w:rPr>
          <w:rFonts w:ascii="黑体" w:eastAsia="黑体"/>
          <w:color w:val="auto"/>
          <w:sz w:val="24"/>
          <w:highlight w:val="none"/>
        </w:rPr>
      </w:pPr>
      <w:bookmarkStart w:id="484" w:name="_bookmark112"/>
      <w:bookmarkEnd w:id="484"/>
      <w:r>
        <w:rPr>
          <w:rFonts w:hint="eastAsia" w:ascii="黑体" w:eastAsia="黑体"/>
          <w:color w:val="auto"/>
          <w:sz w:val="24"/>
          <w:highlight w:val="none"/>
        </w:rPr>
        <w:t>初步评审标准</w:t>
      </w:r>
    </w:p>
    <w:p>
      <w:pPr>
        <w:pStyle w:val="20"/>
        <w:spacing w:before="2"/>
        <w:rPr>
          <w:rFonts w:ascii="黑体"/>
          <w:color w:val="auto"/>
          <w:sz w:val="28"/>
          <w:highlight w:val="none"/>
        </w:rPr>
      </w:pPr>
    </w:p>
    <w:p>
      <w:pPr>
        <w:pStyle w:val="20"/>
        <w:spacing w:before="1"/>
        <w:ind w:left="904"/>
        <w:rPr>
          <w:rFonts w:cs="仿宋_GB2312"/>
          <w:color w:val="auto"/>
          <w:szCs w:val="21"/>
          <w:highlight w:val="none"/>
        </w:rPr>
      </w:pPr>
      <w:r>
        <w:rPr>
          <w:rFonts w:cs="仿宋_GB2312"/>
          <w:color w:val="auto"/>
          <w:szCs w:val="21"/>
          <w:highlight w:val="none"/>
        </w:rPr>
        <w:t>2.1.1</w:t>
      </w:r>
      <w:r>
        <w:rPr>
          <w:rFonts w:hint="eastAsia" w:cs="仿宋_GB2312"/>
          <w:color w:val="auto"/>
          <w:szCs w:val="21"/>
          <w:highlight w:val="none"/>
        </w:rPr>
        <w:t>形式评审标准：见</w:t>
      </w:r>
      <w:r>
        <w:rPr>
          <w:color w:val="auto"/>
          <w:highlight w:val="none"/>
        </w:rPr>
        <w:fldChar w:fldCharType="begin"/>
      </w:r>
      <w:r>
        <w:rPr>
          <w:color w:val="auto"/>
          <w:highlight w:val="none"/>
        </w:rPr>
        <w:instrText xml:space="preserve"> HYPERLINK \l "_2.1.1" </w:instrText>
      </w:r>
      <w:r>
        <w:rPr>
          <w:color w:val="auto"/>
          <w:highlight w:val="none"/>
        </w:rPr>
        <w:fldChar w:fldCharType="separate"/>
      </w:r>
      <w:r>
        <w:rPr>
          <w:rFonts w:hint="eastAsia"/>
          <w:color w:val="auto"/>
          <w:highlight w:val="none"/>
        </w:rPr>
        <w:t>评标办法前附表2.1.1项</w:t>
      </w:r>
      <w:r>
        <w:rPr>
          <w:rFonts w:hint="eastAsia"/>
          <w:color w:val="auto"/>
          <w:highlight w:val="none"/>
        </w:rPr>
        <w:fldChar w:fldCharType="end"/>
      </w:r>
      <w:r>
        <w:rPr>
          <w:rFonts w:hint="eastAsia" w:cs="仿宋_GB2312"/>
          <w:color w:val="auto"/>
          <w:szCs w:val="21"/>
          <w:highlight w:val="none"/>
        </w:rPr>
        <w:t>。</w:t>
      </w:r>
    </w:p>
    <w:p>
      <w:pPr>
        <w:pStyle w:val="20"/>
        <w:spacing w:before="124"/>
        <w:ind w:left="904"/>
        <w:rPr>
          <w:rFonts w:cs="仿宋_GB2312"/>
          <w:color w:val="auto"/>
          <w:szCs w:val="21"/>
          <w:highlight w:val="none"/>
        </w:rPr>
      </w:pPr>
      <w:r>
        <w:rPr>
          <w:rFonts w:cs="仿宋_GB2312"/>
          <w:color w:val="auto"/>
          <w:szCs w:val="21"/>
          <w:highlight w:val="none"/>
        </w:rPr>
        <w:t>2.1.2</w:t>
      </w:r>
      <w:r>
        <w:rPr>
          <w:rFonts w:hint="eastAsia" w:cs="仿宋_GB2312"/>
          <w:color w:val="auto"/>
          <w:szCs w:val="21"/>
          <w:highlight w:val="none"/>
        </w:rPr>
        <w:t>资格评审标准：见</w:t>
      </w:r>
      <w:r>
        <w:rPr>
          <w:color w:val="auto"/>
          <w:highlight w:val="none"/>
        </w:rPr>
        <w:fldChar w:fldCharType="begin"/>
      </w:r>
      <w:r>
        <w:rPr>
          <w:color w:val="auto"/>
          <w:highlight w:val="none"/>
        </w:rPr>
        <w:instrText xml:space="preserve"> HYPERLINK \l "_2.1.2" </w:instrText>
      </w:r>
      <w:r>
        <w:rPr>
          <w:color w:val="auto"/>
          <w:highlight w:val="none"/>
        </w:rPr>
        <w:fldChar w:fldCharType="separate"/>
      </w:r>
      <w:r>
        <w:rPr>
          <w:rFonts w:hint="eastAsia"/>
          <w:color w:val="auto"/>
          <w:highlight w:val="none"/>
        </w:rPr>
        <w:t>评标办法前附表2.1.2项</w:t>
      </w:r>
      <w:r>
        <w:rPr>
          <w:rFonts w:hint="eastAsia"/>
          <w:color w:val="auto"/>
          <w:highlight w:val="none"/>
        </w:rPr>
        <w:fldChar w:fldCharType="end"/>
      </w:r>
      <w:r>
        <w:rPr>
          <w:rFonts w:hint="eastAsia" w:cs="仿宋_GB2312"/>
          <w:color w:val="auto"/>
          <w:szCs w:val="21"/>
          <w:highlight w:val="none"/>
        </w:rPr>
        <w:t>。</w:t>
      </w:r>
    </w:p>
    <w:p>
      <w:pPr>
        <w:pStyle w:val="20"/>
        <w:spacing w:before="30"/>
        <w:ind w:left="904"/>
        <w:rPr>
          <w:rFonts w:cs="仿宋_GB2312"/>
          <w:color w:val="auto"/>
          <w:szCs w:val="21"/>
          <w:highlight w:val="none"/>
        </w:rPr>
      </w:pPr>
      <w:r>
        <w:rPr>
          <w:rFonts w:cs="仿宋_GB2312"/>
          <w:color w:val="auto"/>
          <w:szCs w:val="21"/>
          <w:highlight w:val="none"/>
        </w:rPr>
        <w:t>2.1.3</w:t>
      </w:r>
      <w:r>
        <w:rPr>
          <w:rFonts w:hint="eastAsia" w:cs="仿宋_GB2312"/>
          <w:color w:val="auto"/>
          <w:szCs w:val="21"/>
          <w:highlight w:val="none"/>
        </w:rPr>
        <w:t>响应性评审标准：见</w:t>
      </w:r>
      <w:r>
        <w:rPr>
          <w:color w:val="auto"/>
          <w:highlight w:val="none"/>
        </w:rPr>
        <w:fldChar w:fldCharType="begin"/>
      </w:r>
      <w:r>
        <w:rPr>
          <w:color w:val="auto"/>
          <w:highlight w:val="none"/>
        </w:rPr>
        <w:instrText xml:space="preserve"> HYPERLINK \l "_2.1.3" </w:instrText>
      </w:r>
      <w:r>
        <w:rPr>
          <w:color w:val="auto"/>
          <w:highlight w:val="none"/>
        </w:rPr>
        <w:fldChar w:fldCharType="separate"/>
      </w:r>
      <w:r>
        <w:rPr>
          <w:rFonts w:hint="eastAsia"/>
          <w:color w:val="auto"/>
          <w:highlight w:val="none"/>
        </w:rPr>
        <w:t>评标办法前附表2.1.3项</w:t>
      </w:r>
      <w:r>
        <w:rPr>
          <w:rFonts w:hint="eastAsia"/>
          <w:color w:val="auto"/>
          <w:highlight w:val="none"/>
        </w:rPr>
        <w:fldChar w:fldCharType="end"/>
      </w:r>
      <w:r>
        <w:rPr>
          <w:rFonts w:hint="eastAsia" w:cs="仿宋_GB2312"/>
          <w:color w:val="auto"/>
          <w:szCs w:val="21"/>
          <w:highlight w:val="none"/>
        </w:rPr>
        <w:t>。</w:t>
      </w:r>
    </w:p>
    <w:p>
      <w:pPr>
        <w:pStyle w:val="20"/>
        <w:spacing w:before="4"/>
        <w:rPr>
          <w:rFonts w:ascii="Times New Roman"/>
          <w:color w:val="auto"/>
          <w:sz w:val="21"/>
          <w:highlight w:val="none"/>
        </w:rPr>
      </w:pPr>
    </w:p>
    <w:p>
      <w:pPr>
        <w:pStyle w:val="86"/>
        <w:numPr>
          <w:ilvl w:val="1"/>
          <w:numId w:val="12"/>
        </w:numPr>
        <w:tabs>
          <w:tab w:val="left" w:pos="905"/>
        </w:tabs>
        <w:spacing w:before="1"/>
        <w:rPr>
          <w:rFonts w:ascii="黑体" w:eastAsia="黑体"/>
          <w:color w:val="auto"/>
          <w:sz w:val="24"/>
          <w:highlight w:val="none"/>
        </w:rPr>
      </w:pPr>
      <w:bookmarkStart w:id="485" w:name="_bookmark113"/>
      <w:bookmarkEnd w:id="485"/>
      <w:r>
        <w:rPr>
          <w:rFonts w:hint="eastAsia" w:ascii="黑体" w:eastAsia="黑体"/>
          <w:color w:val="auto"/>
          <w:sz w:val="24"/>
          <w:highlight w:val="none"/>
        </w:rPr>
        <w:t>分值构成与评分标准</w:t>
      </w:r>
    </w:p>
    <w:p>
      <w:pPr>
        <w:pStyle w:val="20"/>
        <w:rPr>
          <w:rFonts w:ascii="黑体"/>
          <w:color w:val="auto"/>
          <w:sz w:val="26"/>
          <w:highlight w:val="none"/>
        </w:rPr>
      </w:pPr>
    </w:p>
    <w:p>
      <w:pPr>
        <w:pStyle w:val="86"/>
        <w:numPr>
          <w:ilvl w:val="2"/>
          <w:numId w:val="12"/>
        </w:numPr>
        <w:tabs>
          <w:tab w:val="left" w:pos="1505"/>
        </w:tabs>
        <w:rPr>
          <w:rFonts w:ascii="黑体" w:eastAsia="黑体"/>
          <w:color w:val="auto"/>
          <w:sz w:val="24"/>
          <w:highlight w:val="none"/>
        </w:rPr>
      </w:pPr>
      <w:r>
        <w:rPr>
          <w:rFonts w:hint="eastAsia" w:ascii="黑体" w:eastAsia="黑体"/>
          <w:color w:val="auto"/>
          <w:sz w:val="24"/>
          <w:highlight w:val="none"/>
        </w:rPr>
        <w:t>第一个信封评分分值构成</w:t>
      </w:r>
    </w:p>
    <w:p>
      <w:pPr>
        <w:pStyle w:val="20"/>
        <w:spacing w:before="93"/>
        <w:ind w:left="904"/>
        <w:rPr>
          <w:color w:val="auto"/>
          <w:highlight w:val="none"/>
        </w:rPr>
      </w:pPr>
      <w:r>
        <w:rPr>
          <w:color w:val="auto"/>
          <w:highlight w:val="none"/>
        </w:rPr>
        <w:t>（</w:t>
      </w:r>
      <w:r>
        <w:rPr>
          <w:rFonts w:ascii="Times New Roman" w:eastAsia="Times New Roman"/>
          <w:color w:val="auto"/>
          <w:highlight w:val="none"/>
        </w:rPr>
        <w:t>1</w:t>
      </w:r>
      <w:r>
        <w:rPr>
          <w:color w:val="auto"/>
          <w:highlight w:val="none"/>
        </w:rPr>
        <w:t>）施工组织设计：见评标办法前附表；</w:t>
      </w:r>
    </w:p>
    <w:p>
      <w:pPr>
        <w:pStyle w:val="20"/>
        <w:spacing w:before="91"/>
        <w:ind w:left="904"/>
        <w:rPr>
          <w:color w:val="auto"/>
          <w:highlight w:val="none"/>
        </w:rPr>
      </w:pPr>
      <w:r>
        <w:rPr>
          <w:color w:val="auto"/>
          <w:highlight w:val="none"/>
        </w:rPr>
        <w:t>（</w:t>
      </w:r>
      <w:r>
        <w:rPr>
          <w:rFonts w:ascii="Times New Roman" w:eastAsia="Times New Roman"/>
          <w:color w:val="auto"/>
          <w:highlight w:val="none"/>
        </w:rPr>
        <w:t>2</w:t>
      </w:r>
      <w:r>
        <w:rPr>
          <w:color w:val="auto"/>
          <w:highlight w:val="none"/>
        </w:rPr>
        <w:t>）主要人员：见评标办法前附表；</w:t>
      </w:r>
    </w:p>
    <w:p>
      <w:pPr>
        <w:pStyle w:val="20"/>
        <w:spacing w:before="93"/>
        <w:ind w:left="904"/>
        <w:rPr>
          <w:color w:val="auto"/>
          <w:highlight w:val="none"/>
        </w:rPr>
      </w:pPr>
      <w:r>
        <w:rPr>
          <w:color w:val="auto"/>
          <w:highlight w:val="none"/>
        </w:rPr>
        <w:t>（</w:t>
      </w:r>
      <w:r>
        <w:rPr>
          <w:rFonts w:ascii="Times New Roman" w:eastAsia="Times New Roman"/>
          <w:color w:val="auto"/>
          <w:highlight w:val="none"/>
        </w:rPr>
        <w:t>3</w:t>
      </w:r>
      <w:r>
        <w:rPr>
          <w:color w:val="auto"/>
          <w:highlight w:val="none"/>
        </w:rPr>
        <w:t>）其他评分因素：见评标办法前附表。</w:t>
      </w:r>
    </w:p>
    <w:p>
      <w:pPr>
        <w:pStyle w:val="86"/>
        <w:numPr>
          <w:ilvl w:val="2"/>
          <w:numId w:val="12"/>
        </w:numPr>
        <w:tabs>
          <w:tab w:val="left" w:pos="1505"/>
        </w:tabs>
        <w:spacing w:before="94"/>
        <w:rPr>
          <w:rFonts w:ascii="黑体" w:eastAsia="黑体"/>
          <w:color w:val="auto"/>
          <w:sz w:val="24"/>
          <w:highlight w:val="none"/>
        </w:rPr>
      </w:pPr>
      <w:r>
        <w:rPr>
          <w:rFonts w:hint="eastAsia" w:ascii="黑体" w:eastAsia="黑体"/>
          <w:color w:val="auto"/>
          <w:sz w:val="24"/>
          <w:highlight w:val="none"/>
        </w:rPr>
        <w:t>第一个信封评分评分标准</w:t>
      </w:r>
    </w:p>
    <w:p>
      <w:pPr>
        <w:pStyle w:val="20"/>
        <w:spacing w:before="91"/>
        <w:ind w:left="904"/>
        <w:rPr>
          <w:color w:val="auto"/>
          <w:highlight w:val="none"/>
        </w:rPr>
      </w:pPr>
      <w:r>
        <w:rPr>
          <w:color w:val="auto"/>
          <w:highlight w:val="none"/>
        </w:rPr>
        <w:t>（</w:t>
      </w:r>
      <w:r>
        <w:rPr>
          <w:rFonts w:ascii="Times New Roman" w:eastAsia="Times New Roman"/>
          <w:color w:val="auto"/>
          <w:highlight w:val="none"/>
        </w:rPr>
        <w:t>1</w:t>
      </w:r>
      <w:r>
        <w:rPr>
          <w:color w:val="auto"/>
          <w:highlight w:val="none"/>
        </w:rPr>
        <w:t>）施工组织设计评分标准：见评标办法前附表；</w:t>
      </w:r>
    </w:p>
    <w:p>
      <w:pPr>
        <w:pStyle w:val="20"/>
        <w:spacing w:before="93"/>
        <w:ind w:left="904"/>
        <w:rPr>
          <w:color w:val="auto"/>
          <w:highlight w:val="none"/>
        </w:rPr>
      </w:pPr>
      <w:r>
        <w:rPr>
          <w:color w:val="auto"/>
          <w:highlight w:val="none"/>
        </w:rPr>
        <w:t>（</w:t>
      </w:r>
      <w:r>
        <w:rPr>
          <w:rFonts w:ascii="Times New Roman" w:eastAsia="Times New Roman"/>
          <w:color w:val="auto"/>
          <w:highlight w:val="none"/>
        </w:rPr>
        <w:t>2</w:t>
      </w:r>
      <w:r>
        <w:rPr>
          <w:color w:val="auto"/>
          <w:highlight w:val="none"/>
        </w:rPr>
        <w:t>）主要人员评分标准：见评标办法前附表；</w:t>
      </w:r>
    </w:p>
    <w:p>
      <w:pPr>
        <w:pStyle w:val="20"/>
        <w:spacing w:before="94"/>
        <w:ind w:left="904"/>
        <w:rPr>
          <w:color w:val="auto"/>
          <w:highlight w:val="none"/>
        </w:rPr>
      </w:pPr>
      <w:r>
        <w:rPr>
          <w:color w:val="auto"/>
          <w:highlight w:val="none"/>
        </w:rPr>
        <w:t>（</w:t>
      </w:r>
      <w:r>
        <w:rPr>
          <w:rFonts w:ascii="Times New Roman" w:eastAsia="Times New Roman"/>
          <w:color w:val="auto"/>
          <w:highlight w:val="none"/>
        </w:rPr>
        <w:t>3</w:t>
      </w:r>
      <w:r>
        <w:rPr>
          <w:color w:val="auto"/>
          <w:highlight w:val="none"/>
        </w:rPr>
        <w:t>）其他因素评分标准：见评标办法前附表。</w:t>
      </w:r>
    </w:p>
    <w:p>
      <w:pPr>
        <w:pStyle w:val="86"/>
        <w:numPr>
          <w:ilvl w:val="2"/>
          <w:numId w:val="12"/>
        </w:numPr>
        <w:tabs>
          <w:tab w:val="left" w:pos="1505"/>
        </w:tabs>
        <w:spacing w:before="91"/>
        <w:rPr>
          <w:color w:val="auto"/>
          <w:sz w:val="24"/>
          <w:highlight w:val="none"/>
        </w:rPr>
      </w:pPr>
      <w:r>
        <w:rPr>
          <w:color w:val="auto"/>
          <w:sz w:val="24"/>
          <w:highlight w:val="none"/>
        </w:rPr>
        <w:t>第二个信封详细评审标准：见评标办法前附表。</w:t>
      </w:r>
    </w:p>
    <w:p>
      <w:pPr>
        <w:pStyle w:val="20"/>
        <w:spacing w:before="6"/>
        <w:rPr>
          <w:color w:val="auto"/>
          <w:sz w:val="28"/>
          <w:highlight w:val="none"/>
        </w:rPr>
      </w:pPr>
    </w:p>
    <w:p>
      <w:pPr>
        <w:numPr>
          <w:ilvl w:val="0"/>
          <w:numId w:val="12"/>
        </w:numPr>
        <w:tabs>
          <w:tab w:val="left" w:pos="845"/>
        </w:tabs>
        <w:outlineLvl w:val="2"/>
        <w:rPr>
          <w:rFonts w:ascii="黑体" w:eastAsia="黑体"/>
          <w:color w:val="auto"/>
          <w:sz w:val="28"/>
          <w:highlight w:val="none"/>
        </w:rPr>
      </w:pPr>
      <w:bookmarkStart w:id="486" w:name="_bookmark114"/>
      <w:bookmarkEnd w:id="486"/>
      <w:bookmarkStart w:id="487" w:name="_Toc5384"/>
      <w:bookmarkStart w:id="488" w:name="_Toc23721"/>
      <w:bookmarkStart w:id="489" w:name="_Toc21015"/>
      <w:bookmarkStart w:id="490" w:name="_Toc13770"/>
      <w:bookmarkStart w:id="491" w:name="_Toc8256"/>
      <w:bookmarkStart w:id="492" w:name="_Toc3697"/>
      <w:bookmarkStart w:id="493" w:name="_Toc11464"/>
      <w:bookmarkStart w:id="494" w:name="_Toc30489"/>
      <w:bookmarkStart w:id="495" w:name="_Toc18661"/>
      <w:bookmarkStart w:id="496" w:name="_Toc4122"/>
      <w:bookmarkStart w:id="497" w:name="_Toc18211"/>
      <w:bookmarkStart w:id="498" w:name="_Toc572"/>
      <w:bookmarkStart w:id="499" w:name="_Toc28832"/>
      <w:bookmarkStart w:id="500" w:name="_Toc17553"/>
      <w:bookmarkStart w:id="501" w:name="_Toc27552"/>
      <w:bookmarkStart w:id="502" w:name="_Toc27127"/>
      <w:bookmarkStart w:id="503" w:name="_Toc6140"/>
      <w:r>
        <w:rPr>
          <w:rFonts w:hint="eastAsia" w:ascii="黑体" w:eastAsia="黑体"/>
          <w:color w:val="auto"/>
          <w:sz w:val="28"/>
          <w:highlight w:val="none"/>
        </w:rPr>
        <w:t>评标程序</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pStyle w:val="86"/>
        <w:keepNext w:val="0"/>
        <w:keepLines w:val="0"/>
        <w:pageBreakBefore w:val="0"/>
        <w:widowControl w:val="0"/>
        <w:numPr>
          <w:ilvl w:val="1"/>
          <w:numId w:val="12"/>
        </w:numPr>
        <w:tabs>
          <w:tab w:val="left" w:pos="845"/>
        </w:tabs>
        <w:kinsoku/>
        <w:wordWrap/>
        <w:overflowPunct/>
        <w:topLinePunct w:val="0"/>
        <w:autoSpaceDE w:val="0"/>
        <w:autoSpaceDN w:val="0"/>
        <w:bidi w:val="0"/>
        <w:adjustRightInd/>
        <w:snapToGrid/>
        <w:spacing w:line="312" w:lineRule="auto"/>
        <w:ind w:left="844" w:hanging="420"/>
        <w:textAlignment w:val="auto"/>
        <w:rPr>
          <w:rFonts w:ascii="黑体" w:eastAsia="黑体"/>
          <w:color w:val="auto"/>
          <w:sz w:val="24"/>
          <w:highlight w:val="none"/>
        </w:rPr>
      </w:pPr>
      <w:bookmarkStart w:id="504" w:name="_bookmark115"/>
      <w:bookmarkEnd w:id="504"/>
      <w:r>
        <w:rPr>
          <w:rFonts w:hint="eastAsia" w:ascii="黑体" w:eastAsia="黑体"/>
          <w:color w:val="auto"/>
          <w:sz w:val="24"/>
          <w:highlight w:val="none"/>
        </w:rPr>
        <w:t>第一个信封初步评审</w:t>
      </w:r>
    </w:p>
    <w:p>
      <w:pPr>
        <w:pStyle w:val="20"/>
        <w:keepNext w:val="0"/>
        <w:keepLines w:val="0"/>
        <w:pageBreakBefore w:val="0"/>
        <w:widowControl w:val="0"/>
        <w:kinsoku/>
        <w:wordWrap/>
        <w:overflowPunct/>
        <w:topLinePunct w:val="0"/>
        <w:autoSpaceDE w:val="0"/>
        <w:autoSpaceDN w:val="0"/>
        <w:bidi w:val="0"/>
        <w:adjustRightInd/>
        <w:snapToGrid/>
        <w:spacing w:line="312" w:lineRule="auto"/>
        <w:ind w:left="425" w:leftChars="193" w:firstLine="480" w:firstLineChars="200"/>
        <w:textAlignment w:val="auto"/>
        <w:rPr>
          <w:color w:val="auto"/>
          <w:highlight w:val="none"/>
        </w:rPr>
      </w:pPr>
      <w:r>
        <w:rPr>
          <w:rFonts w:hint="eastAsia" w:ascii="宋体" w:hAnsi="宋体"/>
          <w:sz w:val="24"/>
        </w:rPr>
        <w:t>评标委员会可以要求投标人提交第二章"投标人须知"第 3.5.1项至第 3 .5.6项规定的有关证明和证件的原件，以便核验。</w:t>
      </w:r>
      <w:r>
        <w:rPr>
          <w:color w:val="auto"/>
          <w:highlight w:val="none"/>
        </w:rPr>
        <w:t xml:space="preserve">评标委员会依据本章第 </w:t>
      </w:r>
      <w:r>
        <w:rPr>
          <w:rFonts w:ascii="Times New Roman" w:eastAsia="Times New Roman"/>
          <w:color w:val="auto"/>
          <w:highlight w:val="none"/>
        </w:rPr>
        <w:t xml:space="preserve">2.1 </w:t>
      </w:r>
      <w:r>
        <w:rPr>
          <w:color w:val="auto"/>
          <w:highlight w:val="none"/>
        </w:rPr>
        <w:t>款规定的标准对投标文件第一个信封（商务及技术文件）进行初步评审。有一项不符合评审标准的，评标委员会应否决其投标。（适用于未进行资格预审的）</w:t>
      </w:r>
    </w:p>
    <w:p>
      <w:pPr>
        <w:pStyle w:val="20"/>
        <w:keepNext w:val="0"/>
        <w:keepLines w:val="0"/>
        <w:pageBreakBefore w:val="0"/>
        <w:widowControl w:val="0"/>
        <w:kinsoku/>
        <w:wordWrap/>
        <w:overflowPunct/>
        <w:topLinePunct w:val="0"/>
        <w:autoSpaceDE w:val="0"/>
        <w:autoSpaceDN w:val="0"/>
        <w:bidi w:val="0"/>
        <w:adjustRightInd/>
        <w:snapToGrid/>
        <w:spacing w:line="312" w:lineRule="auto"/>
        <w:ind w:left="424" w:right="262" w:firstLine="479"/>
        <w:jc w:val="both"/>
        <w:textAlignment w:val="auto"/>
        <w:rPr>
          <w:color w:val="auto"/>
          <w:highlight w:val="none"/>
        </w:rPr>
      </w:pPr>
      <w:r>
        <w:rPr>
          <w:rFonts w:ascii="Times New Roman" w:eastAsia="Times New Roman"/>
          <w:color w:val="auto"/>
          <w:highlight w:val="none"/>
        </w:rPr>
        <w:t xml:space="preserve">3.1.1 </w:t>
      </w:r>
      <w:r>
        <w:rPr>
          <w:color w:val="auto"/>
          <w:spacing w:val="-6"/>
          <w:highlight w:val="none"/>
        </w:rPr>
        <w:t xml:space="preserve">评标委员会依据本章第 </w:t>
      </w:r>
      <w:r>
        <w:rPr>
          <w:rFonts w:ascii="Times New Roman" w:eastAsia="Times New Roman"/>
          <w:color w:val="auto"/>
          <w:highlight w:val="none"/>
        </w:rPr>
        <w:t xml:space="preserve">2.1.1 </w:t>
      </w:r>
      <w:r>
        <w:rPr>
          <w:color w:val="auto"/>
          <w:spacing w:val="-36"/>
          <w:highlight w:val="none"/>
        </w:rPr>
        <w:t xml:space="preserve">项、第 </w:t>
      </w:r>
      <w:r>
        <w:rPr>
          <w:rFonts w:ascii="Times New Roman" w:eastAsia="Times New Roman"/>
          <w:color w:val="auto"/>
          <w:highlight w:val="none"/>
        </w:rPr>
        <w:t xml:space="preserve">2.1.3 </w:t>
      </w:r>
      <w:r>
        <w:rPr>
          <w:color w:val="auto"/>
          <w:highlight w:val="none"/>
        </w:rPr>
        <w:t>项规定的评审标准对投标文件第一个信封（商务及技术文件）进行初步评审。有一项不符合评审标准的，评标委员会应否决其投标。当投标人资格预审申请文件的内容发生重大变化时，评标委员会</w:t>
      </w:r>
      <w:r>
        <w:rPr>
          <w:color w:val="auto"/>
          <w:spacing w:val="-11"/>
          <w:highlight w:val="none"/>
        </w:rPr>
        <w:t xml:space="preserve">依据本章第 </w:t>
      </w:r>
      <w:r>
        <w:rPr>
          <w:rFonts w:ascii="Times New Roman" w:eastAsia="Times New Roman"/>
          <w:color w:val="auto"/>
          <w:highlight w:val="none"/>
        </w:rPr>
        <w:t xml:space="preserve">2.1.2 </w:t>
      </w:r>
      <w:r>
        <w:rPr>
          <w:color w:val="auto"/>
          <w:highlight w:val="none"/>
        </w:rPr>
        <w:t>项规定的标准对其更新资料进行评审</w:t>
      </w:r>
      <w:r>
        <w:rPr>
          <w:color w:val="auto"/>
          <w:spacing w:val="-203"/>
          <w:highlight w:val="none"/>
        </w:rPr>
        <w:t>。</w:t>
      </w:r>
      <w:r>
        <w:rPr>
          <w:color w:val="auto"/>
          <w:highlight w:val="none"/>
        </w:rPr>
        <w:t>（适用于已进行资格预审的）</w:t>
      </w:r>
    </w:p>
    <w:p>
      <w:pPr>
        <w:pStyle w:val="86"/>
        <w:numPr>
          <w:ilvl w:val="1"/>
          <w:numId w:val="12"/>
        </w:numPr>
        <w:tabs>
          <w:tab w:val="left" w:pos="905"/>
        </w:tabs>
        <w:spacing w:before="152"/>
        <w:rPr>
          <w:rFonts w:ascii="黑体" w:eastAsia="黑体"/>
          <w:color w:val="auto"/>
          <w:sz w:val="24"/>
          <w:highlight w:val="none"/>
        </w:rPr>
      </w:pPr>
      <w:bookmarkStart w:id="505" w:name="_bookmark116"/>
      <w:bookmarkEnd w:id="505"/>
      <w:r>
        <w:rPr>
          <w:rFonts w:hint="eastAsia" w:ascii="黑体" w:eastAsia="黑体"/>
          <w:color w:val="auto"/>
          <w:sz w:val="24"/>
          <w:highlight w:val="none"/>
        </w:rPr>
        <w:t>第一个信封详细评审</w:t>
      </w:r>
    </w:p>
    <w:p>
      <w:pPr>
        <w:pStyle w:val="20"/>
        <w:spacing w:before="11"/>
        <w:rPr>
          <w:rFonts w:ascii="黑体"/>
          <w:color w:val="auto"/>
          <w:sz w:val="25"/>
          <w:highlight w:val="none"/>
        </w:rPr>
      </w:pPr>
    </w:p>
    <w:p>
      <w:pPr>
        <w:pStyle w:val="86"/>
        <w:numPr>
          <w:ilvl w:val="2"/>
          <w:numId w:val="12"/>
        </w:numPr>
        <w:tabs>
          <w:tab w:val="left" w:pos="1505"/>
        </w:tabs>
        <w:spacing w:before="1" w:line="312" w:lineRule="auto"/>
        <w:ind w:left="424" w:right="382" w:firstLine="480"/>
        <w:jc w:val="both"/>
        <w:rPr>
          <w:color w:val="auto"/>
          <w:sz w:val="24"/>
          <w:highlight w:val="none"/>
        </w:rPr>
      </w:pPr>
      <w:r>
        <w:rPr>
          <w:color w:val="auto"/>
          <w:spacing w:val="-6"/>
          <w:sz w:val="24"/>
          <w:highlight w:val="none"/>
        </w:rPr>
        <w:t xml:space="preserve">评标委员会按本章第 </w:t>
      </w:r>
      <w:r>
        <w:rPr>
          <w:rFonts w:ascii="Times New Roman" w:eastAsia="Times New Roman"/>
          <w:color w:val="auto"/>
          <w:sz w:val="24"/>
          <w:highlight w:val="none"/>
        </w:rPr>
        <w:t xml:space="preserve">2.2 </w:t>
      </w:r>
      <w:r>
        <w:rPr>
          <w:color w:val="auto"/>
          <w:spacing w:val="-2"/>
          <w:sz w:val="24"/>
          <w:highlight w:val="none"/>
        </w:rPr>
        <w:t>款规定的量化因素和分值进行打分，并计算出各投标人的商务和技术得分。</w:t>
      </w:r>
    </w:p>
    <w:p>
      <w:pPr>
        <w:pStyle w:val="20"/>
        <w:spacing w:before="2" w:line="312" w:lineRule="auto"/>
        <w:ind w:left="424" w:right="384" w:firstLine="479"/>
        <w:jc w:val="both"/>
        <w:rPr>
          <w:color w:val="auto"/>
          <w:highlight w:val="none"/>
        </w:rPr>
      </w:pPr>
      <w:r>
        <w:rPr>
          <w:color w:val="auto"/>
          <w:spacing w:val="-10"/>
          <w:highlight w:val="none"/>
        </w:rPr>
        <w:t>（</w:t>
      </w:r>
      <w:r>
        <w:rPr>
          <w:rFonts w:ascii="Times New Roman" w:eastAsia="Times New Roman"/>
          <w:color w:val="auto"/>
          <w:spacing w:val="-10"/>
          <w:highlight w:val="none"/>
        </w:rPr>
        <w:t>1</w:t>
      </w:r>
      <w:r>
        <w:rPr>
          <w:color w:val="auto"/>
          <w:spacing w:val="-10"/>
          <w:highlight w:val="none"/>
        </w:rPr>
        <w:t>）</w:t>
      </w:r>
      <w:r>
        <w:rPr>
          <w:color w:val="auto"/>
          <w:spacing w:val="-12"/>
          <w:highlight w:val="none"/>
        </w:rPr>
        <w:t xml:space="preserve">按本章第 </w:t>
      </w:r>
      <w:r>
        <w:rPr>
          <w:rFonts w:ascii="Times New Roman" w:eastAsia="Times New Roman"/>
          <w:color w:val="auto"/>
          <w:highlight w:val="none"/>
        </w:rPr>
        <w:t xml:space="preserve">2.2.2 </w:t>
      </w:r>
      <w:r>
        <w:rPr>
          <w:color w:val="auto"/>
          <w:spacing w:val="-29"/>
          <w:highlight w:val="none"/>
        </w:rPr>
        <w:t>项</w:t>
      </w:r>
      <w:r>
        <w:rPr>
          <w:color w:val="auto"/>
          <w:spacing w:val="-10"/>
          <w:highlight w:val="none"/>
        </w:rPr>
        <w:t>（</w:t>
      </w:r>
      <w:r>
        <w:rPr>
          <w:rFonts w:ascii="Times New Roman" w:eastAsia="Times New Roman"/>
          <w:color w:val="auto"/>
          <w:spacing w:val="-10"/>
          <w:highlight w:val="none"/>
        </w:rPr>
        <w:t>1</w:t>
      </w:r>
      <w:r>
        <w:rPr>
          <w:color w:val="auto"/>
          <w:spacing w:val="-10"/>
          <w:highlight w:val="none"/>
        </w:rPr>
        <w:t>）</w:t>
      </w:r>
      <w:r>
        <w:rPr>
          <w:color w:val="auto"/>
          <w:highlight w:val="none"/>
        </w:rPr>
        <w:t>目规定的评审因素和分值对施工组织设计部分计算</w:t>
      </w:r>
      <w:r>
        <w:rPr>
          <w:color w:val="auto"/>
          <w:spacing w:val="-16"/>
          <w:highlight w:val="none"/>
        </w:rPr>
        <w:t xml:space="preserve">出得分 </w:t>
      </w:r>
      <w:r>
        <w:rPr>
          <w:rFonts w:ascii="Times New Roman" w:eastAsia="Times New Roman"/>
          <w:color w:val="auto"/>
          <w:highlight w:val="none"/>
        </w:rPr>
        <w:t>A</w:t>
      </w:r>
      <w:r>
        <w:rPr>
          <w:color w:val="auto"/>
          <w:highlight w:val="none"/>
        </w:rPr>
        <w:t>；</w:t>
      </w:r>
    </w:p>
    <w:p>
      <w:pPr>
        <w:pStyle w:val="20"/>
        <w:spacing w:line="312" w:lineRule="auto"/>
        <w:ind w:left="424" w:right="384" w:firstLine="479"/>
        <w:jc w:val="both"/>
        <w:rPr>
          <w:color w:val="auto"/>
          <w:highlight w:val="none"/>
        </w:rPr>
      </w:pPr>
      <w:r>
        <w:rPr>
          <w:color w:val="auto"/>
          <w:spacing w:val="-10"/>
          <w:highlight w:val="none"/>
        </w:rPr>
        <w:t>（</w:t>
      </w:r>
      <w:r>
        <w:rPr>
          <w:rFonts w:ascii="Times New Roman" w:eastAsia="Times New Roman"/>
          <w:color w:val="auto"/>
          <w:spacing w:val="-10"/>
          <w:highlight w:val="none"/>
        </w:rPr>
        <w:t>2</w:t>
      </w:r>
      <w:r>
        <w:rPr>
          <w:color w:val="auto"/>
          <w:spacing w:val="-10"/>
          <w:highlight w:val="none"/>
        </w:rPr>
        <w:t>）</w:t>
      </w:r>
      <w:r>
        <w:rPr>
          <w:color w:val="auto"/>
          <w:spacing w:val="-12"/>
          <w:highlight w:val="none"/>
        </w:rPr>
        <w:t xml:space="preserve">按本章第 </w:t>
      </w:r>
      <w:r>
        <w:rPr>
          <w:rFonts w:ascii="Times New Roman" w:eastAsia="Times New Roman"/>
          <w:color w:val="auto"/>
          <w:highlight w:val="none"/>
        </w:rPr>
        <w:t xml:space="preserve">2.2.2 </w:t>
      </w:r>
      <w:r>
        <w:rPr>
          <w:color w:val="auto"/>
          <w:spacing w:val="-29"/>
          <w:highlight w:val="none"/>
        </w:rPr>
        <w:t>项</w:t>
      </w:r>
      <w:r>
        <w:rPr>
          <w:color w:val="auto"/>
          <w:spacing w:val="-10"/>
          <w:highlight w:val="none"/>
        </w:rPr>
        <w:t>（</w:t>
      </w:r>
      <w:r>
        <w:rPr>
          <w:rFonts w:ascii="Times New Roman" w:eastAsia="Times New Roman"/>
          <w:color w:val="auto"/>
          <w:spacing w:val="-10"/>
          <w:highlight w:val="none"/>
        </w:rPr>
        <w:t>2</w:t>
      </w:r>
      <w:r>
        <w:rPr>
          <w:color w:val="auto"/>
          <w:spacing w:val="-10"/>
          <w:highlight w:val="none"/>
        </w:rPr>
        <w:t>）</w:t>
      </w:r>
      <w:r>
        <w:rPr>
          <w:color w:val="auto"/>
          <w:highlight w:val="none"/>
        </w:rPr>
        <w:t>目规定的评审因素和分值对主要人员部分计算出得</w:t>
      </w:r>
      <w:r>
        <w:rPr>
          <w:color w:val="auto"/>
          <w:spacing w:val="-31"/>
          <w:highlight w:val="none"/>
        </w:rPr>
        <w:t xml:space="preserve">分 </w:t>
      </w:r>
      <w:r>
        <w:rPr>
          <w:rFonts w:ascii="Times New Roman" w:eastAsia="Times New Roman"/>
          <w:color w:val="auto"/>
          <w:highlight w:val="none"/>
        </w:rPr>
        <w:t>B</w:t>
      </w:r>
      <w:r>
        <w:rPr>
          <w:color w:val="auto"/>
          <w:highlight w:val="none"/>
        </w:rPr>
        <w:t>；</w:t>
      </w:r>
    </w:p>
    <w:p>
      <w:pPr>
        <w:pStyle w:val="20"/>
        <w:spacing w:line="307" w:lineRule="exact"/>
        <w:ind w:left="904"/>
        <w:rPr>
          <w:color w:val="auto"/>
          <w:highlight w:val="none"/>
        </w:rPr>
      </w:pPr>
      <w:r>
        <w:rPr>
          <w:color w:val="auto"/>
          <w:spacing w:val="-21"/>
          <w:highlight w:val="none"/>
        </w:rPr>
        <w:t>（</w:t>
      </w:r>
      <w:r>
        <w:rPr>
          <w:rFonts w:ascii="Times New Roman" w:eastAsia="Times New Roman"/>
          <w:color w:val="auto"/>
          <w:spacing w:val="-21"/>
          <w:highlight w:val="none"/>
        </w:rPr>
        <w:t>3</w:t>
      </w:r>
      <w:r>
        <w:rPr>
          <w:color w:val="auto"/>
          <w:spacing w:val="-21"/>
          <w:highlight w:val="none"/>
        </w:rPr>
        <w:t>）</w:t>
      </w:r>
      <w:r>
        <w:rPr>
          <w:color w:val="auto"/>
          <w:spacing w:val="-12"/>
          <w:highlight w:val="none"/>
        </w:rPr>
        <w:t xml:space="preserve">按本章第 </w:t>
      </w:r>
      <w:r>
        <w:rPr>
          <w:rFonts w:ascii="Times New Roman" w:eastAsia="Times New Roman"/>
          <w:color w:val="auto"/>
          <w:highlight w:val="none"/>
        </w:rPr>
        <w:t xml:space="preserve">2.2.2 </w:t>
      </w:r>
      <w:r>
        <w:rPr>
          <w:color w:val="auto"/>
          <w:spacing w:val="-63"/>
          <w:highlight w:val="none"/>
        </w:rPr>
        <w:t>项</w:t>
      </w:r>
      <w:r>
        <w:rPr>
          <w:color w:val="auto"/>
          <w:spacing w:val="-21"/>
          <w:highlight w:val="none"/>
        </w:rPr>
        <w:t>（</w:t>
      </w:r>
      <w:r>
        <w:rPr>
          <w:rFonts w:ascii="Times New Roman" w:eastAsia="Times New Roman"/>
          <w:color w:val="auto"/>
          <w:spacing w:val="-21"/>
          <w:highlight w:val="none"/>
        </w:rPr>
        <w:t>3</w:t>
      </w:r>
      <w:r>
        <w:rPr>
          <w:color w:val="auto"/>
          <w:spacing w:val="-21"/>
          <w:highlight w:val="none"/>
        </w:rPr>
        <w:t>）</w:t>
      </w:r>
      <w:r>
        <w:rPr>
          <w:color w:val="auto"/>
          <w:spacing w:val="-3"/>
          <w:highlight w:val="none"/>
        </w:rPr>
        <w:t xml:space="preserve">目规定的评审因素和分值对其他部分计算出得分 </w:t>
      </w:r>
      <w:r>
        <w:rPr>
          <w:rFonts w:ascii="Times New Roman" w:eastAsia="Times New Roman"/>
          <w:color w:val="auto"/>
          <w:highlight w:val="none"/>
        </w:rPr>
        <w:t>C</w:t>
      </w:r>
      <w:r>
        <w:rPr>
          <w:color w:val="auto"/>
          <w:highlight w:val="none"/>
        </w:rPr>
        <w:t>。</w:t>
      </w:r>
    </w:p>
    <w:p>
      <w:pPr>
        <w:pStyle w:val="86"/>
        <w:numPr>
          <w:ilvl w:val="2"/>
          <w:numId w:val="12"/>
        </w:numPr>
        <w:tabs>
          <w:tab w:val="left" w:pos="1510"/>
        </w:tabs>
        <w:spacing w:before="93"/>
        <w:ind w:left="1509" w:hanging="605"/>
        <w:rPr>
          <w:color w:val="auto"/>
          <w:sz w:val="24"/>
          <w:highlight w:val="none"/>
        </w:rPr>
      </w:pPr>
      <w:r>
        <w:rPr>
          <w:color w:val="auto"/>
          <w:spacing w:val="1"/>
          <w:sz w:val="24"/>
          <w:highlight w:val="none"/>
        </w:rPr>
        <w:t>投标人的商务和技术得分分值计算保留小数点后两位，小数点后第三位</w:t>
      </w:r>
    </w:p>
    <w:p>
      <w:pPr>
        <w:pStyle w:val="20"/>
        <w:spacing w:before="93"/>
        <w:ind w:left="424"/>
        <w:rPr>
          <w:color w:val="auto"/>
          <w:highlight w:val="none"/>
        </w:rPr>
      </w:pPr>
      <w:r>
        <w:rPr>
          <w:rFonts w:ascii="Times New Roman" w:hAnsi="Times New Roman" w:eastAsia="Times New Roman"/>
          <w:color w:val="auto"/>
          <w:highlight w:val="none"/>
        </w:rPr>
        <w:t>“</w:t>
      </w:r>
      <w:r>
        <w:rPr>
          <w:color w:val="auto"/>
          <w:highlight w:val="none"/>
        </w:rPr>
        <w:t>四舍五入</w:t>
      </w:r>
      <w:r>
        <w:rPr>
          <w:rFonts w:ascii="Times New Roman" w:hAnsi="Times New Roman" w:eastAsia="Times New Roman"/>
          <w:color w:val="auto"/>
          <w:highlight w:val="none"/>
        </w:rPr>
        <w:t>”</w:t>
      </w:r>
      <w:r>
        <w:rPr>
          <w:color w:val="auto"/>
          <w:highlight w:val="none"/>
        </w:rPr>
        <w:t>。</w:t>
      </w:r>
    </w:p>
    <w:p>
      <w:pPr>
        <w:pStyle w:val="86"/>
        <w:numPr>
          <w:ilvl w:val="2"/>
          <w:numId w:val="12"/>
        </w:numPr>
        <w:tabs>
          <w:tab w:val="left" w:pos="1505"/>
        </w:tabs>
        <w:spacing w:before="91"/>
        <w:ind w:left="424" w:firstLine="480"/>
        <w:rPr>
          <w:color w:val="auto"/>
          <w:sz w:val="24"/>
          <w:highlight w:val="none"/>
        </w:rPr>
      </w:pPr>
      <w:r>
        <w:rPr>
          <w:color w:val="auto"/>
          <w:sz w:val="24"/>
          <w:highlight w:val="none"/>
        </w:rPr>
        <w:t>投标人的商务和技术得分</w:t>
      </w:r>
      <w:r>
        <w:rPr>
          <w:rFonts w:ascii="Times New Roman" w:eastAsia="Times New Roman"/>
          <w:color w:val="auto"/>
          <w:sz w:val="24"/>
          <w:highlight w:val="none"/>
        </w:rPr>
        <w:t>=A+B+C</w:t>
      </w:r>
      <w:r>
        <w:rPr>
          <w:color w:val="auto"/>
          <w:sz w:val="24"/>
          <w:highlight w:val="none"/>
        </w:rPr>
        <w:t>。</w:t>
      </w:r>
    </w:p>
    <w:p>
      <w:pPr>
        <w:pStyle w:val="86"/>
        <w:numPr>
          <w:ilvl w:val="2"/>
          <w:numId w:val="12"/>
        </w:numPr>
        <w:tabs>
          <w:tab w:val="left" w:pos="1505"/>
        </w:tabs>
        <w:spacing w:before="94" w:line="312" w:lineRule="auto"/>
        <w:ind w:left="424" w:right="383" w:firstLine="480"/>
        <w:jc w:val="both"/>
        <w:rPr>
          <w:color w:val="auto"/>
          <w:sz w:val="24"/>
          <w:highlight w:val="none"/>
        </w:rPr>
      </w:pPr>
      <w:r>
        <w:rPr>
          <w:color w:val="auto"/>
          <w:spacing w:val="-4"/>
          <w:sz w:val="24"/>
          <w:highlight w:val="none"/>
        </w:rPr>
        <w:t>评标委员会按照投标人的商务和技术得分由高到低排序，排名在评标办法前附表规定数量以内的投标人，其投标文件第一个信封（商务及技术文件）通过详细评审。</w:t>
      </w:r>
    </w:p>
    <w:p>
      <w:pPr>
        <w:pStyle w:val="86"/>
        <w:numPr>
          <w:ilvl w:val="2"/>
          <w:numId w:val="12"/>
        </w:numPr>
        <w:tabs>
          <w:tab w:val="left" w:pos="1505"/>
        </w:tabs>
        <w:spacing w:line="312" w:lineRule="auto"/>
        <w:ind w:left="424" w:right="382" w:firstLine="480"/>
        <w:jc w:val="both"/>
        <w:rPr>
          <w:color w:val="auto"/>
          <w:sz w:val="24"/>
          <w:highlight w:val="none"/>
        </w:rPr>
      </w:pPr>
      <w:r>
        <w:rPr>
          <w:color w:val="auto"/>
          <w:spacing w:val="-2"/>
          <w:sz w:val="24"/>
          <w:highlight w:val="none"/>
        </w:rPr>
        <w:t>通过投标文件第一个信封</w:t>
      </w:r>
      <w:r>
        <w:rPr>
          <w:color w:val="auto"/>
          <w:sz w:val="24"/>
          <w:highlight w:val="none"/>
        </w:rPr>
        <w:t>（商务及技术文件</w:t>
      </w:r>
      <w:r>
        <w:rPr>
          <w:color w:val="auto"/>
          <w:spacing w:val="-12"/>
          <w:sz w:val="24"/>
          <w:highlight w:val="none"/>
        </w:rPr>
        <w:t>）</w:t>
      </w:r>
      <w:r>
        <w:rPr>
          <w:color w:val="auto"/>
          <w:spacing w:val="-5"/>
          <w:sz w:val="24"/>
          <w:highlight w:val="none"/>
        </w:rPr>
        <w:t xml:space="preserve">初步评审的投标人不少于 </w:t>
      </w:r>
      <w:r>
        <w:rPr>
          <w:rFonts w:ascii="Times New Roman" w:eastAsia="Times New Roman"/>
          <w:color w:val="auto"/>
          <w:sz w:val="24"/>
          <w:highlight w:val="none"/>
        </w:rPr>
        <w:t xml:space="preserve">3 </w:t>
      </w:r>
      <w:r>
        <w:rPr>
          <w:color w:val="auto"/>
          <w:spacing w:val="-5"/>
          <w:sz w:val="24"/>
          <w:highlight w:val="none"/>
        </w:rPr>
        <w:t xml:space="preserve">个且未超过评标办法前附表第 </w:t>
      </w:r>
      <w:r>
        <w:rPr>
          <w:rFonts w:ascii="Times New Roman" w:eastAsia="Times New Roman"/>
          <w:color w:val="auto"/>
          <w:sz w:val="24"/>
          <w:highlight w:val="none"/>
        </w:rPr>
        <w:t>3.2.4</w:t>
      </w:r>
      <w:r>
        <w:rPr>
          <w:color w:val="auto"/>
          <w:spacing w:val="-9"/>
          <w:sz w:val="24"/>
          <w:highlight w:val="none"/>
        </w:rPr>
        <w:t>项规定数量的，均通过投标文件第一个信封</w:t>
      </w:r>
      <w:r>
        <w:rPr>
          <w:color w:val="auto"/>
          <w:sz w:val="24"/>
          <w:highlight w:val="none"/>
        </w:rPr>
        <w:t>（商务及技术文件）详细评审，不再对投标人的商务和技术文件进行评分。</w:t>
      </w:r>
    </w:p>
    <w:p>
      <w:pPr>
        <w:pStyle w:val="86"/>
        <w:numPr>
          <w:ilvl w:val="1"/>
          <w:numId w:val="12"/>
        </w:numPr>
        <w:tabs>
          <w:tab w:val="left" w:pos="905"/>
        </w:tabs>
        <w:spacing w:before="153"/>
        <w:rPr>
          <w:rFonts w:ascii="黑体" w:eastAsia="黑体"/>
          <w:color w:val="auto"/>
          <w:sz w:val="24"/>
          <w:highlight w:val="none"/>
        </w:rPr>
      </w:pPr>
      <w:bookmarkStart w:id="506" w:name="_bookmark117"/>
      <w:bookmarkEnd w:id="506"/>
      <w:r>
        <w:rPr>
          <w:rFonts w:hint="eastAsia" w:ascii="黑体" w:eastAsia="黑体"/>
          <w:color w:val="auto"/>
          <w:sz w:val="24"/>
          <w:highlight w:val="none"/>
        </w:rPr>
        <w:t>第二个信封开标</w:t>
      </w:r>
    </w:p>
    <w:p>
      <w:pPr>
        <w:pStyle w:val="20"/>
        <w:rPr>
          <w:rFonts w:ascii="黑体"/>
          <w:color w:val="auto"/>
          <w:sz w:val="26"/>
          <w:highlight w:val="none"/>
        </w:rPr>
      </w:pPr>
    </w:p>
    <w:p>
      <w:pPr>
        <w:pStyle w:val="20"/>
        <w:spacing w:line="312" w:lineRule="auto"/>
        <w:ind w:left="424" w:right="384" w:firstLine="479"/>
        <w:jc w:val="both"/>
        <w:rPr>
          <w:color w:val="auto"/>
          <w:highlight w:val="none"/>
        </w:rPr>
      </w:pPr>
      <w:r>
        <w:rPr>
          <w:color w:val="auto"/>
          <w:spacing w:val="-12"/>
          <w:highlight w:val="none"/>
        </w:rPr>
        <w:t>第一个信封</w:t>
      </w:r>
      <w:r>
        <w:rPr>
          <w:color w:val="auto"/>
          <w:highlight w:val="none"/>
        </w:rPr>
        <w:t>（商务及技术文件</w:t>
      </w:r>
      <w:r>
        <w:rPr>
          <w:color w:val="auto"/>
          <w:spacing w:val="-60"/>
          <w:highlight w:val="none"/>
        </w:rPr>
        <w:t>）</w:t>
      </w:r>
      <w:r>
        <w:rPr>
          <w:color w:val="auto"/>
          <w:spacing w:val="-8"/>
          <w:highlight w:val="none"/>
        </w:rPr>
        <w:t>评审结束后，招标人将按照第二章</w:t>
      </w:r>
      <w:r>
        <w:rPr>
          <w:rFonts w:ascii="Times New Roman" w:hAnsi="Times New Roman" w:eastAsia="Times New Roman"/>
          <w:color w:val="auto"/>
          <w:highlight w:val="none"/>
        </w:rPr>
        <w:t>“</w:t>
      </w:r>
      <w:r>
        <w:rPr>
          <w:color w:val="auto"/>
          <w:highlight w:val="none"/>
        </w:rPr>
        <w:t>投标人须知</w:t>
      </w:r>
      <w:r>
        <w:rPr>
          <w:rFonts w:ascii="Times New Roman" w:hAnsi="Times New Roman" w:eastAsia="Times New Roman"/>
          <w:color w:val="auto"/>
          <w:highlight w:val="none"/>
        </w:rPr>
        <w:t xml:space="preserve">” </w:t>
      </w:r>
      <w:r>
        <w:rPr>
          <w:color w:val="auto"/>
          <w:spacing w:val="-6"/>
          <w:highlight w:val="none"/>
        </w:rPr>
        <w:t xml:space="preserve">第 </w:t>
      </w:r>
      <w:r>
        <w:rPr>
          <w:rFonts w:ascii="Times New Roman" w:hAnsi="Times New Roman" w:eastAsia="Times New Roman"/>
          <w:color w:val="auto"/>
          <w:highlight w:val="none"/>
        </w:rPr>
        <w:t xml:space="preserve">5.1 </w:t>
      </w:r>
      <w:r>
        <w:rPr>
          <w:color w:val="auto"/>
          <w:highlight w:val="none"/>
        </w:rPr>
        <w:t>款规定的时间和地点对通过投标文件第一个信封（商务及技术文件）评审的投标文件第二个信封（报价文件）进行开标。</w:t>
      </w:r>
    </w:p>
    <w:p>
      <w:pPr>
        <w:pStyle w:val="86"/>
        <w:numPr>
          <w:ilvl w:val="1"/>
          <w:numId w:val="12"/>
        </w:numPr>
        <w:tabs>
          <w:tab w:val="left" w:pos="905"/>
        </w:tabs>
        <w:spacing w:before="152"/>
        <w:rPr>
          <w:rFonts w:ascii="黑体" w:eastAsia="黑体"/>
          <w:color w:val="auto"/>
          <w:sz w:val="24"/>
          <w:highlight w:val="none"/>
        </w:rPr>
      </w:pPr>
      <w:bookmarkStart w:id="507" w:name="_bookmark118"/>
      <w:bookmarkEnd w:id="507"/>
      <w:r>
        <w:rPr>
          <w:rFonts w:hint="eastAsia" w:ascii="黑体" w:eastAsia="黑体"/>
          <w:color w:val="auto"/>
          <w:sz w:val="24"/>
          <w:highlight w:val="none"/>
        </w:rPr>
        <w:t>第二个信封初步评审</w:t>
      </w:r>
    </w:p>
    <w:p>
      <w:pPr>
        <w:pStyle w:val="20"/>
        <w:spacing w:before="11"/>
        <w:rPr>
          <w:rFonts w:ascii="黑体"/>
          <w:color w:val="auto"/>
          <w:sz w:val="25"/>
          <w:highlight w:val="none"/>
        </w:rPr>
      </w:pPr>
    </w:p>
    <w:p>
      <w:pPr>
        <w:pStyle w:val="86"/>
        <w:numPr>
          <w:ilvl w:val="2"/>
          <w:numId w:val="12"/>
        </w:numPr>
        <w:tabs>
          <w:tab w:val="left" w:pos="1505"/>
        </w:tabs>
        <w:spacing w:line="312" w:lineRule="auto"/>
        <w:ind w:left="424" w:right="382" w:firstLine="480"/>
        <w:jc w:val="both"/>
        <w:rPr>
          <w:color w:val="auto"/>
          <w:sz w:val="24"/>
          <w:highlight w:val="none"/>
        </w:rPr>
      </w:pPr>
      <w:r>
        <w:rPr>
          <w:color w:val="auto"/>
          <w:spacing w:val="-6"/>
          <w:sz w:val="24"/>
          <w:highlight w:val="none"/>
        </w:rPr>
        <w:t xml:space="preserve">评标委员会依据本章第 </w:t>
      </w:r>
      <w:r>
        <w:rPr>
          <w:rFonts w:ascii="Times New Roman" w:eastAsia="Times New Roman"/>
          <w:color w:val="auto"/>
          <w:sz w:val="24"/>
          <w:highlight w:val="none"/>
        </w:rPr>
        <w:t xml:space="preserve">2.1.1 </w:t>
      </w:r>
      <w:r>
        <w:rPr>
          <w:color w:val="auto"/>
          <w:spacing w:val="-36"/>
          <w:sz w:val="24"/>
          <w:highlight w:val="none"/>
        </w:rPr>
        <w:t xml:space="preserve">项、第 </w:t>
      </w:r>
      <w:r>
        <w:rPr>
          <w:rFonts w:ascii="Times New Roman" w:eastAsia="Times New Roman"/>
          <w:color w:val="auto"/>
          <w:sz w:val="24"/>
          <w:highlight w:val="none"/>
        </w:rPr>
        <w:t xml:space="preserve">2.1.3 </w:t>
      </w:r>
      <w:r>
        <w:rPr>
          <w:color w:val="auto"/>
          <w:sz w:val="24"/>
          <w:highlight w:val="none"/>
        </w:rPr>
        <w:t>项规定的评审标准对投标文件第二个信封（报价文件）进行初步评审。有一项不符合评审标准的，评标委员会应否决其投标。</w:t>
      </w:r>
    </w:p>
    <w:p>
      <w:pPr>
        <w:spacing w:line="312" w:lineRule="auto"/>
        <w:jc w:val="both"/>
        <w:rPr>
          <w:color w:val="auto"/>
          <w:sz w:val="24"/>
          <w:highlight w:val="none"/>
        </w:rPr>
        <w:sectPr>
          <w:pgSz w:w="11910" w:h="16850"/>
          <w:pgMar w:top="1418" w:right="1191" w:bottom="1418" w:left="1191" w:header="876" w:footer="853" w:gutter="0"/>
          <w:cols w:space="720" w:num="1"/>
        </w:sectPr>
      </w:pPr>
    </w:p>
    <w:p>
      <w:pPr>
        <w:pStyle w:val="20"/>
        <w:spacing w:before="7"/>
        <w:rPr>
          <w:color w:val="auto"/>
          <w:sz w:val="9"/>
          <w:highlight w:val="none"/>
        </w:rPr>
      </w:pPr>
    </w:p>
    <w:p>
      <w:pPr>
        <w:pStyle w:val="86"/>
        <w:numPr>
          <w:ilvl w:val="2"/>
          <w:numId w:val="12"/>
        </w:numPr>
        <w:tabs>
          <w:tab w:val="left" w:pos="1387"/>
        </w:tabs>
        <w:spacing w:before="74" w:line="312" w:lineRule="auto"/>
        <w:ind w:left="424" w:right="387" w:firstLine="480"/>
        <w:jc w:val="both"/>
        <w:rPr>
          <w:color w:val="auto"/>
          <w:sz w:val="24"/>
          <w:highlight w:val="none"/>
        </w:rPr>
      </w:pPr>
      <w:r>
        <w:rPr>
          <w:color w:val="auto"/>
          <w:sz w:val="24"/>
          <w:highlight w:val="none"/>
        </w:rPr>
        <w:t>投标报价有算术错误的，评标委员会按以下原则对投标报价进行修正， 修正的价格经投标人书面确认后具有约束力。投标人不接受修正价格的，评标委员会应否决其投标。</w:t>
      </w:r>
    </w:p>
    <w:p>
      <w:pPr>
        <w:pStyle w:val="20"/>
        <w:spacing w:before="1"/>
        <w:ind w:left="904"/>
        <w:rPr>
          <w:color w:val="auto"/>
          <w:highlight w:val="none"/>
        </w:rPr>
      </w:pPr>
      <w:r>
        <w:rPr>
          <w:color w:val="auto"/>
          <w:highlight w:val="none"/>
        </w:rPr>
        <w:t>（</w:t>
      </w:r>
      <w:r>
        <w:rPr>
          <w:rFonts w:ascii="Times New Roman" w:eastAsia="Times New Roman"/>
          <w:color w:val="auto"/>
          <w:highlight w:val="none"/>
        </w:rPr>
        <w:t>1</w:t>
      </w:r>
      <w:r>
        <w:rPr>
          <w:color w:val="auto"/>
          <w:highlight w:val="none"/>
        </w:rPr>
        <w:t>）投标文件中的大写金额与小写金额不一致的，以大写金额为准；</w:t>
      </w:r>
    </w:p>
    <w:p>
      <w:pPr>
        <w:pStyle w:val="20"/>
        <w:spacing w:before="91" w:line="312" w:lineRule="auto"/>
        <w:ind w:left="424" w:right="301" w:firstLine="479"/>
        <w:rPr>
          <w:rFonts w:ascii="Times New Roman" w:eastAsia="Times New Roman"/>
          <w:color w:val="auto"/>
          <w:highlight w:val="none"/>
        </w:rPr>
      </w:pPr>
      <w:r>
        <w:rPr>
          <w:color w:val="auto"/>
          <w:highlight w:val="none"/>
        </w:rPr>
        <w:t>（</w:t>
      </w:r>
      <w:r>
        <w:rPr>
          <w:rFonts w:ascii="Times New Roman" w:eastAsia="Times New Roman"/>
          <w:color w:val="auto"/>
          <w:highlight w:val="none"/>
        </w:rPr>
        <w:t>2</w:t>
      </w:r>
      <w:r>
        <w:rPr>
          <w:color w:val="auto"/>
          <w:highlight w:val="none"/>
        </w:rPr>
        <w:t>）总价金额与依据单价计算出的结果不一致的，以单价金额为准修正总价， 但单价金额小数点有明显错误的除外</w:t>
      </w:r>
      <w:r>
        <w:rPr>
          <w:rFonts w:ascii="Times New Roman" w:eastAsia="Times New Roman"/>
          <w:color w:val="auto"/>
          <w:highlight w:val="none"/>
        </w:rPr>
        <w:t>;</w:t>
      </w:r>
    </w:p>
    <w:p>
      <w:pPr>
        <w:pStyle w:val="20"/>
        <w:spacing w:before="2" w:line="312" w:lineRule="auto"/>
        <w:ind w:left="424" w:right="306" w:firstLine="479"/>
        <w:rPr>
          <w:color w:val="auto"/>
          <w:highlight w:val="none"/>
        </w:rPr>
      </w:pPr>
      <w:r>
        <w:rPr>
          <w:color w:val="auto"/>
          <w:highlight w:val="none"/>
        </w:rPr>
        <w:t>（</w:t>
      </w:r>
      <w:r>
        <w:rPr>
          <w:rFonts w:ascii="Times New Roman" w:eastAsia="Times New Roman"/>
          <w:color w:val="auto"/>
          <w:highlight w:val="none"/>
        </w:rPr>
        <w:t>3</w:t>
      </w:r>
      <w:r>
        <w:rPr>
          <w:color w:val="auto"/>
          <w:highlight w:val="none"/>
        </w:rPr>
        <w:t>）当单价与数量相乘不等于合价时，以单价计算为准，如果单价有明显的小数点位置差错，应以标出的合价为准，同时对单价予以修正；</w:t>
      </w:r>
    </w:p>
    <w:p>
      <w:pPr>
        <w:pStyle w:val="20"/>
        <w:spacing w:before="1" w:line="312" w:lineRule="auto"/>
        <w:ind w:left="424" w:right="306" w:firstLine="479"/>
        <w:rPr>
          <w:color w:val="auto"/>
          <w:highlight w:val="none"/>
        </w:rPr>
      </w:pPr>
      <w:r>
        <w:rPr>
          <w:color w:val="auto"/>
          <w:highlight w:val="none"/>
        </w:rPr>
        <w:t>（</w:t>
      </w:r>
      <w:r>
        <w:rPr>
          <w:rFonts w:ascii="Times New Roman" w:eastAsia="Times New Roman"/>
          <w:color w:val="auto"/>
          <w:highlight w:val="none"/>
        </w:rPr>
        <w:t>4</w:t>
      </w:r>
      <w:r>
        <w:rPr>
          <w:color w:val="auto"/>
          <w:highlight w:val="none"/>
        </w:rPr>
        <w:t>）当各子目的合价累计不等于总价时，应以各子目合价累计数为准，修正总价。</w:t>
      </w:r>
    </w:p>
    <w:p>
      <w:pPr>
        <w:pStyle w:val="86"/>
        <w:numPr>
          <w:ilvl w:val="2"/>
          <w:numId w:val="12"/>
        </w:numPr>
        <w:tabs>
          <w:tab w:val="left" w:pos="1505"/>
        </w:tabs>
        <w:spacing w:line="312" w:lineRule="auto"/>
        <w:ind w:left="424" w:right="385" w:firstLine="480"/>
        <w:jc w:val="both"/>
        <w:rPr>
          <w:color w:val="auto"/>
          <w:sz w:val="24"/>
          <w:highlight w:val="none"/>
        </w:rPr>
      </w:pPr>
      <w:r>
        <w:rPr>
          <w:color w:val="auto"/>
          <w:spacing w:val="-5"/>
          <w:sz w:val="24"/>
          <w:highlight w:val="none"/>
        </w:rPr>
        <w:t>工程量清单中的投标报价有其他错误的，评标委员会按以下原则对投标报价进行修正，修正的价格经投标人书面确认后具有约束力。投标人不接受修正价格的，评标委员会应否决其投标。</w:t>
      </w:r>
    </w:p>
    <w:p>
      <w:pPr>
        <w:pStyle w:val="20"/>
        <w:spacing w:line="312" w:lineRule="auto"/>
        <w:ind w:left="424" w:right="266" w:firstLine="479"/>
        <w:rPr>
          <w:color w:val="auto"/>
          <w:highlight w:val="none"/>
        </w:rPr>
      </w:pPr>
      <w:r>
        <w:rPr>
          <w:color w:val="auto"/>
          <w:highlight w:val="none"/>
        </w:rPr>
        <w:t>（</w:t>
      </w:r>
      <w:r>
        <w:rPr>
          <w:rFonts w:ascii="Times New Roman" w:eastAsia="Times New Roman"/>
          <w:color w:val="auto"/>
          <w:highlight w:val="none"/>
        </w:rPr>
        <w:t>1</w:t>
      </w:r>
      <w:r>
        <w:rPr>
          <w:color w:val="auto"/>
          <w:spacing w:val="-104"/>
          <w:highlight w:val="none"/>
        </w:rPr>
        <w:t>）</w:t>
      </w:r>
      <w:r>
        <w:rPr>
          <w:color w:val="auto"/>
          <w:spacing w:val="-4"/>
          <w:highlight w:val="none"/>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20"/>
        <w:spacing w:before="2" w:line="312" w:lineRule="auto"/>
        <w:ind w:left="424" w:right="266" w:firstLine="479"/>
        <w:rPr>
          <w:color w:val="auto"/>
          <w:highlight w:val="none"/>
        </w:rPr>
      </w:pPr>
      <w:r>
        <w:rPr>
          <w:color w:val="auto"/>
          <w:highlight w:val="none"/>
        </w:rPr>
        <w:t>（</w:t>
      </w:r>
      <w:r>
        <w:rPr>
          <w:rFonts w:ascii="Times New Roman" w:eastAsia="Times New Roman"/>
          <w:color w:val="auto"/>
          <w:highlight w:val="none"/>
        </w:rPr>
        <w:t>2</w:t>
      </w:r>
      <w:r>
        <w:rPr>
          <w:color w:val="auto"/>
          <w:spacing w:val="-104"/>
          <w:highlight w:val="none"/>
        </w:rPr>
        <w:t>）</w:t>
      </w:r>
      <w:r>
        <w:rPr>
          <w:color w:val="auto"/>
          <w:spacing w:val="-4"/>
          <w:highlight w:val="none"/>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pPr>
        <w:pStyle w:val="20"/>
        <w:spacing w:before="1" w:line="312" w:lineRule="auto"/>
        <w:ind w:left="424" w:right="305" w:firstLine="479"/>
        <w:rPr>
          <w:color w:val="auto"/>
          <w:highlight w:val="none"/>
        </w:rPr>
      </w:pPr>
      <w:r>
        <w:rPr>
          <w:color w:val="auto"/>
          <w:highlight w:val="none"/>
        </w:rPr>
        <w:t>（</w:t>
      </w:r>
      <w:r>
        <w:rPr>
          <w:rFonts w:ascii="Times New Roman" w:eastAsia="Times New Roman"/>
          <w:color w:val="auto"/>
          <w:highlight w:val="none"/>
        </w:rPr>
        <w:t>3</w:t>
      </w:r>
      <w:r>
        <w:rPr>
          <w:color w:val="auto"/>
          <w:highlight w:val="none"/>
        </w:rPr>
        <w:t>）当单价与数量的乘积与合价（金额）虽然一致，但投标人修改了该子目的工程数量，则其合价按招标人给定的工程数量乘以投标人所报单价予以修正。</w:t>
      </w:r>
    </w:p>
    <w:p>
      <w:pPr>
        <w:pStyle w:val="86"/>
        <w:numPr>
          <w:ilvl w:val="2"/>
          <w:numId w:val="12"/>
        </w:numPr>
        <w:tabs>
          <w:tab w:val="left" w:pos="1505"/>
        </w:tabs>
        <w:spacing w:line="314" w:lineRule="auto"/>
        <w:ind w:left="424" w:right="387" w:firstLine="480"/>
        <w:rPr>
          <w:color w:val="auto"/>
          <w:sz w:val="24"/>
          <w:highlight w:val="none"/>
        </w:rPr>
      </w:pPr>
      <w:r>
        <w:rPr>
          <w:color w:val="auto"/>
          <w:sz w:val="24"/>
          <w:highlight w:val="none"/>
        </w:rPr>
        <w:t>修正后的最终投标报价若超过最高投标限价</w:t>
      </w:r>
      <w:r>
        <w:rPr>
          <w:color w:val="auto"/>
          <w:spacing w:val="1"/>
          <w:sz w:val="24"/>
          <w:highlight w:val="none"/>
        </w:rPr>
        <w:t>（</w:t>
      </w:r>
      <w:r>
        <w:rPr>
          <w:color w:val="auto"/>
          <w:sz w:val="24"/>
          <w:highlight w:val="none"/>
        </w:rPr>
        <w:t>如有</w:t>
      </w:r>
      <w:r>
        <w:rPr>
          <w:color w:val="auto"/>
          <w:spacing w:val="-120"/>
          <w:sz w:val="24"/>
          <w:highlight w:val="none"/>
        </w:rPr>
        <w:t>）</w:t>
      </w:r>
      <w:r>
        <w:rPr>
          <w:color w:val="auto"/>
          <w:sz w:val="24"/>
          <w:highlight w:val="none"/>
        </w:rPr>
        <w:t>，评标委员会应否决其投标。</w:t>
      </w:r>
    </w:p>
    <w:p>
      <w:pPr>
        <w:pStyle w:val="86"/>
        <w:numPr>
          <w:ilvl w:val="1"/>
          <w:numId w:val="12"/>
        </w:numPr>
        <w:tabs>
          <w:tab w:val="left" w:pos="905"/>
        </w:tabs>
        <w:spacing w:before="147"/>
        <w:rPr>
          <w:rFonts w:ascii="黑体" w:eastAsia="黑体"/>
          <w:color w:val="auto"/>
          <w:sz w:val="24"/>
          <w:highlight w:val="none"/>
        </w:rPr>
      </w:pPr>
      <w:bookmarkStart w:id="508" w:name="_bookmark119"/>
      <w:bookmarkEnd w:id="508"/>
      <w:r>
        <w:rPr>
          <w:rFonts w:hint="eastAsia" w:ascii="黑体" w:eastAsia="黑体"/>
          <w:color w:val="auto"/>
          <w:sz w:val="24"/>
          <w:highlight w:val="none"/>
        </w:rPr>
        <w:t>第二个信封详细评审</w:t>
      </w:r>
    </w:p>
    <w:p>
      <w:pPr>
        <w:pStyle w:val="20"/>
        <w:spacing w:before="11"/>
        <w:rPr>
          <w:rFonts w:ascii="黑体"/>
          <w:color w:val="auto"/>
          <w:sz w:val="25"/>
          <w:highlight w:val="none"/>
        </w:rPr>
      </w:pPr>
    </w:p>
    <w:p>
      <w:pPr>
        <w:pStyle w:val="86"/>
        <w:numPr>
          <w:ilvl w:val="2"/>
          <w:numId w:val="12"/>
        </w:numPr>
        <w:tabs>
          <w:tab w:val="left" w:pos="1505"/>
        </w:tabs>
        <w:spacing w:line="312" w:lineRule="auto"/>
        <w:ind w:left="424" w:right="383" w:firstLine="480"/>
        <w:rPr>
          <w:color w:val="auto"/>
          <w:sz w:val="24"/>
          <w:highlight w:val="none"/>
        </w:rPr>
      </w:pPr>
      <w:r>
        <w:rPr>
          <w:color w:val="auto"/>
          <w:spacing w:val="-6"/>
          <w:sz w:val="24"/>
          <w:highlight w:val="none"/>
        </w:rPr>
        <w:t xml:space="preserve">评标委员会按本章第 </w:t>
      </w:r>
      <w:r>
        <w:rPr>
          <w:rFonts w:ascii="Times New Roman" w:eastAsia="Times New Roman"/>
          <w:color w:val="auto"/>
          <w:sz w:val="24"/>
          <w:highlight w:val="none"/>
        </w:rPr>
        <w:t xml:space="preserve">2.2 </w:t>
      </w:r>
      <w:r>
        <w:rPr>
          <w:color w:val="auto"/>
          <w:spacing w:val="-2"/>
          <w:sz w:val="24"/>
          <w:highlight w:val="none"/>
        </w:rPr>
        <w:t>款规定的量化因素和标准进行价格折算，计算出评标价，并编制价格比较一览表。</w:t>
      </w:r>
    </w:p>
    <w:p>
      <w:pPr>
        <w:pStyle w:val="86"/>
        <w:numPr>
          <w:ilvl w:val="2"/>
          <w:numId w:val="12"/>
        </w:numPr>
        <w:tabs>
          <w:tab w:val="left" w:pos="1505"/>
        </w:tabs>
        <w:spacing w:before="2"/>
        <w:ind w:left="424" w:firstLine="480"/>
        <w:rPr>
          <w:color w:val="auto"/>
          <w:sz w:val="24"/>
          <w:highlight w:val="none"/>
        </w:rPr>
      </w:pPr>
      <w:r>
        <w:rPr>
          <w:color w:val="auto"/>
          <w:spacing w:val="-4"/>
          <w:sz w:val="24"/>
          <w:highlight w:val="none"/>
        </w:rPr>
        <w:t>评标委员会发现投标人的报价明显低于其他投标报价，使得其投标报价可</w:t>
      </w:r>
    </w:p>
    <w:p>
      <w:pPr>
        <w:pStyle w:val="20"/>
        <w:spacing w:before="67" w:line="312" w:lineRule="auto"/>
        <w:ind w:left="424" w:right="391"/>
        <w:jc w:val="both"/>
        <w:rPr>
          <w:color w:val="auto"/>
          <w:highlight w:val="none"/>
        </w:rPr>
      </w:pPr>
      <w:r>
        <w:rPr>
          <w:color w:val="auto"/>
          <w:highlight w:val="none"/>
        </w:rPr>
        <w:t>能低于其个别成本的，应要求该投标人作出书面说明并提供相应的证明材料。投标人不能合理说明或不能提供相应证明材料的，由评标委员会认定该投标人以低于成本报价竞标，并否决其投标。</w:t>
      </w:r>
    </w:p>
    <w:p>
      <w:pPr>
        <w:pStyle w:val="86"/>
        <w:numPr>
          <w:ilvl w:val="1"/>
          <w:numId w:val="12"/>
        </w:numPr>
        <w:tabs>
          <w:tab w:val="left" w:pos="905"/>
        </w:tabs>
        <w:spacing w:before="152"/>
        <w:rPr>
          <w:rFonts w:ascii="黑体" w:eastAsia="黑体"/>
          <w:color w:val="auto"/>
          <w:sz w:val="24"/>
          <w:highlight w:val="none"/>
        </w:rPr>
      </w:pPr>
      <w:bookmarkStart w:id="509" w:name="_bookmark120"/>
      <w:bookmarkEnd w:id="509"/>
      <w:r>
        <w:rPr>
          <w:rFonts w:hint="eastAsia" w:ascii="黑体" w:eastAsia="黑体"/>
          <w:color w:val="auto"/>
          <w:sz w:val="24"/>
          <w:highlight w:val="none"/>
        </w:rPr>
        <w:t>投标文件相关信息的核查</w:t>
      </w:r>
    </w:p>
    <w:p>
      <w:pPr>
        <w:pStyle w:val="20"/>
        <w:spacing w:before="10"/>
        <w:rPr>
          <w:rFonts w:ascii="黑体"/>
          <w:color w:val="auto"/>
          <w:sz w:val="25"/>
          <w:highlight w:val="none"/>
        </w:rPr>
      </w:pPr>
    </w:p>
    <w:p>
      <w:pPr>
        <w:pStyle w:val="86"/>
        <w:numPr>
          <w:ilvl w:val="2"/>
          <w:numId w:val="12"/>
        </w:numPr>
        <w:tabs>
          <w:tab w:val="left" w:pos="1505"/>
        </w:tabs>
        <w:spacing w:line="312" w:lineRule="auto"/>
        <w:ind w:left="424" w:right="385" w:firstLine="480"/>
        <w:jc w:val="both"/>
        <w:rPr>
          <w:color w:val="auto"/>
          <w:sz w:val="24"/>
          <w:highlight w:val="none"/>
        </w:rPr>
      </w:pPr>
      <w:r>
        <w:rPr>
          <w:color w:val="auto"/>
          <w:spacing w:val="-9"/>
          <w:sz w:val="24"/>
          <w:highlight w:val="none"/>
        </w:rPr>
        <w:t>在评标过程中，评标委员会应查询交通运输主管部门“公路建设市场信用</w:t>
      </w:r>
      <w:r>
        <w:rPr>
          <w:color w:val="auto"/>
          <w:spacing w:val="-18"/>
          <w:sz w:val="24"/>
          <w:highlight w:val="none"/>
        </w:rPr>
        <w:t>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pStyle w:val="86"/>
        <w:numPr>
          <w:ilvl w:val="2"/>
          <w:numId w:val="12"/>
        </w:numPr>
        <w:tabs>
          <w:tab w:val="left" w:pos="1505"/>
        </w:tabs>
        <w:spacing w:before="4" w:line="312" w:lineRule="auto"/>
        <w:ind w:left="424" w:right="385" w:firstLine="480"/>
        <w:jc w:val="both"/>
        <w:rPr>
          <w:color w:val="auto"/>
          <w:sz w:val="24"/>
          <w:highlight w:val="none"/>
        </w:rPr>
      </w:pPr>
      <w:r>
        <w:rPr>
          <w:color w:val="auto"/>
          <w:spacing w:val="-4"/>
          <w:sz w:val="24"/>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20"/>
        <w:ind w:left="904"/>
        <w:rPr>
          <w:color w:val="auto"/>
          <w:highlight w:val="none"/>
        </w:rPr>
      </w:pPr>
      <w:r>
        <w:rPr>
          <w:color w:val="auto"/>
          <w:highlight w:val="none"/>
        </w:rPr>
        <w:t>（</w:t>
      </w:r>
      <w:r>
        <w:rPr>
          <w:rFonts w:ascii="Times New Roman" w:eastAsia="Times New Roman"/>
          <w:color w:val="auto"/>
          <w:highlight w:val="none"/>
        </w:rPr>
        <w:t>1</w:t>
      </w:r>
      <w:r>
        <w:rPr>
          <w:color w:val="auto"/>
          <w:highlight w:val="none"/>
        </w:rPr>
        <w:t>）有下列情形之一的，属于投标人相互串通投标：</w:t>
      </w:r>
    </w:p>
    <w:p>
      <w:pPr>
        <w:pStyle w:val="20"/>
        <w:spacing w:before="91"/>
        <w:ind w:left="904"/>
        <w:rPr>
          <w:color w:val="auto"/>
          <w:highlight w:val="none"/>
        </w:rPr>
      </w:pPr>
      <w:r>
        <w:rPr>
          <w:rFonts w:ascii="Times New Roman" w:eastAsia="Times New Roman"/>
          <w:color w:val="auto"/>
          <w:highlight w:val="none"/>
        </w:rPr>
        <w:t>a.</w:t>
      </w:r>
      <w:r>
        <w:rPr>
          <w:color w:val="auto"/>
          <w:highlight w:val="none"/>
        </w:rPr>
        <w:t>投标人之间协商投标报价等投标文件的实质性内容；</w:t>
      </w:r>
    </w:p>
    <w:p>
      <w:pPr>
        <w:pStyle w:val="20"/>
        <w:spacing w:before="94"/>
        <w:ind w:left="904"/>
        <w:rPr>
          <w:color w:val="auto"/>
          <w:highlight w:val="none"/>
        </w:rPr>
      </w:pPr>
      <w:r>
        <w:rPr>
          <w:rFonts w:ascii="Times New Roman" w:eastAsia="Times New Roman"/>
          <w:color w:val="auto"/>
          <w:highlight w:val="none"/>
        </w:rPr>
        <w:t>b.</w:t>
      </w:r>
      <w:r>
        <w:rPr>
          <w:color w:val="auto"/>
          <w:highlight w:val="none"/>
        </w:rPr>
        <w:t>投标人之间约定中标人；</w:t>
      </w:r>
    </w:p>
    <w:p>
      <w:pPr>
        <w:pStyle w:val="20"/>
        <w:spacing w:before="93"/>
        <w:ind w:left="904"/>
        <w:rPr>
          <w:color w:val="auto"/>
          <w:highlight w:val="none"/>
        </w:rPr>
      </w:pPr>
      <w:r>
        <w:rPr>
          <w:rFonts w:ascii="Times New Roman" w:eastAsia="Times New Roman"/>
          <w:color w:val="auto"/>
          <w:highlight w:val="none"/>
        </w:rPr>
        <w:t>c.</w:t>
      </w:r>
      <w:r>
        <w:rPr>
          <w:color w:val="auto"/>
          <w:highlight w:val="none"/>
        </w:rPr>
        <w:t>投标人之间约定部分投标人放弃投标或中标；</w:t>
      </w:r>
    </w:p>
    <w:p>
      <w:pPr>
        <w:pStyle w:val="20"/>
        <w:spacing w:before="91"/>
        <w:ind w:left="904"/>
        <w:rPr>
          <w:color w:val="auto"/>
          <w:highlight w:val="none"/>
        </w:rPr>
      </w:pPr>
      <w:r>
        <w:rPr>
          <w:rFonts w:ascii="Times New Roman" w:eastAsia="Times New Roman"/>
          <w:color w:val="auto"/>
          <w:highlight w:val="none"/>
        </w:rPr>
        <w:t>d.</w:t>
      </w:r>
      <w:r>
        <w:rPr>
          <w:color w:val="auto"/>
          <w:highlight w:val="none"/>
        </w:rPr>
        <w:t>属于同一集团、协会、商会等组织成员的投标人按照该组织要求协同投标；</w:t>
      </w:r>
    </w:p>
    <w:p>
      <w:pPr>
        <w:pStyle w:val="20"/>
        <w:spacing w:before="94"/>
        <w:ind w:left="904"/>
        <w:rPr>
          <w:color w:val="auto"/>
          <w:highlight w:val="none"/>
        </w:rPr>
      </w:pPr>
      <w:r>
        <w:rPr>
          <w:rFonts w:ascii="Times New Roman" w:eastAsia="Times New Roman"/>
          <w:color w:val="auto"/>
          <w:highlight w:val="none"/>
        </w:rPr>
        <w:t>e.</w:t>
      </w:r>
      <w:r>
        <w:rPr>
          <w:color w:val="auto"/>
          <w:highlight w:val="none"/>
        </w:rPr>
        <w:t>投标人之间为谋取中标或排斥特定投标人而采取的其他联合行动。</w:t>
      </w:r>
    </w:p>
    <w:p>
      <w:pPr>
        <w:pStyle w:val="20"/>
        <w:spacing w:before="93"/>
        <w:ind w:left="904"/>
        <w:rPr>
          <w:color w:val="auto"/>
          <w:highlight w:val="none"/>
        </w:rPr>
      </w:pPr>
      <w:r>
        <w:rPr>
          <w:color w:val="auto"/>
          <w:highlight w:val="none"/>
        </w:rPr>
        <w:t>（</w:t>
      </w:r>
      <w:r>
        <w:rPr>
          <w:rFonts w:ascii="Times New Roman" w:eastAsia="Times New Roman"/>
          <w:color w:val="auto"/>
          <w:highlight w:val="none"/>
        </w:rPr>
        <w:t>2</w:t>
      </w:r>
      <w:r>
        <w:rPr>
          <w:color w:val="auto"/>
          <w:highlight w:val="none"/>
        </w:rPr>
        <w:t>）有下列情形之一的，视为投标人相互串通投标：</w:t>
      </w:r>
    </w:p>
    <w:p>
      <w:pPr>
        <w:pStyle w:val="20"/>
        <w:spacing w:before="91"/>
        <w:ind w:left="904"/>
        <w:rPr>
          <w:color w:val="auto"/>
          <w:highlight w:val="none"/>
        </w:rPr>
      </w:pPr>
      <w:r>
        <w:rPr>
          <w:rFonts w:ascii="Times New Roman" w:eastAsia="Times New Roman"/>
          <w:color w:val="auto"/>
          <w:highlight w:val="none"/>
        </w:rPr>
        <w:t>a.</w:t>
      </w:r>
      <w:r>
        <w:rPr>
          <w:color w:val="auto"/>
          <w:highlight w:val="none"/>
        </w:rPr>
        <w:t>不同投标人的投标文件由同一单位或个人编制；</w:t>
      </w:r>
    </w:p>
    <w:p>
      <w:pPr>
        <w:pStyle w:val="20"/>
        <w:spacing w:before="93"/>
        <w:ind w:left="904"/>
        <w:rPr>
          <w:color w:val="auto"/>
          <w:highlight w:val="none"/>
        </w:rPr>
      </w:pPr>
      <w:r>
        <w:rPr>
          <w:rFonts w:ascii="Times New Roman" w:eastAsia="Times New Roman"/>
          <w:color w:val="auto"/>
          <w:highlight w:val="none"/>
        </w:rPr>
        <w:t>b.</w:t>
      </w:r>
      <w:r>
        <w:rPr>
          <w:color w:val="auto"/>
          <w:highlight w:val="none"/>
        </w:rPr>
        <w:t>不同投标人委托同一单位或个人办理投标事宜；</w:t>
      </w:r>
    </w:p>
    <w:p>
      <w:pPr>
        <w:pStyle w:val="20"/>
        <w:spacing w:before="93"/>
        <w:ind w:left="904"/>
        <w:rPr>
          <w:color w:val="auto"/>
          <w:highlight w:val="none"/>
        </w:rPr>
      </w:pPr>
      <w:r>
        <w:rPr>
          <w:rFonts w:ascii="Times New Roman" w:eastAsia="Times New Roman"/>
          <w:color w:val="auto"/>
          <w:highlight w:val="none"/>
        </w:rPr>
        <w:t>c.</w:t>
      </w:r>
      <w:r>
        <w:rPr>
          <w:color w:val="auto"/>
          <w:highlight w:val="none"/>
        </w:rPr>
        <w:t>不同投标人的投标文件载明的项目管理成员为同一人；</w:t>
      </w:r>
    </w:p>
    <w:p>
      <w:pPr>
        <w:pStyle w:val="20"/>
        <w:spacing w:before="92"/>
        <w:ind w:left="904"/>
        <w:rPr>
          <w:color w:val="auto"/>
          <w:highlight w:val="none"/>
        </w:rPr>
      </w:pPr>
      <w:r>
        <w:rPr>
          <w:rFonts w:ascii="Times New Roman" w:eastAsia="Times New Roman"/>
          <w:color w:val="auto"/>
          <w:highlight w:val="none"/>
        </w:rPr>
        <w:t>d.</w:t>
      </w:r>
      <w:r>
        <w:rPr>
          <w:color w:val="auto"/>
          <w:highlight w:val="none"/>
        </w:rPr>
        <w:t>不同投标人的投标文件异常一致或投标报价呈规律性差异；</w:t>
      </w:r>
    </w:p>
    <w:p>
      <w:pPr>
        <w:pStyle w:val="20"/>
        <w:spacing w:before="93"/>
        <w:ind w:left="904"/>
        <w:rPr>
          <w:color w:val="auto"/>
          <w:highlight w:val="none"/>
        </w:rPr>
      </w:pPr>
      <w:r>
        <w:rPr>
          <w:rFonts w:ascii="Times New Roman" w:eastAsia="Times New Roman"/>
          <w:color w:val="auto"/>
          <w:highlight w:val="none"/>
        </w:rPr>
        <w:t>e.</w:t>
      </w:r>
      <w:r>
        <w:rPr>
          <w:color w:val="auto"/>
          <w:highlight w:val="none"/>
        </w:rPr>
        <w:t>不同投标人的投标文件相互混装；</w:t>
      </w:r>
    </w:p>
    <w:p>
      <w:pPr>
        <w:pStyle w:val="20"/>
        <w:spacing w:before="93"/>
        <w:ind w:left="904"/>
        <w:rPr>
          <w:color w:val="auto"/>
          <w:highlight w:val="none"/>
        </w:rPr>
      </w:pPr>
      <w:r>
        <w:rPr>
          <w:rFonts w:ascii="Times New Roman" w:eastAsia="Times New Roman"/>
          <w:color w:val="auto"/>
          <w:highlight w:val="none"/>
        </w:rPr>
        <w:t>f.</w:t>
      </w:r>
      <w:r>
        <w:rPr>
          <w:color w:val="auto"/>
          <w:highlight w:val="none"/>
        </w:rPr>
        <w:t>不同投标人的投标保证金从同一单位或个人的账户转出。</w:t>
      </w:r>
    </w:p>
    <w:p>
      <w:pPr>
        <w:pStyle w:val="20"/>
        <w:spacing w:before="91"/>
        <w:ind w:left="904"/>
        <w:rPr>
          <w:color w:val="auto"/>
          <w:highlight w:val="none"/>
        </w:rPr>
      </w:pPr>
      <w:r>
        <w:rPr>
          <w:color w:val="auto"/>
          <w:highlight w:val="none"/>
        </w:rPr>
        <w:t>（</w:t>
      </w:r>
      <w:r>
        <w:rPr>
          <w:rFonts w:ascii="Times New Roman" w:eastAsia="Times New Roman"/>
          <w:color w:val="auto"/>
          <w:highlight w:val="none"/>
        </w:rPr>
        <w:t>3</w:t>
      </w:r>
      <w:r>
        <w:rPr>
          <w:color w:val="auto"/>
          <w:highlight w:val="none"/>
        </w:rPr>
        <w:t>）有下列情形之一的，属于招标人与投标人串通投标：</w:t>
      </w:r>
    </w:p>
    <w:p>
      <w:pPr>
        <w:pStyle w:val="20"/>
        <w:spacing w:before="94" w:line="312" w:lineRule="auto"/>
        <w:ind w:left="904" w:right="1681"/>
        <w:rPr>
          <w:color w:val="auto"/>
          <w:highlight w:val="none"/>
        </w:rPr>
      </w:pPr>
      <w:r>
        <w:rPr>
          <w:rFonts w:ascii="Times New Roman" w:eastAsia="Times New Roman"/>
          <w:color w:val="auto"/>
          <w:highlight w:val="none"/>
        </w:rPr>
        <w:t>a.</w:t>
      </w:r>
      <w:r>
        <w:rPr>
          <w:color w:val="auto"/>
          <w:highlight w:val="none"/>
        </w:rPr>
        <w:t>招标人在开标前开启投标文件并将有关信息泄露给其他投标人</w:t>
      </w:r>
      <w:r>
        <w:rPr>
          <w:rFonts w:ascii="Times New Roman" w:eastAsia="Times New Roman"/>
          <w:color w:val="auto"/>
          <w:highlight w:val="none"/>
        </w:rPr>
        <w:t>; b.</w:t>
      </w:r>
      <w:r>
        <w:rPr>
          <w:color w:val="auto"/>
          <w:highlight w:val="none"/>
        </w:rPr>
        <w:t>招标人直接或间接向投标人泄露标底、评标委员会成员等信息；</w:t>
      </w:r>
    </w:p>
    <w:p>
      <w:pPr>
        <w:pStyle w:val="20"/>
        <w:spacing w:line="307" w:lineRule="exact"/>
        <w:ind w:left="904"/>
        <w:rPr>
          <w:color w:val="auto"/>
          <w:highlight w:val="none"/>
        </w:rPr>
      </w:pPr>
      <w:r>
        <w:rPr>
          <w:rFonts w:ascii="Times New Roman" w:eastAsia="Times New Roman"/>
          <w:color w:val="auto"/>
          <w:highlight w:val="none"/>
        </w:rPr>
        <w:t>c.</w:t>
      </w:r>
      <w:r>
        <w:rPr>
          <w:color w:val="auto"/>
          <w:highlight w:val="none"/>
        </w:rPr>
        <w:t>招标人明示或暗示投标人压低或抬高投标报价；</w:t>
      </w:r>
    </w:p>
    <w:p>
      <w:pPr>
        <w:pStyle w:val="20"/>
        <w:spacing w:before="93"/>
        <w:ind w:left="904"/>
        <w:rPr>
          <w:color w:val="auto"/>
          <w:highlight w:val="none"/>
        </w:rPr>
      </w:pPr>
      <w:r>
        <w:rPr>
          <w:rFonts w:ascii="Times New Roman" w:eastAsia="Times New Roman"/>
          <w:color w:val="auto"/>
          <w:highlight w:val="none"/>
        </w:rPr>
        <w:t>d.</w:t>
      </w:r>
      <w:r>
        <w:rPr>
          <w:color w:val="auto"/>
          <w:highlight w:val="none"/>
        </w:rPr>
        <w:t>招标人授意投标人撤换、修改投标文件；</w:t>
      </w:r>
    </w:p>
    <w:p>
      <w:pPr>
        <w:pStyle w:val="20"/>
        <w:spacing w:before="94"/>
        <w:ind w:left="904"/>
        <w:rPr>
          <w:color w:val="auto"/>
          <w:highlight w:val="none"/>
        </w:rPr>
      </w:pPr>
      <w:r>
        <w:rPr>
          <w:rFonts w:ascii="Times New Roman" w:eastAsia="Times New Roman"/>
          <w:color w:val="auto"/>
          <w:highlight w:val="none"/>
        </w:rPr>
        <w:t>e.</w:t>
      </w:r>
      <w:r>
        <w:rPr>
          <w:color w:val="auto"/>
          <w:highlight w:val="none"/>
        </w:rPr>
        <w:t>招标人明示或暗示投标人为特定投标人中标提供方便；</w:t>
      </w:r>
    </w:p>
    <w:p>
      <w:pPr>
        <w:pStyle w:val="20"/>
        <w:spacing w:before="91"/>
        <w:ind w:left="904"/>
        <w:rPr>
          <w:color w:val="auto"/>
          <w:highlight w:val="none"/>
        </w:rPr>
      </w:pPr>
      <w:r>
        <w:rPr>
          <w:rFonts w:ascii="Times New Roman" w:eastAsia="Times New Roman"/>
          <w:color w:val="auto"/>
          <w:highlight w:val="none"/>
        </w:rPr>
        <w:t>f.</w:t>
      </w:r>
      <w:r>
        <w:rPr>
          <w:color w:val="auto"/>
          <w:highlight w:val="none"/>
        </w:rPr>
        <w:t>招标人与投标人为谋求特定投标人中标而采取的其他串通行为。</w:t>
      </w:r>
    </w:p>
    <w:p>
      <w:pPr>
        <w:pStyle w:val="20"/>
        <w:spacing w:before="93"/>
        <w:ind w:left="904"/>
        <w:rPr>
          <w:color w:val="auto"/>
          <w:highlight w:val="none"/>
        </w:rPr>
      </w:pPr>
      <w:r>
        <w:rPr>
          <w:color w:val="auto"/>
          <w:highlight w:val="none"/>
        </w:rPr>
        <w:t>（</w:t>
      </w:r>
      <w:r>
        <w:rPr>
          <w:rFonts w:ascii="Times New Roman" w:eastAsia="Times New Roman"/>
          <w:color w:val="auto"/>
          <w:highlight w:val="none"/>
        </w:rPr>
        <w:t>4</w:t>
      </w:r>
      <w:r>
        <w:rPr>
          <w:color w:val="auto"/>
          <w:highlight w:val="none"/>
        </w:rPr>
        <w:t>）投标人有下列情形之一的，属于弄虚作假的行为：</w:t>
      </w:r>
    </w:p>
    <w:p>
      <w:pPr>
        <w:pStyle w:val="20"/>
        <w:spacing w:before="74"/>
        <w:ind w:left="904"/>
        <w:rPr>
          <w:color w:val="auto"/>
          <w:highlight w:val="none"/>
        </w:rPr>
      </w:pPr>
      <w:r>
        <w:rPr>
          <w:rFonts w:ascii="Times New Roman" w:eastAsia="Times New Roman"/>
          <w:color w:val="auto"/>
          <w:highlight w:val="none"/>
        </w:rPr>
        <w:t>a.</w:t>
      </w:r>
      <w:r>
        <w:rPr>
          <w:color w:val="auto"/>
          <w:highlight w:val="none"/>
        </w:rPr>
        <w:t>使用通过受让或租借等方式获取的资格、资质证书投标；</w:t>
      </w:r>
    </w:p>
    <w:p>
      <w:pPr>
        <w:pStyle w:val="20"/>
        <w:spacing w:before="91"/>
        <w:ind w:left="904"/>
        <w:rPr>
          <w:color w:val="auto"/>
          <w:highlight w:val="none"/>
        </w:rPr>
      </w:pPr>
      <w:r>
        <w:rPr>
          <w:rFonts w:ascii="Times New Roman" w:eastAsia="Times New Roman"/>
          <w:color w:val="auto"/>
          <w:highlight w:val="none"/>
        </w:rPr>
        <w:t>b.</w:t>
      </w:r>
      <w:r>
        <w:rPr>
          <w:color w:val="auto"/>
          <w:highlight w:val="none"/>
        </w:rPr>
        <w:t>使用伪造、变造的许可证件；</w:t>
      </w:r>
    </w:p>
    <w:p>
      <w:pPr>
        <w:pStyle w:val="20"/>
        <w:spacing w:before="94"/>
        <w:ind w:left="904"/>
        <w:rPr>
          <w:color w:val="auto"/>
          <w:highlight w:val="none"/>
        </w:rPr>
      </w:pPr>
      <w:r>
        <w:rPr>
          <w:rFonts w:ascii="Times New Roman" w:eastAsia="Times New Roman"/>
          <w:color w:val="auto"/>
          <w:highlight w:val="none"/>
        </w:rPr>
        <w:t>c.</w:t>
      </w:r>
      <w:r>
        <w:rPr>
          <w:color w:val="auto"/>
          <w:highlight w:val="none"/>
        </w:rPr>
        <w:t>提供虚假的财务状况或业绩；</w:t>
      </w:r>
    </w:p>
    <w:p>
      <w:pPr>
        <w:pStyle w:val="20"/>
        <w:spacing w:before="93"/>
        <w:ind w:left="904"/>
        <w:rPr>
          <w:color w:val="auto"/>
          <w:highlight w:val="none"/>
        </w:rPr>
      </w:pPr>
      <w:r>
        <w:rPr>
          <w:rFonts w:ascii="Times New Roman" w:eastAsia="Times New Roman"/>
          <w:color w:val="auto"/>
          <w:highlight w:val="none"/>
        </w:rPr>
        <w:t>d.</w:t>
      </w:r>
      <w:r>
        <w:rPr>
          <w:color w:val="auto"/>
          <w:highlight w:val="none"/>
        </w:rPr>
        <w:t>提供虚假的项目负责人或主要技术人员简历、劳动关系证明；</w:t>
      </w:r>
    </w:p>
    <w:p>
      <w:pPr>
        <w:pStyle w:val="20"/>
        <w:spacing w:before="91"/>
        <w:ind w:left="904"/>
        <w:rPr>
          <w:color w:val="auto"/>
          <w:highlight w:val="none"/>
        </w:rPr>
      </w:pPr>
      <w:r>
        <w:rPr>
          <w:rFonts w:ascii="Times New Roman" w:eastAsia="Times New Roman"/>
          <w:color w:val="auto"/>
          <w:highlight w:val="none"/>
        </w:rPr>
        <w:t>e.</w:t>
      </w:r>
      <w:r>
        <w:rPr>
          <w:color w:val="auto"/>
          <w:highlight w:val="none"/>
        </w:rPr>
        <w:t>提供虚假的信用状况；</w:t>
      </w:r>
    </w:p>
    <w:p>
      <w:pPr>
        <w:pStyle w:val="20"/>
        <w:spacing w:before="93"/>
        <w:ind w:left="904"/>
        <w:rPr>
          <w:color w:val="auto"/>
          <w:highlight w:val="none"/>
        </w:rPr>
      </w:pPr>
      <w:r>
        <w:rPr>
          <w:rFonts w:ascii="Times New Roman" w:eastAsia="Times New Roman"/>
          <w:color w:val="auto"/>
          <w:highlight w:val="none"/>
        </w:rPr>
        <w:t>f.</w:t>
      </w:r>
      <w:r>
        <w:rPr>
          <w:color w:val="auto"/>
          <w:highlight w:val="none"/>
        </w:rPr>
        <w:t>其他弄虚作假的行为。</w:t>
      </w:r>
    </w:p>
    <w:p>
      <w:pPr>
        <w:pStyle w:val="20"/>
        <w:rPr>
          <w:color w:val="auto"/>
          <w:sz w:val="26"/>
          <w:highlight w:val="none"/>
        </w:rPr>
      </w:pPr>
    </w:p>
    <w:p>
      <w:pPr>
        <w:pStyle w:val="86"/>
        <w:numPr>
          <w:ilvl w:val="1"/>
          <w:numId w:val="12"/>
        </w:numPr>
        <w:tabs>
          <w:tab w:val="left" w:pos="905"/>
        </w:tabs>
        <w:rPr>
          <w:rFonts w:ascii="黑体" w:eastAsia="黑体"/>
          <w:color w:val="auto"/>
          <w:sz w:val="24"/>
          <w:highlight w:val="none"/>
        </w:rPr>
      </w:pPr>
      <w:bookmarkStart w:id="510" w:name="_bookmark121"/>
      <w:bookmarkEnd w:id="510"/>
      <w:r>
        <w:rPr>
          <w:rFonts w:hint="eastAsia" w:ascii="黑体" w:eastAsia="黑体"/>
          <w:color w:val="auto"/>
          <w:sz w:val="24"/>
          <w:highlight w:val="none"/>
        </w:rPr>
        <w:t>投标文件的澄清和说明</w:t>
      </w:r>
    </w:p>
    <w:p>
      <w:pPr>
        <w:pStyle w:val="20"/>
        <w:spacing w:before="11"/>
        <w:rPr>
          <w:rFonts w:ascii="黑体"/>
          <w:color w:val="auto"/>
          <w:sz w:val="25"/>
          <w:highlight w:val="none"/>
        </w:rPr>
      </w:pPr>
    </w:p>
    <w:p>
      <w:pPr>
        <w:pStyle w:val="86"/>
        <w:numPr>
          <w:ilvl w:val="2"/>
          <w:numId w:val="12"/>
        </w:numPr>
        <w:tabs>
          <w:tab w:val="left" w:pos="1505"/>
        </w:tabs>
        <w:spacing w:before="1" w:line="312" w:lineRule="auto"/>
        <w:ind w:left="424" w:right="382" w:firstLine="480"/>
        <w:jc w:val="both"/>
        <w:rPr>
          <w:color w:val="auto"/>
          <w:sz w:val="24"/>
          <w:highlight w:val="none"/>
        </w:rPr>
      </w:pPr>
      <w:r>
        <w:rPr>
          <w:color w:val="auto"/>
          <w:spacing w:val="-9"/>
          <w:sz w:val="24"/>
          <w:highlight w:val="non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86"/>
        <w:numPr>
          <w:ilvl w:val="2"/>
          <w:numId w:val="12"/>
        </w:numPr>
        <w:tabs>
          <w:tab w:val="left" w:pos="1505"/>
        </w:tabs>
        <w:spacing w:before="1" w:line="312" w:lineRule="auto"/>
        <w:ind w:left="424" w:right="382" w:firstLine="480"/>
        <w:rPr>
          <w:color w:val="auto"/>
          <w:sz w:val="24"/>
          <w:highlight w:val="none"/>
        </w:rPr>
      </w:pPr>
      <w:r>
        <w:rPr>
          <w:color w:val="auto"/>
          <w:spacing w:val="-3"/>
          <w:sz w:val="24"/>
          <w:highlight w:val="none"/>
        </w:rPr>
        <w:t>澄清和说明不得超出投标文件的范围或改变投标文件的实质性内容</w:t>
      </w:r>
      <w:r>
        <w:rPr>
          <w:color w:val="auto"/>
          <w:sz w:val="24"/>
          <w:highlight w:val="none"/>
        </w:rPr>
        <w:t>（算术性错误的修正除外</w:t>
      </w:r>
      <w:r>
        <w:rPr>
          <w:color w:val="auto"/>
          <w:spacing w:val="-120"/>
          <w:sz w:val="24"/>
          <w:highlight w:val="none"/>
        </w:rPr>
        <w:t>）</w:t>
      </w:r>
      <w:r>
        <w:rPr>
          <w:color w:val="auto"/>
          <w:sz w:val="24"/>
          <w:highlight w:val="none"/>
        </w:rPr>
        <w:t>。投标人的书面澄清、说明属于投标文件的组成部分。</w:t>
      </w:r>
    </w:p>
    <w:p>
      <w:pPr>
        <w:pStyle w:val="86"/>
        <w:numPr>
          <w:ilvl w:val="2"/>
          <w:numId w:val="12"/>
        </w:numPr>
        <w:tabs>
          <w:tab w:val="left" w:pos="1505"/>
        </w:tabs>
        <w:spacing w:line="312" w:lineRule="auto"/>
        <w:ind w:left="424" w:right="263" w:firstLine="480"/>
        <w:rPr>
          <w:color w:val="auto"/>
          <w:sz w:val="24"/>
          <w:highlight w:val="none"/>
        </w:rPr>
      </w:pPr>
      <w:r>
        <w:rPr>
          <w:color w:val="auto"/>
          <w:spacing w:val="-11"/>
          <w:sz w:val="24"/>
          <w:highlight w:val="none"/>
        </w:rPr>
        <w:t>评标委员会不得暗示或诱导投标人作出澄清、说明，对投标人提交的澄清、说明有疑问的，可以要求投标人进一步澄清或说明，直至满足评标委员会的要求。</w:t>
      </w:r>
    </w:p>
    <w:p>
      <w:pPr>
        <w:pStyle w:val="86"/>
        <w:numPr>
          <w:ilvl w:val="2"/>
          <w:numId w:val="12"/>
        </w:numPr>
        <w:tabs>
          <w:tab w:val="left" w:pos="1505"/>
        </w:tabs>
        <w:spacing w:before="3" w:line="312" w:lineRule="auto"/>
        <w:ind w:left="424" w:right="385" w:firstLine="480"/>
        <w:rPr>
          <w:color w:val="auto"/>
          <w:sz w:val="24"/>
          <w:highlight w:val="none"/>
        </w:rPr>
      </w:pPr>
      <w:r>
        <w:rPr>
          <w:color w:val="auto"/>
          <w:spacing w:val="-3"/>
          <w:sz w:val="24"/>
          <w:highlight w:val="none"/>
        </w:rPr>
        <w:t>凡超出招标文件规定的或给发包人带来未曾要求的利益的变化、偏差或其他因素在评标时不予考虑。</w:t>
      </w:r>
    </w:p>
    <w:p>
      <w:pPr>
        <w:pStyle w:val="20"/>
        <w:spacing w:before="8"/>
        <w:rPr>
          <w:color w:val="auto"/>
          <w:sz w:val="18"/>
          <w:highlight w:val="none"/>
        </w:rPr>
      </w:pPr>
    </w:p>
    <w:p>
      <w:pPr>
        <w:pStyle w:val="86"/>
        <w:numPr>
          <w:ilvl w:val="1"/>
          <w:numId w:val="12"/>
        </w:numPr>
        <w:tabs>
          <w:tab w:val="left" w:pos="905"/>
        </w:tabs>
        <w:spacing w:before="1"/>
        <w:rPr>
          <w:rFonts w:ascii="黑体" w:eastAsia="黑体"/>
          <w:color w:val="auto"/>
          <w:sz w:val="24"/>
          <w:highlight w:val="none"/>
        </w:rPr>
      </w:pPr>
      <w:bookmarkStart w:id="511" w:name="_bookmark122"/>
      <w:bookmarkEnd w:id="511"/>
      <w:r>
        <w:rPr>
          <w:rFonts w:hint="eastAsia" w:ascii="黑体" w:eastAsia="黑体"/>
          <w:color w:val="auto"/>
          <w:sz w:val="24"/>
          <w:highlight w:val="none"/>
        </w:rPr>
        <w:t>不得否决投标的情形</w:t>
      </w:r>
    </w:p>
    <w:p>
      <w:pPr>
        <w:pStyle w:val="20"/>
        <w:rPr>
          <w:rFonts w:ascii="黑体"/>
          <w:color w:val="auto"/>
          <w:sz w:val="26"/>
          <w:highlight w:val="none"/>
        </w:rPr>
      </w:pPr>
    </w:p>
    <w:p>
      <w:pPr>
        <w:pStyle w:val="20"/>
        <w:ind w:left="904"/>
        <w:rPr>
          <w:color w:val="auto"/>
          <w:highlight w:val="none"/>
        </w:rPr>
      </w:pPr>
      <w:r>
        <w:rPr>
          <w:color w:val="auto"/>
          <w:highlight w:val="none"/>
        </w:rPr>
        <w:t xml:space="preserve">投标文件存在第二章“投标人须知”第 </w:t>
      </w:r>
      <w:r>
        <w:rPr>
          <w:rFonts w:ascii="Times New Roman" w:hAnsi="Times New Roman" w:eastAsia="Times New Roman"/>
          <w:color w:val="auto"/>
          <w:highlight w:val="none"/>
        </w:rPr>
        <w:t xml:space="preserve">1.12.3 </w:t>
      </w:r>
      <w:r>
        <w:rPr>
          <w:color w:val="auto"/>
          <w:highlight w:val="none"/>
        </w:rPr>
        <w:t>项所列情形的，均视为细微偏差，</w:t>
      </w:r>
    </w:p>
    <w:p>
      <w:pPr>
        <w:pStyle w:val="20"/>
        <w:spacing w:before="91" w:line="314" w:lineRule="auto"/>
        <w:ind w:left="424" w:right="334"/>
        <w:rPr>
          <w:color w:val="auto"/>
          <w:highlight w:val="none"/>
        </w:rPr>
      </w:pPr>
      <w:r>
        <w:rPr>
          <w:color w:val="auto"/>
          <w:highlight w:val="none"/>
        </w:rPr>
        <w:t xml:space="preserve">评标委员会不得否决投标人的投标，应按照第二章“投标人须知”第 </w:t>
      </w:r>
      <w:r>
        <w:rPr>
          <w:rFonts w:ascii="Times New Roman" w:hAnsi="Times New Roman" w:eastAsia="Times New Roman"/>
          <w:color w:val="auto"/>
          <w:highlight w:val="none"/>
        </w:rPr>
        <w:t xml:space="preserve">1.12.4 </w:t>
      </w:r>
      <w:r>
        <w:rPr>
          <w:color w:val="auto"/>
          <w:highlight w:val="none"/>
        </w:rPr>
        <w:t>项规定的原则处理。</w:t>
      </w:r>
    </w:p>
    <w:p>
      <w:pPr>
        <w:pStyle w:val="86"/>
        <w:numPr>
          <w:ilvl w:val="1"/>
          <w:numId w:val="12"/>
        </w:numPr>
        <w:tabs>
          <w:tab w:val="left" w:pos="905"/>
        </w:tabs>
        <w:spacing w:before="147"/>
        <w:rPr>
          <w:rFonts w:ascii="黑体" w:eastAsia="黑体"/>
          <w:color w:val="auto"/>
          <w:sz w:val="24"/>
          <w:highlight w:val="none"/>
        </w:rPr>
      </w:pPr>
      <w:bookmarkStart w:id="512" w:name="_bookmark123"/>
      <w:bookmarkEnd w:id="512"/>
      <w:r>
        <w:rPr>
          <w:rFonts w:hint="eastAsia" w:ascii="黑体" w:eastAsia="黑体"/>
          <w:color w:val="auto"/>
          <w:sz w:val="24"/>
          <w:highlight w:val="none"/>
        </w:rPr>
        <w:t>评标结果</w:t>
      </w:r>
    </w:p>
    <w:p>
      <w:pPr>
        <w:pStyle w:val="20"/>
        <w:spacing w:before="11"/>
        <w:rPr>
          <w:rFonts w:ascii="黑体"/>
          <w:color w:val="auto"/>
          <w:sz w:val="25"/>
          <w:highlight w:val="none"/>
        </w:rPr>
      </w:pPr>
    </w:p>
    <w:p>
      <w:pPr>
        <w:pStyle w:val="86"/>
        <w:numPr>
          <w:ilvl w:val="2"/>
          <w:numId w:val="12"/>
        </w:numPr>
        <w:tabs>
          <w:tab w:val="left" w:pos="1447"/>
        </w:tabs>
        <w:spacing w:line="312" w:lineRule="auto"/>
        <w:ind w:left="424" w:right="384" w:firstLine="480"/>
        <w:rPr>
          <w:color w:val="auto"/>
          <w:sz w:val="24"/>
          <w:highlight w:val="none"/>
        </w:rPr>
      </w:pPr>
      <w:r>
        <w:rPr>
          <w:color w:val="auto"/>
          <w:sz w:val="24"/>
          <w:highlight w:val="none"/>
        </w:rPr>
        <w:t>除第二章</w:t>
      </w:r>
      <w:r>
        <w:rPr>
          <w:rFonts w:ascii="Times New Roman" w:hAnsi="Times New Roman" w:eastAsia="Times New Roman"/>
          <w:color w:val="auto"/>
          <w:sz w:val="24"/>
          <w:highlight w:val="none"/>
        </w:rPr>
        <w:t>“</w:t>
      </w:r>
      <w:r>
        <w:rPr>
          <w:color w:val="auto"/>
          <w:sz w:val="24"/>
          <w:highlight w:val="none"/>
        </w:rPr>
        <w:t>投标人须知</w:t>
      </w:r>
      <w:r>
        <w:rPr>
          <w:rFonts w:ascii="Times New Roman" w:hAnsi="Times New Roman" w:eastAsia="Times New Roman"/>
          <w:color w:val="auto"/>
          <w:sz w:val="24"/>
          <w:highlight w:val="none"/>
        </w:rPr>
        <w:t>”</w:t>
      </w:r>
      <w:r>
        <w:rPr>
          <w:color w:val="auto"/>
          <w:sz w:val="24"/>
          <w:highlight w:val="none"/>
        </w:rPr>
        <w:t>前附表授权直接确定中标人外，评标委员会按照评标价由低到高的顺序推荐中标候选人，并标明排序。</w:t>
      </w:r>
    </w:p>
    <w:p>
      <w:pPr>
        <w:pStyle w:val="86"/>
        <w:numPr>
          <w:ilvl w:val="2"/>
          <w:numId w:val="12"/>
        </w:numPr>
        <w:tabs>
          <w:tab w:val="left" w:pos="1505"/>
        </w:tabs>
        <w:spacing w:before="74"/>
        <w:rPr>
          <w:color w:val="auto"/>
          <w:sz w:val="24"/>
          <w:highlight w:val="none"/>
        </w:rPr>
      </w:pPr>
      <w:r>
        <w:rPr>
          <w:color w:val="auto"/>
          <w:sz w:val="24"/>
          <w:highlight w:val="none"/>
        </w:rPr>
        <w:t>评标委员会完成评标后，应向招标人提交书面评标报告。</w:t>
      </w:r>
    </w:p>
    <w:p>
      <w:pPr>
        <w:rPr>
          <w:color w:val="auto"/>
          <w:sz w:val="24"/>
          <w:highlight w:val="none"/>
        </w:rPr>
        <w:sectPr>
          <w:footerReference r:id="rId27" w:type="default"/>
          <w:footerReference r:id="rId28" w:type="even"/>
          <w:pgSz w:w="11910" w:h="16850"/>
          <w:pgMar w:top="1418" w:right="1191" w:bottom="1418" w:left="1191" w:header="876" w:footer="1060" w:gutter="0"/>
          <w:cols w:space="720" w:num="1"/>
        </w:sect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spacing w:before="4"/>
        <w:rPr>
          <w:color w:val="auto"/>
          <w:sz w:val="23"/>
          <w:highlight w:val="none"/>
        </w:rPr>
      </w:pPr>
    </w:p>
    <w:p>
      <w:pPr>
        <w:pStyle w:val="3"/>
        <w:tabs>
          <w:tab w:val="left" w:pos="3921"/>
        </w:tabs>
        <w:spacing w:before="21"/>
        <w:ind w:left="1682"/>
        <w:rPr>
          <w:color w:val="auto"/>
          <w:highlight w:val="none"/>
        </w:rPr>
      </w:pPr>
      <w:bookmarkStart w:id="513" w:name="_bookmark155"/>
      <w:bookmarkEnd w:id="513"/>
      <w:bookmarkStart w:id="514" w:name="_Toc29675"/>
      <w:bookmarkStart w:id="515" w:name="_Toc26282"/>
      <w:bookmarkStart w:id="516" w:name="_Toc5694"/>
      <w:bookmarkStart w:id="517" w:name="_Toc26752"/>
      <w:bookmarkStart w:id="518" w:name="_Toc22776"/>
      <w:bookmarkStart w:id="519" w:name="_Toc6703"/>
      <w:bookmarkStart w:id="520" w:name="_Toc29145"/>
      <w:bookmarkStart w:id="521" w:name="_Toc24134"/>
      <w:bookmarkStart w:id="522" w:name="_Toc31760"/>
      <w:bookmarkStart w:id="523" w:name="_Toc91"/>
      <w:bookmarkStart w:id="524" w:name="_Toc1344"/>
      <w:bookmarkStart w:id="525" w:name="_Toc22494"/>
      <w:bookmarkStart w:id="526" w:name="_Toc515102390"/>
      <w:bookmarkStart w:id="527" w:name="_Toc27400"/>
      <w:bookmarkStart w:id="528" w:name="_Toc11268"/>
      <w:bookmarkStart w:id="529" w:name="_Toc2657"/>
      <w:bookmarkStart w:id="530" w:name="_Toc29914"/>
      <w:bookmarkStart w:id="531" w:name="_Toc6144"/>
      <w:bookmarkStart w:id="532" w:name="_Toc515102162"/>
      <w:bookmarkStart w:id="533" w:name="_Toc4066"/>
      <w:bookmarkStart w:id="534" w:name="_Toc28663"/>
      <w:bookmarkStart w:id="535" w:name="_Toc29983"/>
      <w:bookmarkStart w:id="536" w:name="_Toc16725"/>
      <w:bookmarkStart w:id="537" w:name="_Toc1261"/>
      <w:bookmarkStart w:id="538" w:name="_Toc5247"/>
      <w:bookmarkStart w:id="539" w:name="_Toc27075"/>
      <w:bookmarkStart w:id="540" w:name="_Toc11121"/>
      <w:bookmarkStart w:id="541" w:name="_Toc24604"/>
      <w:bookmarkStart w:id="542" w:name="_Toc7437"/>
      <w:bookmarkStart w:id="543" w:name="_Toc10860"/>
      <w:bookmarkStart w:id="544" w:name="_Toc25880"/>
      <w:r>
        <w:rPr>
          <w:color w:val="auto"/>
          <w:highlight w:val="none"/>
        </w:rPr>
        <w:t>第四章</w:t>
      </w:r>
      <w:r>
        <w:rPr>
          <w:color w:val="auto"/>
          <w:highlight w:val="none"/>
        </w:rPr>
        <w:tab/>
      </w:r>
      <w:r>
        <w:rPr>
          <w:color w:val="auto"/>
          <w:highlight w:val="none"/>
        </w:rPr>
        <w:t>合同条款及格式</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rPr>
          <w:color w:val="auto"/>
          <w:highlight w:val="none"/>
        </w:rPr>
        <w:sectPr>
          <w:headerReference r:id="rId29" w:type="even"/>
          <w:pgSz w:w="11910" w:h="16850"/>
          <w:pgMar w:top="1418" w:right="1191" w:bottom="1418" w:left="1191" w:header="883" w:footer="884" w:gutter="0"/>
          <w:cols w:space="720" w:num="1"/>
        </w:sectPr>
      </w:pPr>
    </w:p>
    <w:p>
      <w:pPr>
        <w:pStyle w:val="20"/>
        <w:spacing w:before="12"/>
        <w:rPr>
          <w:rFonts w:ascii="黑体"/>
          <w:color w:val="auto"/>
          <w:sz w:val="23"/>
          <w:highlight w:val="none"/>
        </w:rPr>
      </w:pPr>
    </w:p>
    <w:p>
      <w:pPr>
        <w:pStyle w:val="4"/>
        <w:numPr>
          <w:ilvl w:val="0"/>
          <w:numId w:val="13"/>
        </w:numPr>
        <w:tabs>
          <w:tab w:val="left" w:pos="4341"/>
        </w:tabs>
        <w:rPr>
          <w:color w:val="auto"/>
          <w:highlight w:val="none"/>
        </w:rPr>
      </w:pPr>
      <w:bookmarkStart w:id="545" w:name="_bookmark156"/>
      <w:bookmarkEnd w:id="545"/>
      <w:bookmarkStart w:id="546" w:name="_Toc22103"/>
      <w:bookmarkStart w:id="547" w:name="_Toc3878"/>
      <w:bookmarkStart w:id="548" w:name="_Toc20909"/>
      <w:bookmarkStart w:id="549" w:name="_Toc515102163"/>
      <w:bookmarkStart w:id="550" w:name="_Toc30177"/>
      <w:bookmarkStart w:id="551" w:name="_Toc14164"/>
      <w:bookmarkStart w:id="552" w:name="_Toc25617"/>
      <w:bookmarkStart w:id="553" w:name="_Toc26727"/>
      <w:bookmarkStart w:id="554" w:name="_Toc28771"/>
      <w:bookmarkStart w:id="555" w:name="_Toc6617"/>
      <w:bookmarkStart w:id="556" w:name="_Toc9813"/>
      <w:bookmarkStart w:id="557" w:name="_Toc31461"/>
      <w:bookmarkStart w:id="558" w:name="_Toc15717"/>
      <w:bookmarkStart w:id="559" w:name="_Toc7600"/>
      <w:bookmarkStart w:id="560" w:name="_Toc1756"/>
      <w:bookmarkStart w:id="561" w:name="_Toc515102391"/>
      <w:bookmarkStart w:id="562" w:name="_Toc4153"/>
      <w:bookmarkStart w:id="563" w:name="_Toc19529"/>
      <w:bookmarkStart w:id="564" w:name="_Toc14534"/>
      <w:r>
        <w:rPr>
          <w:color w:val="auto"/>
          <w:highlight w:val="none"/>
        </w:rPr>
        <w:t>通用合同条款</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tabs>
          <w:tab w:val="left" w:pos="4341"/>
        </w:tabs>
        <w:rPr>
          <w:color w:val="auto"/>
          <w:highlight w:val="none"/>
        </w:rPr>
      </w:pPr>
    </w:p>
    <w:p>
      <w:pPr>
        <w:spacing w:before="62"/>
        <w:rPr>
          <w:rFonts w:ascii="黑体" w:hAnsi="黑体" w:eastAsia="黑体"/>
          <w:color w:val="auto"/>
          <w:sz w:val="28"/>
          <w:highlight w:val="none"/>
        </w:rPr>
      </w:pPr>
    </w:p>
    <w:p>
      <w:pPr>
        <w:spacing w:before="62"/>
        <w:jc w:val="center"/>
        <w:rPr>
          <w:rFonts w:ascii="黑体" w:hAnsi="黑体" w:eastAsia="黑体"/>
          <w:color w:val="auto"/>
          <w:sz w:val="28"/>
          <w:highlight w:val="none"/>
        </w:rPr>
      </w:pPr>
      <w:r>
        <w:rPr>
          <w:rFonts w:hint="eastAsia" w:ascii="黑体" w:hAnsi="黑体" w:eastAsia="黑体"/>
          <w:color w:val="auto"/>
          <w:sz w:val="28"/>
          <w:highlight w:val="none"/>
        </w:rPr>
        <w:t>“通用合同条款”采用《标准施工招标文件》的“通用合同条款”。</w:t>
      </w:r>
    </w:p>
    <w:p>
      <w:pPr>
        <w:rPr>
          <w:rFonts w:ascii="黑体" w:hAnsi="黑体" w:eastAsia="黑体"/>
          <w:color w:val="auto"/>
          <w:sz w:val="28"/>
          <w:highlight w:val="none"/>
        </w:rPr>
        <w:sectPr>
          <w:footerReference r:id="rId30" w:type="default"/>
          <w:footerReference r:id="rId31" w:type="even"/>
          <w:pgSz w:w="11910" w:h="16850"/>
          <w:pgMar w:top="1418" w:right="1191" w:bottom="1418" w:left="1191" w:header="883" w:footer="884" w:gutter="0"/>
          <w:cols w:space="720" w:num="1"/>
        </w:sectPr>
      </w:pPr>
    </w:p>
    <w:p>
      <w:pPr>
        <w:jc w:val="center"/>
        <w:rPr>
          <w:color w:val="auto"/>
          <w:highlight w:val="none"/>
        </w:rPr>
      </w:pPr>
      <w:bookmarkStart w:id="565" w:name="bookmark365"/>
      <w:bookmarkStart w:id="566" w:name="_Toc24073"/>
      <w:bookmarkStart w:id="567" w:name="_Toc21045"/>
      <w:bookmarkStart w:id="568" w:name="bookmark366"/>
      <w:bookmarkStart w:id="569" w:name="_Toc30901"/>
      <w:bookmarkStart w:id="570" w:name="bookmark367"/>
      <w:r>
        <w:rPr>
          <w:b/>
          <w:bCs/>
          <w:color w:val="auto"/>
          <w:sz w:val="32"/>
          <w:szCs w:val="32"/>
          <w:highlight w:val="none"/>
        </w:rPr>
        <w:t>通用合同条款</w:t>
      </w:r>
      <w:bookmarkEnd w:id="565"/>
      <w:bookmarkEnd w:id="566"/>
      <w:bookmarkEnd w:id="567"/>
      <w:bookmarkEnd w:id="568"/>
      <w:bookmarkEnd w:id="569"/>
      <w:bookmarkEnd w:id="570"/>
    </w:p>
    <w:p>
      <w:pPr>
        <w:adjustRightInd w:val="0"/>
        <w:snapToGrid w:val="0"/>
        <w:spacing w:line="360" w:lineRule="auto"/>
        <w:outlineLvl w:val="2"/>
        <w:rPr>
          <w:b/>
          <w:bCs/>
          <w:color w:val="auto"/>
          <w:sz w:val="24"/>
          <w:szCs w:val="24"/>
          <w:highlight w:val="none"/>
        </w:rPr>
      </w:pPr>
      <w:bookmarkStart w:id="571" w:name="_Toc513793914"/>
      <w:bookmarkStart w:id="572" w:name="_Toc1308"/>
      <w:bookmarkStart w:id="573" w:name="_Toc7702"/>
      <w:bookmarkStart w:id="574" w:name="_Toc18830"/>
      <w:bookmarkStart w:id="575" w:name="_Toc18394"/>
      <w:bookmarkStart w:id="576" w:name="_Toc19538"/>
      <w:bookmarkStart w:id="577" w:name="_Toc152042389"/>
      <w:bookmarkStart w:id="578" w:name="_Toc31341"/>
      <w:bookmarkStart w:id="579" w:name="_Toc20012"/>
      <w:bookmarkStart w:id="580" w:name="_Toc23099"/>
      <w:bookmarkStart w:id="581" w:name="_Toc144974579"/>
      <w:bookmarkStart w:id="582" w:name="_Toc179632629"/>
      <w:bookmarkStart w:id="583" w:name="_Toc25433"/>
      <w:bookmarkStart w:id="584" w:name="_Toc25274"/>
      <w:bookmarkStart w:id="585" w:name="_Toc28942"/>
      <w:bookmarkStart w:id="586" w:name="_Toc152045611"/>
      <w:bookmarkStart w:id="587" w:name="_Toc10577"/>
      <w:bookmarkStart w:id="588" w:name="_Toc9715"/>
      <w:bookmarkStart w:id="589" w:name="_Toc26317"/>
      <w:r>
        <w:rPr>
          <w:rFonts w:hint="eastAsia"/>
          <w:b/>
          <w:bCs/>
          <w:color w:val="auto"/>
          <w:sz w:val="24"/>
          <w:szCs w:val="24"/>
          <w:highlight w:val="none"/>
        </w:rPr>
        <w:t>1. 一般约定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adjustRightInd w:val="0"/>
        <w:snapToGrid w:val="0"/>
        <w:spacing w:line="360" w:lineRule="auto"/>
        <w:rPr>
          <w:b/>
          <w:bCs/>
          <w:color w:val="auto"/>
          <w:sz w:val="24"/>
          <w:szCs w:val="24"/>
          <w:highlight w:val="none"/>
        </w:rPr>
      </w:pPr>
      <w:bookmarkStart w:id="590" w:name="_Toc152045612"/>
      <w:bookmarkStart w:id="591" w:name="_Toc144974580"/>
      <w:bookmarkStart w:id="592" w:name="_Toc513793915"/>
      <w:bookmarkStart w:id="593" w:name="_Toc179632630"/>
      <w:bookmarkStart w:id="594" w:name="_Toc152042390"/>
      <w:r>
        <w:rPr>
          <w:rFonts w:hint="eastAsia"/>
          <w:b/>
          <w:bCs/>
          <w:color w:val="auto"/>
          <w:sz w:val="24"/>
          <w:szCs w:val="24"/>
          <w:highlight w:val="none"/>
        </w:rPr>
        <w:t>1.1 词语定义</w:t>
      </w:r>
      <w:bookmarkEnd w:id="590"/>
      <w:bookmarkEnd w:id="591"/>
      <w:bookmarkEnd w:id="592"/>
      <w:bookmarkEnd w:id="593"/>
      <w:bookmarkEnd w:id="59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通用合同条款、专用合同条款中的下列词语应具有本款所赋予的含义。</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1.1.1 合同</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1.1.1.1 合同文件（或称合同）：指合同协议书、中标通知书、投标函及投标函附录、专用合同条款、通用合同条款、技术标准和要求、图纸、已标价工程量清单，以及其他合同文件。</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1.1.1.2 合同协议书：指第1.5款所指的合同协议书。</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1.1.1.3 中标通知书：指发包人通知承包人中标的函件。</w:t>
      </w:r>
    </w:p>
    <w:p>
      <w:pPr>
        <w:adjustRightInd w:val="0"/>
        <w:snapToGrid w:val="0"/>
        <w:spacing w:line="360" w:lineRule="auto"/>
        <w:ind w:firstLine="820" w:firstLineChars="342"/>
        <w:rPr>
          <w:dstrike/>
          <w:color w:val="auto"/>
          <w:sz w:val="24"/>
          <w:szCs w:val="24"/>
          <w:highlight w:val="none"/>
        </w:rPr>
      </w:pPr>
      <w:r>
        <w:rPr>
          <w:rFonts w:hint="eastAsia"/>
          <w:color w:val="auto"/>
          <w:sz w:val="24"/>
          <w:szCs w:val="24"/>
          <w:highlight w:val="none"/>
        </w:rPr>
        <w:t>1.1.1.4 投标函：指构成合同文件组成部分的由承包人填写并签署的投标函。</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1.1.1.5 投标函附录：指附在投标函后构成合同文件的投标函附录。</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1.1.1.6 技术标准和要求：指构成合同文件组成部分的名为技术标准和要求的文件，包括合同双方当事人约定对其所作的修改或补充。</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1.1.1.7图纸：指包含在合同中的工程图纸，以及由发包人按合同约定提供的任何补充和修改的图纸，包括配套的说明。</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1.1.1.8 已标价工程量清单：指构成合同文件组成部分的由承包人按照规定的格式和要求填写并标明价格的工程量清单。</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1.1.1.9 其他合同文件：指经合同双方当事人确认构成合同文件的其他文件。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1.1.2 合同当事人和人员</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1.1.2.1 合同当事人：指发包人和（或）承包人。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1.1.2.2 发包人：指专用合同条款中指明并与承包人在合同协议书中签字的当事人。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1.1.2.3 承包人：指与发包人签订合同协议书的当事人。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1.1.2.4 承包人项目经理：指承包人派驻施工场地的全权负责人。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1.1.2.5 分包人：指从承包人处分包合同中某一部分工程，并与其签订分包合同的分包人。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1.1.2.6 监理人：指在专用合同条款中指明的，受发包人委托对合同履行实施管理的法人或其他组织。</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1.1.2.7 总监理工程师（总监）：指由监理人委派常驻施工场地对合同履行实施管理的全权负责人。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1.1.3 工程和设备</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1.1.3.1 工程：指永久工程和（或）临时工程。</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1.1.3.2 永久工程：指按合同约定建造并移交给发包人的工程，包括工程设备。</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1.1.3.3 临时工程：指为完成合同约定的永久工程所修建的各类临时性工程，不包括施工设备。</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1.1.3.4 单位工程：指专用合同条款中指明特定范围的永久工程。</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1.1.3.5 工程设备：指构成或计划构成永久工程一部分的机电设备、金属结构设备、仪器装置及其他类似的设备和装置。</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1.1.3.6 施工设备：指为完成合同约定的各项工作所需的设备、器具和其他物品，不包括临时工程和材料。</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1.1.3.7 临时设施：指为完成合同约定的各项工作所服务的临时性生产和生活设施。</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1.1.3.8 承包人设备：指承包人自带的施工设备。</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1.1.3.9 施工场地（或称工地、现场）：指用于合同工程施工的场所，以及在合同中指定作为施工场地组成部分的其他场所，包括永久占地和临时占地。</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1.1.3.10 永久占地：指专用合同条款中指明为实施合同工程需永久占用的土地。</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1.1.3.11 临时占地：指专用合同条款中指明为实施合同工程需临时占用的土地。</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1.1.4 日期</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1.1.4.1 开工通知：指监理人按第11.1款通知承包人开工的函件。</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1.1.4.2 开工日期：指监理人按第11.1款发出的开工通知中写明的开工日期。</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1.1.4.3工期：指承包人在投标函中承诺的完成合同工程所需的期限，包括按第11.3款、第11.4款和第11.6款约定所作的变更。</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1.1.4.4 竣工日期：指第1.1.4.3目约定工期届满时的日期。实际竣工日期以工程接收证书中写明的日期为准。</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1.1.4.5 缺陷责任期：指履行第19.2款约定的缺陷责任的期限，具体期限由专用合同条款约定，包括根据第19.3款约定所作的延长。</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1.1.4.6 基准日期：指投标截止时间前28天的日期。</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1.1.4.7 天：除特别指明外，指日历天。合同中按天计算时间的，开始当天不计入，从次日开始计算。期限最后一天的截止时间为当天24:00。</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1.1.5 合同价格和费用</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1.1.5.1 签约合同价：指签定合同时合同协议书中写明的，包括了暂列金额、暂估价的合同总金额。</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1.1.5.3 费用：指为履行合同所发生的或将要发生的所有合理开支，包括管理费和应分摊的其他费用，但不包括利润。</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1.1.5.5暂估价：指发包人在工程量清单中给定的用于支付必然发生但暂时不能确定价格的材料、设备以及专业工程的金额。</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1.1.5.6 计日工：指对零星工作采取的一种计价方式，按合同中的计日工子目及其单价计价付款。</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1.1.5.7 质量保证金（或称保留金）：指按第17.4.1项约定用于保证在缺陷责任期内履行缺陷修复义务的金额。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1.1.6 其他</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1.1.6.1 书面形式：指合同文件、信函、电报、传真等可以有形地表现所载内容的形式。</w:t>
      </w:r>
    </w:p>
    <w:p>
      <w:pPr>
        <w:adjustRightInd w:val="0"/>
        <w:snapToGrid w:val="0"/>
        <w:spacing w:line="360" w:lineRule="auto"/>
        <w:rPr>
          <w:b/>
          <w:bCs/>
          <w:color w:val="auto"/>
          <w:sz w:val="24"/>
          <w:szCs w:val="24"/>
          <w:highlight w:val="none"/>
        </w:rPr>
      </w:pPr>
      <w:bookmarkStart w:id="595" w:name="_Toc152042391"/>
      <w:bookmarkStart w:id="596" w:name="_Toc144974581"/>
      <w:bookmarkStart w:id="597" w:name="_Toc152045613"/>
      <w:bookmarkStart w:id="598" w:name="_Toc179632631"/>
      <w:bookmarkStart w:id="599" w:name="_Toc513793916"/>
      <w:r>
        <w:rPr>
          <w:rFonts w:hint="eastAsia"/>
          <w:b/>
          <w:bCs/>
          <w:color w:val="auto"/>
          <w:sz w:val="24"/>
          <w:szCs w:val="24"/>
          <w:highlight w:val="none"/>
        </w:rPr>
        <w:t>1.2 语言文字</w:t>
      </w:r>
      <w:bookmarkEnd w:id="595"/>
      <w:bookmarkEnd w:id="596"/>
      <w:bookmarkEnd w:id="597"/>
      <w:bookmarkEnd w:id="598"/>
      <w:bookmarkEnd w:id="59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除专用术语外，合同使用的语言文字为中文。必要时专用术语应附有中文注释。</w:t>
      </w:r>
    </w:p>
    <w:p>
      <w:pPr>
        <w:adjustRightInd w:val="0"/>
        <w:snapToGrid w:val="0"/>
        <w:spacing w:line="360" w:lineRule="auto"/>
        <w:rPr>
          <w:b/>
          <w:bCs/>
          <w:color w:val="auto"/>
          <w:sz w:val="24"/>
          <w:szCs w:val="24"/>
          <w:highlight w:val="none"/>
        </w:rPr>
      </w:pPr>
      <w:bookmarkStart w:id="600" w:name="_Toc513793917"/>
      <w:bookmarkStart w:id="601" w:name="_Toc144974582"/>
      <w:bookmarkStart w:id="602" w:name="_Toc152042392"/>
      <w:bookmarkStart w:id="603" w:name="_Toc152045614"/>
      <w:bookmarkStart w:id="604" w:name="_Toc179632632"/>
      <w:r>
        <w:rPr>
          <w:rFonts w:hint="eastAsia"/>
          <w:b/>
          <w:bCs/>
          <w:color w:val="auto"/>
          <w:sz w:val="24"/>
          <w:szCs w:val="24"/>
          <w:highlight w:val="none"/>
        </w:rPr>
        <w:t>1.3 法律</w:t>
      </w:r>
      <w:bookmarkEnd w:id="600"/>
      <w:bookmarkEnd w:id="601"/>
      <w:bookmarkEnd w:id="602"/>
      <w:bookmarkEnd w:id="603"/>
      <w:bookmarkEnd w:id="60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适用于合同的法律包括中华人民共和国法律、行政法规、部门规章，以及工程所在地的地方法规、自治条例、单行条例和地方政府规章。</w:t>
      </w:r>
    </w:p>
    <w:p>
      <w:pPr>
        <w:adjustRightInd w:val="0"/>
        <w:snapToGrid w:val="0"/>
        <w:spacing w:line="360" w:lineRule="auto"/>
        <w:rPr>
          <w:b/>
          <w:bCs/>
          <w:color w:val="auto"/>
          <w:sz w:val="24"/>
          <w:szCs w:val="24"/>
          <w:highlight w:val="none"/>
        </w:rPr>
      </w:pPr>
      <w:bookmarkStart w:id="605" w:name="_Toc513793918"/>
      <w:bookmarkStart w:id="606" w:name="_Toc179632633"/>
      <w:bookmarkStart w:id="607" w:name="_Toc152045615"/>
      <w:bookmarkStart w:id="608" w:name="_Toc144974583"/>
      <w:bookmarkStart w:id="609" w:name="_Toc152042393"/>
      <w:r>
        <w:rPr>
          <w:rFonts w:hint="eastAsia"/>
          <w:b/>
          <w:bCs/>
          <w:color w:val="auto"/>
          <w:sz w:val="24"/>
          <w:szCs w:val="24"/>
          <w:highlight w:val="none"/>
        </w:rPr>
        <w:t>1.4 合同文件的优先顺序</w:t>
      </w:r>
      <w:bookmarkEnd w:id="605"/>
      <w:bookmarkEnd w:id="606"/>
      <w:bookmarkEnd w:id="607"/>
      <w:bookmarkEnd w:id="608"/>
      <w:bookmarkEnd w:id="60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组成合同的各项文件应互相解释，互为说明。除专用合同条款另有约定外，解释合同文件的优先顺序如下：</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（1）合同协议书；</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（2）中标通知书；</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（3）投标函及投标函附录；</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（4）专用合同条款；</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（5）通用合同条款；</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（6）技术标准和要求；</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（7）图纸；</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（8）已标价工程量清单；</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（9）其他合同文件。</w:t>
      </w:r>
    </w:p>
    <w:p>
      <w:pPr>
        <w:adjustRightInd w:val="0"/>
        <w:snapToGrid w:val="0"/>
        <w:spacing w:line="360" w:lineRule="auto"/>
        <w:rPr>
          <w:b/>
          <w:bCs/>
          <w:color w:val="auto"/>
          <w:sz w:val="24"/>
          <w:szCs w:val="24"/>
          <w:highlight w:val="none"/>
        </w:rPr>
      </w:pPr>
      <w:bookmarkStart w:id="610" w:name="_Toc513793919"/>
      <w:bookmarkStart w:id="611" w:name="_Toc152042394"/>
      <w:bookmarkStart w:id="612" w:name="_Toc152045616"/>
      <w:bookmarkStart w:id="613" w:name="_Toc144974584"/>
      <w:bookmarkStart w:id="614" w:name="_Toc179632634"/>
      <w:r>
        <w:rPr>
          <w:rFonts w:hint="eastAsia"/>
          <w:b/>
          <w:bCs/>
          <w:color w:val="auto"/>
          <w:sz w:val="24"/>
          <w:szCs w:val="24"/>
          <w:highlight w:val="none"/>
        </w:rPr>
        <w:t>1.5 合同协议书</w:t>
      </w:r>
      <w:bookmarkEnd w:id="610"/>
      <w:bookmarkEnd w:id="611"/>
      <w:bookmarkEnd w:id="612"/>
      <w:bookmarkEnd w:id="613"/>
      <w:bookmarkEnd w:id="61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60" w:lineRule="auto"/>
        <w:rPr>
          <w:b/>
          <w:bCs/>
          <w:color w:val="auto"/>
          <w:sz w:val="24"/>
          <w:szCs w:val="24"/>
          <w:highlight w:val="none"/>
        </w:rPr>
      </w:pPr>
      <w:bookmarkStart w:id="615" w:name="_Toc152042395"/>
      <w:bookmarkStart w:id="616" w:name="_Toc179632635"/>
      <w:bookmarkStart w:id="617" w:name="_Toc144974585"/>
      <w:bookmarkStart w:id="618" w:name="_Toc152045617"/>
      <w:bookmarkStart w:id="619" w:name="_Toc513793920"/>
      <w:r>
        <w:rPr>
          <w:rFonts w:hint="eastAsia"/>
          <w:b/>
          <w:bCs/>
          <w:color w:val="auto"/>
          <w:sz w:val="24"/>
          <w:szCs w:val="24"/>
          <w:highlight w:val="none"/>
        </w:rPr>
        <w:t>1.6 图纸和承包人文件</w:t>
      </w:r>
      <w:bookmarkEnd w:id="615"/>
      <w:bookmarkEnd w:id="616"/>
      <w:bookmarkEnd w:id="617"/>
      <w:bookmarkEnd w:id="618"/>
      <w:bookmarkEnd w:id="61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1.6.1图纸的提供</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除专用合同条款另有约定外，图纸应在合理的期限内按照合同约定的数量提供给承包人。由于发包人未按时提供图纸造成工期延误的，按第11.3款的约定办理。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1.6.2 承包人提供的文件</w:t>
      </w:r>
    </w:p>
    <w:p>
      <w:pPr>
        <w:adjustRightInd w:val="0"/>
        <w:snapToGrid w:val="0"/>
        <w:spacing w:line="360" w:lineRule="auto"/>
        <w:rPr>
          <w:color w:val="auto"/>
          <w:sz w:val="24"/>
          <w:szCs w:val="24"/>
          <w:highlight w:val="none"/>
        </w:rPr>
      </w:pPr>
      <w:r>
        <w:rPr>
          <w:rFonts w:hint="eastAsia"/>
          <w:color w:val="auto"/>
          <w:sz w:val="24"/>
          <w:szCs w:val="24"/>
          <w:highlight w:val="none"/>
        </w:rPr>
        <w:t>　　按专用合同条款约定由承包人提供的文件，包括部分工程的大样图、加工图等，承包人应按约定的数量和期限报送监理人。监理人应在专用合同条款约定的期限内批复。</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1.6.3 图纸的修改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图纸需要修改和补充的，应由监理人取得发包人同意后，在该工程或工程相应部位施工前的合理期限内签发图纸修改图给承包人，具体签发期限在专用合同条款中约定。承包人应按修改后的图纸施工。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1.6.4 图纸的错误</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承包人发现发包人提供的图纸存在明显错误或疏忽，应及时通知监理人。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1.6.5 图纸和承包人文件的保管</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监理人和承包人均应在施工场地各保存一套完整的包含第1.6.1项、第1.6.2项、第1.6.3项约定内容的图纸和承包人文件。</w:t>
      </w:r>
    </w:p>
    <w:p>
      <w:pPr>
        <w:adjustRightInd w:val="0"/>
        <w:snapToGrid w:val="0"/>
        <w:spacing w:line="360" w:lineRule="auto"/>
        <w:rPr>
          <w:b/>
          <w:bCs/>
          <w:color w:val="auto"/>
          <w:sz w:val="24"/>
          <w:szCs w:val="24"/>
          <w:highlight w:val="none"/>
        </w:rPr>
      </w:pPr>
      <w:bookmarkStart w:id="620" w:name="_Toc152045618"/>
      <w:bookmarkStart w:id="621" w:name="_Toc152042396"/>
      <w:bookmarkStart w:id="622" w:name="_Toc179632636"/>
      <w:bookmarkStart w:id="623" w:name="_Toc513793921"/>
      <w:bookmarkStart w:id="624" w:name="_Toc144974586"/>
      <w:r>
        <w:rPr>
          <w:rFonts w:hint="eastAsia"/>
          <w:b/>
          <w:bCs/>
          <w:color w:val="auto"/>
          <w:sz w:val="24"/>
          <w:szCs w:val="24"/>
          <w:highlight w:val="none"/>
        </w:rPr>
        <w:t>1.7 联络</w:t>
      </w:r>
      <w:bookmarkEnd w:id="620"/>
      <w:bookmarkEnd w:id="621"/>
      <w:bookmarkEnd w:id="622"/>
      <w:bookmarkEnd w:id="623"/>
      <w:bookmarkEnd w:id="624"/>
    </w:p>
    <w:p>
      <w:pPr>
        <w:adjustRightInd w:val="0"/>
        <w:snapToGrid w:val="0"/>
        <w:spacing w:line="360" w:lineRule="auto"/>
        <w:rPr>
          <w:color w:val="auto"/>
          <w:sz w:val="24"/>
          <w:szCs w:val="24"/>
          <w:highlight w:val="none"/>
        </w:rPr>
      </w:pPr>
      <w:r>
        <w:rPr>
          <w:rFonts w:hint="eastAsia"/>
          <w:color w:val="auto"/>
          <w:sz w:val="24"/>
          <w:szCs w:val="24"/>
          <w:highlight w:val="none"/>
        </w:rPr>
        <w:t>1.7.1 与合同有关的通知、批准、证明、证书、指示、要求、请求、同意、意见、确定和决定等，均应采用书面形式。</w:t>
      </w:r>
    </w:p>
    <w:p>
      <w:pPr>
        <w:adjustRightInd w:val="0"/>
        <w:snapToGrid w:val="0"/>
        <w:spacing w:line="360" w:lineRule="auto"/>
        <w:rPr>
          <w:color w:val="auto"/>
          <w:sz w:val="24"/>
          <w:szCs w:val="24"/>
          <w:highlight w:val="none"/>
        </w:rPr>
      </w:pPr>
      <w:r>
        <w:rPr>
          <w:rFonts w:hint="eastAsia"/>
          <w:color w:val="auto"/>
          <w:sz w:val="24"/>
          <w:szCs w:val="24"/>
          <w:highlight w:val="none"/>
        </w:rPr>
        <w:t>1.7.2 第1.7.1项中的通知、批准、证明、证书、指示、要求、请求、同意、意见、确定和决定等来往函件，均应在合同约定的期限内送达指定地点和接收人，并办理签收手续。</w:t>
      </w:r>
    </w:p>
    <w:p>
      <w:pPr>
        <w:adjustRightInd w:val="0"/>
        <w:snapToGrid w:val="0"/>
        <w:spacing w:line="360" w:lineRule="auto"/>
        <w:rPr>
          <w:b/>
          <w:bCs/>
          <w:color w:val="auto"/>
          <w:sz w:val="24"/>
          <w:szCs w:val="24"/>
          <w:highlight w:val="none"/>
        </w:rPr>
      </w:pPr>
      <w:bookmarkStart w:id="625" w:name="_Toc152045619"/>
      <w:bookmarkStart w:id="626" w:name="_Toc179632637"/>
      <w:bookmarkStart w:id="627" w:name="_Toc144974587"/>
      <w:bookmarkStart w:id="628" w:name="_Toc152042397"/>
      <w:bookmarkStart w:id="629" w:name="_Toc513793922"/>
      <w:r>
        <w:rPr>
          <w:rFonts w:hint="eastAsia"/>
          <w:b/>
          <w:bCs/>
          <w:color w:val="auto"/>
          <w:sz w:val="24"/>
          <w:szCs w:val="24"/>
          <w:highlight w:val="none"/>
        </w:rPr>
        <w:t>1.8 转让</w:t>
      </w:r>
      <w:bookmarkEnd w:id="625"/>
      <w:bookmarkEnd w:id="626"/>
      <w:bookmarkEnd w:id="627"/>
      <w:bookmarkEnd w:id="628"/>
      <w:bookmarkEnd w:id="62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除合同另有约定外，未经对方当事人同意，一方当事人不得将合同权利全部或部分转让给第三人，也不得全部或部分转移合同义务。</w:t>
      </w:r>
    </w:p>
    <w:p>
      <w:pPr>
        <w:adjustRightInd w:val="0"/>
        <w:snapToGrid w:val="0"/>
        <w:spacing w:line="360" w:lineRule="auto"/>
        <w:rPr>
          <w:b/>
          <w:bCs/>
          <w:color w:val="auto"/>
          <w:sz w:val="24"/>
          <w:szCs w:val="24"/>
          <w:highlight w:val="none"/>
        </w:rPr>
      </w:pPr>
      <w:bookmarkStart w:id="630" w:name="_Toc513793923"/>
      <w:bookmarkStart w:id="631" w:name="_Toc152045620"/>
      <w:bookmarkStart w:id="632" w:name="_Toc152042398"/>
      <w:bookmarkStart w:id="633" w:name="_Toc144974588"/>
      <w:bookmarkStart w:id="634" w:name="_Toc179632638"/>
      <w:r>
        <w:rPr>
          <w:rFonts w:hint="eastAsia"/>
          <w:b/>
          <w:bCs/>
          <w:color w:val="auto"/>
          <w:sz w:val="24"/>
          <w:szCs w:val="24"/>
          <w:highlight w:val="none"/>
        </w:rPr>
        <w:t>1.9 严禁贿赂</w:t>
      </w:r>
      <w:bookmarkEnd w:id="630"/>
      <w:bookmarkEnd w:id="631"/>
      <w:bookmarkEnd w:id="632"/>
      <w:bookmarkEnd w:id="633"/>
      <w:bookmarkEnd w:id="63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合同双方当事人不得以贿赂或变相贿赂的方式，谋取不当利益或损害对方权益。因贿赂造成对方损失的，行为人应赔偿损失，并承担相应的法律责任。</w:t>
      </w:r>
    </w:p>
    <w:p>
      <w:pPr>
        <w:adjustRightInd w:val="0"/>
        <w:snapToGrid w:val="0"/>
        <w:spacing w:line="360" w:lineRule="auto"/>
        <w:rPr>
          <w:b/>
          <w:bCs/>
          <w:color w:val="auto"/>
          <w:sz w:val="24"/>
          <w:szCs w:val="24"/>
          <w:highlight w:val="none"/>
        </w:rPr>
      </w:pPr>
      <w:bookmarkStart w:id="635" w:name="_Toc513793924"/>
      <w:bookmarkStart w:id="636" w:name="_Toc179632639"/>
      <w:bookmarkStart w:id="637" w:name="_Toc152042399"/>
      <w:bookmarkStart w:id="638" w:name="_Toc144974589"/>
      <w:bookmarkStart w:id="639" w:name="_Toc152045621"/>
      <w:r>
        <w:rPr>
          <w:rFonts w:hint="eastAsia"/>
          <w:b/>
          <w:bCs/>
          <w:color w:val="auto"/>
          <w:sz w:val="24"/>
          <w:szCs w:val="24"/>
          <w:highlight w:val="none"/>
        </w:rPr>
        <w:t>1.10 化石、文物</w:t>
      </w:r>
      <w:bookmarkEnd w:id="635"/>
      <w:bookmarkEnd w:id="636"/>
      <w:bookmarkEnd w:id="637"/>
      <w:bookmarkEnd w:id="638"/>
      <w:bookmarkEnd w:id="63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1.10.2 承包人发现文物后不及时报告或隐瞒不报，致使文物丢失或损坏的，应赔偿损失，并承担相应的法律责任。</w:t>
      </w:r>
    </w:p>
    <w:p>
      <w:pPr>
        <w:adjustRightInd w:val="0"/>
        <w:snapToGrid w:val="0"/>
        <w:spacing w:line="360" w:lineRule="auto"/>
        <w:rPr>
          <w:color w:val="auto"/>
          <w:sz w:val="24"/>
          <w:szCs w:val="24"/>
          <w:highlight w:val="none"/>
        </w:rPr>
      </w:pPr>
      <w:bookmarkStart w:id="640" w:name="_Toc513793925"/>
      <w:bookmarkStart w:id="641" w:name="_Toc144974590"/>
      <w:bookmarkStart w:id="642" w:name="_Toc179632640"/>
      <w:bookmarkStart w:id="643" w:name="_Toc152045622"/>
      <w:bookmarkStart w:id="644" w:name="_Toc152042400"/>
      <w:r>
        <w:rPr>
          <w:rFonts w:hint="eastAsia"/>
          <w:b/>
          <w:bCs/>
          <w:color w:val="auto"/>
          <w:sz w:val="24"/>
          <w:szCs w:val="24"/>
          <w:highlight w:val="none"/>
        </w:rPr>
        <w:t>1.11 专利技术</w:t>
      </w:r>
      <w:bookmarkEnd w:id="640"/>
      <w:bookmarkEnd w:id="641"/>
      <w:bookmarkEnd w:id="642"/>
      <w:bookmarkEnd w:id="643"/>
      <w:bookmarkEnd w:id="64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1.11.2 承包人在投标文件中采用专利技术的，专利技术的使用费包含在投标报价内。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1.11.3 承包人的技术秘密和声明需要保密的资料和信息，发包人和监理人不得为合同以外的目的泄露给他人。</w:t>
      </w:r>
    </w:p>
    <w:p>
      <w:pPr>
        <w:adjustRightInd w:val="0"/>
        <w:snapToGrid w:val="0"/>
        <w:spacing w:line="360" w:lineRule="auto"/>
        <w:rPr>
          <w:b/>
          <w:bCs/>
          <w:color w:val="auto"/>
          <w:sz w:val="24"/>
          <w:szCs w:val="24"/>
          <w:highlight w:val="none"/>
        </w:rPr>
      </w:pPr>
      <w:bookmarkStart w:id="645" w:name="_Toc513793926"/>
      <w:bookmarkStart w:id="646" w:name="_Toc152045623"/>
      <w:bookmarkStart w:id="647" w:name="_Toc179632641"/>
      <w:bookmarkStart w:id="648" w:name="_Toc144974591"/>
      <w:bookmarkStart w:id="649" w:name="_Toc152042401"/>
      <w:r>
        <w:rPr>
          <w:rFonts w:hint="eastAsia"/>
          <w:b/>
          <w:bCs/>
          <w:color w:val="auto"/>
          <w:sz w:val="24"/>
          <w:szCs w:val="24"/>
          <w:highlight w:val="none"/>
        </w:rPr>
        <w:t>1.12 图纸和文件的保密</w:t>
      </w:r>
      <w:bookmarkEnd w:id="645"/>
      <w:bookmarkEnd w:id="646"/>
      <w:bookmarkEnd w:id="647"/>
      <w:bookmarkEnd w:id="648"/>
      <w:bookmarkEnd w:id="64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1.12.1 发包人提供的图纸和文件，未经发包人同意，承包人不得为合同以外的目的泄露给他人或公开发表与引用。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1.12.2 承包人提供的文件，未经承包人同意，发包人和监理人不得为合同以外的目的泄露给他人或公开发表与引用。</w:t>
      </w:r>
    </w:p>
    <w:p>
      <w:pPr>
        <w:adjustRightInd w:val="0"/>
        <w:snapToGrid w:val="0"/>
        <w:spacing w:line="360" w:lineRule="auto"/>
        <w:outlineLvl w:val="2"/>
        <w:rPr>
          <w:b/>
          <w:bCs/>
          <w:color w:val="auto"/>
          <w:sz w:val="24"/>
          <w:szCs w:val="24"/>
          <w:highlight w:val="none"/>
        </w:rPr>
      </w:pPr>
      <w:bookmarkStart w:id="650" w:name="_Toc1730"/>
      <w:bookmarkStart w:id="651" w:name="_Toc28075"/>
      <w:bookmarkStart w:id="652" w:name="_Toc8239"/>
      <w:bookmarkStart w:id="653" w:name="_Toc919"/>
      <w:bookmarkStart w:id="654" w:name="_Toc18856"/>
      <w:bookmarkStart w:id="655" w:name="_Toc20777"/>
      <w:bookmarkStart w:id="656" w:name="_Toc152042402"/>
      <w:bookmarkStart w:id="657" w:name="_Toc179632642"/>
      <w:bookmarkStart w:id="658" w:name="_Toc513793927"/>
      <w:bookmarkStart w:id="659" w:name="_Toc5652"/>
      <w:bookmarkStart w:id="660" w:name="_Toc22740"/>
      <w:bookmarkStart w:id="661" w:name="_Toc20061"/>
      <w:bookmarkStart w:id="662" w:name="_Toc22388"/>
      <w:bookmarkStart w:id="663" w:name="_Toc25735"/>
      <w:bookmarkStart w:id="664" w:name="_Toc18963"/>
      <w:bookmarkStart w:id="665" w:name="_Toc144974592"/>
      <w:bookmarkStart w:id="666" w:name="_Toc152045624"/>
      <w:bookmarkStart w:id="667" w:name="_Toc17349"/>
      <w:bookmarkStart w:id="668" w:name="_Toc16992"/>
      <w:r>
        <w:rPr>
          <w:rFonts w:hint="eastAsia"/>
          <w:b/>
          <w:bCs/>
          <w:color w:val="auto"/>
          <w:sz w:val="24"/>
          <w:szCs w:val="24"/>
          <w:highlight w:val="none"/>
        </w:rPr>
        <w:t>2. 发包人义务</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adjustRightInd w:val="0"/>
        <w:snapToGrid w:val="0"/>
        <w:spacing w:line="360" w:lineRule="auto"/>
        <w:rPr>
          <w:b/>
          <w:bCs/>
          <w:color w:val="auto"/>
          <w:sz w:val="24"/>
          <w:szCs w:val="24"/>
          <w:highlight w:val="none"/>
        </w:rPr>
      </w:pPr>
      <w:bookmarkStart w:id="669" w:name="_Toc152045625"/>
      <w:bookmarkStart w:id="670" w:name="_Toc179632643"/>
      <w:bookmarkStart w:id="671" w:name="_Toc144974593"/>
      <w:bookmarkStart w:id="672" w:name="_Toc513793928"/>
      <w:bookmarkStart w:id="673" w:name="_Toc152042403"/>
      <w:r>
        <w:rPr>
          <w:rFonts w:hint="eastAsia"/>
          <w:b/>
          <w:bCs/>
          <w:color w:val="auto"/>
          <w:sz w:val="24"/>
          <w:szCs w:val="24"/>
          <w:highlight w:val="none"/>
        </w:rPr>
        <w:t>2.1 遵守法律</w:t>
      </w:r>
      <w:bookmarkEnd w:id="669"/>
      <w:bookmarkEnd w:id="670"/>
      <w:bookmarkEnd w:id="671"/>
      <w:bookmarkEnd w:id="672"/>
      <w:bookmarkEnd w:id="673"/>
    </w:p>
    <w:p>
      <w:pPr>
        <w:adjustRightInd w:val="0"/>
        <w:snapToGrid w:val="0"/>
        <w:spacing w:line="360" w:lineRule="auto"/>
        <w:rPr>
          <w:color w:val="auto"/>
          <w:sz w:val="24"/>
          <w:szCs w:val="24"/>
          <w:highlight w:val="none"/>
        </w:rPr>
      </w:pPr>
      <w:r>
        <w:rPr>
          <w:rFonts w:hint="eastAsia"/>
          <w:color w:val="auto"/>
          <w:sz w:val="24"/>
          <w:szCs w:val="24"/>
          <w:highlight w:val="none"/>
        </w:rPr>
        <w:t>发包人在履行合同过程中应遵守法律，并保证承包人免于承担因发包人违反法律而引起的任何责任。</w:t>
      </w:r>
    </w:p>
    <w:p>
      <w:pPr>
        <w:adjustRightInd w:val="0"/>
        <w:snapToGrid w:val="0"/>
        <w:spacing w:line="360" w:lineRule="auto"/>
        <w:rPr>
          <w:b/>
          <w:bCs/>
          <w:color w:val="auto"/>
          <w:sz w:val="24"/>
          <w:szCs w:val="24"/>
          <w:highlight w:val="none"/>
        </w:rPr>
      </w:pPr>
      <w:bookmarkStart w:id="674" w:name="_Toc513793929"/>
      <w:bookmarkStart w:id="675" w:name="_Toc179632644"/>
      <w:bookmarkStart w:id="676" w:name="_Toc152045626"/>
      <w:bookmarkStart w:id="677" w:name="_Toc144974594"/>
      <w:bookmarkStart w:id="678" w:name="_Toc152042404"/>
      <w:r>
        <w:rPr>
          <w:rFonts w:hint="eastAsia"/>
          <w:b/>
          <w:bCs/>
          <w:color w:val="auto"/>
          <w:sz w:val="24"/>
          <w:szCs w:val="24"/>
          <w:highlight w:val="none"/>
        </w:rPr>
        <w:t>2.2 发出开工通知</w:t>
      </w:r>
      <w:bookmarkEnd w:id="674"/>
      <w:bookmarkEnd w:id="675"/>
      <w:bookmarkEnd w:id="676"/>
      <w:bookmarkEnd w:id="677"/>
      <w:bookmarkEnd w:id="67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发包人应委托监理人按第11.1款的约定向承包人发出开工通知。</w:t>
      </w:r>
    </w:p>
    <w:p>
      <w:pPr>
        <w:adjustRightInd w:val="0"/>
        <w:snapToGrid w:val="0"/>
        <w:spacing w:line="360" w:lineRule="auto"/>
        <w:rPr>
          <w:b/>
          <w:bCs/>
          <w:color w:val="auto"/>
          <w:sz w:val="24"/>
          <w:szCs w:val="24"/>
          <w:highlight w:val="none"/>
        </w:rPr>
      </w:pPr>
      <w:bookmarkStart w:id="679" w:name="_Toc179632645"/>
      <w:bookmarkStart w:id="680" w:name="_Toc152042405"/>
      <w:bookmarkStart w:id="681" w:name="_Toc152045627"/>
      <w:bookmarkStart w:id="682" w:name="_Toc144974595"/>
      <w:bookmarkStart w:id="683" w:name="_Toc513793930"/>
      <w:r>
        <w:rPr>
          <w:rFonts w:hint="eastAsia"/>
          <w:b/>
          <w:bCs/>
          <w:color w:val="auto"/>
          <w:sz w:val="24"/>
          <w:szCs w:val="24"/>
          <w:highlight w:val="none"/>
        </w:rPr>
        <w:t>2.3 提供施工场地</w:t>
      </w:r>
      <w:bookmarkEnd w:id="679"/>
      <w:bookmarkEnd w:id="680"/>
      <w:bookmarkEnd w:id="681"/>
      <w:bookmarkEnd w:id="682"/>
      <w:bookmarkEnd w:id="68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发包人应按专用合同条款约定向承包人提供施工场地，以及施工场地内地下管线和地下设施等有关资料，并保证资料的真实、准确、完整。</w:t>
      </w:r>
    </w:p>
    <w:p>
      <w:pPr>
        <w:adjustRightInd w:val="0"/>
        <w:snapToGrid w:val="0"/>
        <w:spacing w:line="360" w:lineRule="auto"/>
        <w:rPr>
          <w:b/>
          <w:bCs/>
          <w:color w:val="auto"/>
          <w:sz w:val="24"/>
          <w:szCs w:val="24"/>
          <w:highlight w:val="none"/>
        </w:rPr>
      </w:pPr>
      <w:bookmarkStart w:id="684" w:name="_Toc152045628"/>
      <w:bookmarkStart w:id="685" w:name="_Toc152042406"/>
      <w:bookmarkStart w:id="686" w:name="_Toc513793931"/>
      <w:bookmarkStart w:id="687" w:name="_Toc179632646"/>
      <w:bookmarkStart w:id="688" w:name="_Toc144974596"/>
      <w:r>
        <w:rPr>
          <w:rFonts w:hint="eastAsia"/>
          <w:b/>
          <w:bCs/>
          <w:color w:val="auto"/>
          <w:sz w:val="24"/>
          <w:szCs w:val="24"/>
          <w:highlight w:val="none"/>
        </w:rPr>
        <w:t>2.4 协助承包人办理证件和批件</w:t>
      </w:r>
      <w:bookmarkEnd w:id="684"/>
      <w:bookmarkEnd w:id="685"/>
      <w:bookmarkEnd w:id="686"/>
      <w:bookmarkEnd w:id="687"/>
      <w:bookmarkEnd w:id="68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发包人应协助承包人办理法律规定的有关施工证件和批件。</w:t>
      </w:r>
    </w:p>
    <w:p>
      <w:pPr>
        <w:adjustRightInd w:val="0"/>
        <w:snapToGrid w:val="0"/>
        <w:spacing w:line="360" w:lineRule="auto"/>
        <w:rPr>
          <w:b/>
          <w:bCs/>
          <w:color w:val="auto"/>
          <w:sz w:val="24"/>
          <w:szCs w:val="24"/>
          <w:highlight w:val="none"/>
        </w:rPr>
      </w:pPr>
      <w:bookmarkStart w:id="689" w:name="_Toc152042407"/>
      <w:bookmarkStart w:id="690" w:name="_Toc152045629"/>
      <w:bookmarkStart w:id="691" w:name="_Toc144974597"/>
      <w:bookmarkStart w:id="692" w:name="_Toc179632647"/>
      <w:bookmarkStart w:id="693" w:name="_Toc513793932"/>
      <w:r>
        <w:rPr>
          <w:rFonts w:hint="eastAsia"/>
          <w:b/>
          <w:bCs/>
          <w:color w:val="auto"/>
          <w:sz w:val="24"/>
          <w:szCs w:val="24"/>
          <w:highlight w:val="none"/>
        </w:rPr>
        <w:t>2.5 组织设计交底</w:t>
      </w:r>
      <w:bookmarkEnd w:id="689"/>
      <w:bookmarkEnd w:id="690"/>
      <w:bookmarkEnd w:id="691"/>
      <w:bookmarkEnd w:id="692"/>
      <w:bookmarkEnd w:id="69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发包人应根据合同进度计划，组织设计单位向承包人进行设计交底。</w:t>
      </w:r>
    </w:p>
    <w:p>
      <w:pPr>
        <w:adjustRightInd w:val="0"/>
        <w:snapToGrid w:val="0"/>
        <w:spacing w:line="360" w:lineRule="auto"/>
        <w:rPr>
          <w:b/>
          <w:bCs/>
          <w:color w:val="auto"/>
          <w:sz w:val="24"/>
          <w:szCs w:val="24"/>
          <w:highlight w:val="none"/>
        </w:rPr>
      </w:pPr>
      <w:bookmarkStart w:id="694" w:name="_Toc144974598"/>
      <w:bookmarkStart w:id="695" w:name="_Toc152042408"/>
      <w:bookmarkStart w:id="696" w:name="_Toc179632648"/>
      <w:bookmarkStart w:id="697" w:name="_Toc513793933"/>
      <w:bookmarkStart w:id="698" w:name="_Toc152045630"/>
      <w:r>
        <w:rPr>
          <w:rFonts w:hint="eastAsia"/>
          <w:b/>
          <w:bCs/>
          <w:color w:val="auto"/>
          <w:sz w:val="24"/>
          <w:szCs w:val="24"/>
          <w:highlight w:val="none"/>
        </w:rPr>
        <w:t>2.6 支付合同价款</w:t>
      </w:r>
      <w:bookmarkEnd w:id="694"/>
      <w:bookmarkEnd w:id="695"/>
      <w:bookmarkEnd w:id="696"/>
      <w:bookmarkEnd w:id="697"/>
      <w:bookmarkEnd w:id="69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发包人应按合同约定向承包人及时支付合同价款。</w:t>
      </w:r>
    </w:p>
    <w:p>
      <w:pPr>
        <w:adjustRightInd w:val="0"/>
        <w:snapToGrid w:val="0"/>
        <w:spacing w:line="360" w:lineRule="auto"/>
        <w:rPr>
          <w:b/>
          <w:bCs/>
          <w:color w:val="auto"/>
          <w:sz w:val="24"/>
          <w:szCs w:val="24"/>
          <w:highlight w:val="none"/>
        </w:rPr>
      </w:pPr>
      <w:bookmarkStart w:id="699" w:name="_Toc513793934"/>
      <w:bookmarkStart w:id="700" w:name="_Toc152042409"/>
      <w:bookmarkStart w:id="701" w:name="_Toc152045631"/>
      <w:bookmarkStart w:id="702" w:name="_Toc179632649"/>
      <w:bookmarkStart w:id="703" w:name="_Toc144974599"/>
      <w:r>
        <w:rPr>
          <w:rFonts w:hint="eastAsia"/>
          <w:b/>
          <w:bCs/>
          <w:color w:val="auto"/>
          <w:sz w:val="24"/>
          <w:szCs w:val="24"/>
          <w:highlight w:val="none"/>
        </w:rPr>
        <w:t>2.7 组织竣工验收</w:t>
      </w:r>
      <w:bookmarkEnd w:id="699"/>
      <w:bookmarkEnd w:id="700"/>
      <w:bookmarkEnd w:id="701"/>
      <w:bookmarkEnd w:id="702"/>
      <w:bookmarkEnd w:id="70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发包人应按合同约定及时组织竣工验收。</w:t>
      </w:r>
    </w:p>
    <w:p>
      <w:pPr>
        <w:adjustRightInd w:val="0"/>
        <w:snapToGrid w:val="0"/>
        <w:spacing w:line="360" w:lineRule="auto"/>
        <w:rPr>
          <w:b/>
          <w:bCs/>
          <w:color w:val="auto"/>
          <w:sz w:val="24"/>
          <w:szCs w:val="24"/>
          <w:highlight w:val="none"/>
        </w:rPr>
      </w:pPr>
      <w:bookmarkStart w:id="704" w:name="_Toc152042410"/>
      <w:bookmarkStart w:id="705" w:name="_Toc152045632"/>
      <w:bookmarkStart w:id="706" w:name="_Toc179632650"/>
      <w:bookmarkStart w:id="707" w:name="_Toc144974600"/>
      <w:bookmarkStart w:id="708" w:name="_Toc513793935"/>
      <w:r>
        <w:rPr>
          <w:rFonts w:hint="eastAsia"/>
          <w:b/>
          <w:bCs/>
          <w:color w:val="auto"/>
          <w:sz w:val="24"/>
          <w:szCs w:val="24"/>
          <w:highlight w:val="none"/>
        </w:rPr>
        <w:t>2.8 其他义务</w:t>
      </w:r>
      <w:bookmarkEnd w:id="704"/>
      <w:bookmarkEnd w:id="705"/>
      <w:bookmarkEnd w:id="706"/>
      <w:bookmarkEnd w:id="707"/>
      <w:bookmarkEnd w:id="70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发包人应履行合同约定的其他义务。</w:t>
      </w:r>
    </w:p>
    <w:p>
      <w:pPr>
        <w:adjustRightInd w:val="0"/>
        <w:snapToGrid w:val="0"/>
        <w:spacing w:line="360" w:lineRule="auto"/>
        <w:outlineLvl w:val="2"/>
        <w:rPr>
          <w:b/>
          <w:bCs/>
          <w:color w:val="auto"/>
          <w:sz w:val="24"/>
          <w:szCs w:val="24"/>
          <w:highlight w:val="none"/>
        </w:rPr>
      </w:pPr>
      <w:bookmarkStart w:id="709" w:name="_Toc2164"/>
      <w:bookmarkStart w:id="710" w:name="_Toc152045633"/>
      <w:bookmarkStart w:id="711" w:name="_Toc18698"/>
      <w:bookmarkStart w:id="712" w:name="_Toc6898"/>
      <w:bookmarkStart w:id="713" w:name="_Toc179632651"/>
      <w:bookmarkStart w:id="714" w:name="_Toc15283"/>
      <w:bookmarkStart w:id="715" w:name="_Toc6174"/>
      <w:bookmarkStart w:id="716" w:name="_Toc30684"/>
      <w:bookmarkStart w:id="717" w:name="_Toc152042411"/>
      <w:bookmarkStart w:id="718" w:name="_Toc31763"/>
      <w:bookmarkStart w:id="719" w:name="_Toc144974601"/>
      <w:bookmarkStart w:id="720" w:name="_Toc25556"/>
      <w:bookmarkStart w:id="721" w:name="_Toc10645"/>
      <w:bookmarkStart w:id="722" w:name="_Toc13622"/>
      <w:bookmarkStart w:id="723" w:name="_Toc513793936"/>
      <w:bookmarkStart w:id="724" w:name="_Toc2555"/>
      <w:bookmarkStart w:id="725" w:name="_Toc16870"/>
      <w:bookmarkStart w:id="726" w:name="_Toc17585"/>
      <w:bookmarkStart w:id="727" w:name="_Toc28883"/>
      <w:r>
        <w:rPr>
          <w:rFonts w:hint="eastAsia"/>
          <w:b/>
          <w:bCs/>
          <w:color w:val="auto"/>
          <w:sz w:val="24"/>
          <w:szCs w:val="24"/>
          <w:highlight w:val="none"/>
        </w:rPr>
        <w:t>3. 监理人</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adjustRightInd w:val="0"/>
        <w:snapToGrid w:val="0"/>
        <w:spacing w:line="360" w:lineRule="auto"/>
        <w:rPr>
          <w:b/>
          <w:bCs/>
          <w:color w:val="auto"/>
          <w:sz w:val="24"/>
          <w:szCs w:val="24"/>
          <w:highlight w:val="none"/>
        </w:rPr>
      </w:pPr>
      <w:bookmarkStart w:id="728" w:name="_Toc144974602"/>
      <w:bookmarkStart w:id="729" w:name="_Toc152042412"/>
      <w:bookmarkStart w:id="730" w:name="_Toc179632652"/>
      <w:bookmarkStart w:id="731" w:name="_Toc152045634"/>
      <w:bookmarkStart w:id="732" w:name="_Toc513793937"/>
      <w:r>
        <w:rPr>
          <w:rFonts w:hint="eastAsia"/>
          <w:b/>
          <w:bCs/>
          <w:color w:val="auto"/>
          <w:sz w:val="24"/>
          <w:szCs w:val="24"/>
          <w:highlight w:val="none"/>
        </w:rPr>
        <w:t>3.1 监理人的职责和权力</w:t>
      </w:r>
      <w:bookmarkEnd w:id="728"/>
      <w:bookmarkEnd w:id="729"/>
      <w:bookmarkEnd w:id="730"/>
      <w:bookmarkEnd w:id="731"/>
      <w:bookmarkEnd w:id="73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3.1.1 监理人受发包人委托，享有合同约定的权力。监理人在行使某项权力前需要经发包人事先批准而通用合同条款没有指明的，应在专用合同条款中指明。</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3.1.2 监理人发出的任何指示应视为已得到发包人的批准，但监理人无权免除或变更合同约定的发包人和承包人的权利、义务和责任。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spacing w:line="360" w:lineRule="auto"/>
        <w:rPr>
          <w:b/>
          <w:bCs/>
          <w:color w:val="auto"/>
          <w:sz w:val="24"/>
          <w:szCs w:val="24"/>
          <w:highlight w:val="none"/>
        </w:rPr>
      </w:pPr>
      <w:bookmarkStart w:id="733" w:name="_Toc152042413"/>
      <w:bookmarkStart w:id="734" w:name="_Toc144974603"/>
      <w:bookmarkStart w:id="735" w:name="_Toc179632653"/>
      <w:bookmarkStart w:id="736" w:name="_Toc513793938"/>
      <w:bookmarkStart w:id="737" w:name="_Toc152045635"/>
      <w:r>
        <w:rPr>
          <w:rFonts w:hint="eastAsia"/>
          <w:b/>
          <w:bCs/>
          <w:color w:val="auto"/>
          <w:sz w:val="24"/>
          <w:szCs w:val="24"/>
          <w:highlight w:val="none"/>
        </w:rPr>
        <w:t>3.2 总监理工程师</w:t>
      </w:r>
      <w:bookmarkEnd w:id="733"/>
      <w:bookmarkEnd w:id="734"/>
      <w:bookmarkEnd w:id="735"/>
      <w:bookmarkEnd w:id="736"/>
      <w:bookmarkEnd w:id="73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adjustRightInd w:val="0"/>
        <w:snapToGrid w:val="0"/>
        <w:spacing w:line="360" w:lineRule="auto"/>
        <w:rPr>
          <w:b/>
          <w:bCs/>
          <w:color w:val="auto"/>
          <w:sz w:val="24"/>
          <w:szCs w:val="24"/>
          <w:highlight w:val="none"/>
        </w:rPr>
      </w:pPr>
      <w:bookmarkStart w:id="738" w:name="_Toc152042414"/>
      <w:bookmarkStart w:id="739" w:name="_Toc152045636"/>
      <w:bookmarkStart w:id="740" w:name="_Toc144974604"/>
      <w:bookmarkStart w:id="741" w:name="_Toc513793939"/>
      <w:bookmarkStart w:id="742" w:name="_Toc179632654"/>
      <w:r>
        <w:rPr>
          <w:rFonts w:hint="eastAsia"/>
          <w:b/>
          <w:bCs/>
          <w:color w:val="auto"/>
          <w:sz w:val="24"/>
          <w:szCs w:val="24"/>
          <w:highlight w:val="none"/>
        </w:rPr>
        <w:t>3.3 监理人员</w:t>
      </w:r>
      <w:bookmarkEnd w:id="738"/>
      <w:bookmarkEnd w:id="739"/>
      <w:bookmarkEnd w:id="740"/>
      <w:bookmarkEnd w:id="741"/>
      <w:bookmarkEnd w:id="74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3.3.3 承包人对总监理工程师授权的监理人员发出的指示有疑问的，可向总监理工程师提出书面异议，总监理工程师应在48小时内对该指示予以确认、更改或撤销。</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3.3.4 除专用合同条款另有约定外，总监理工程师不应将第3.5款约定应由总监理工程师作出确定的权力授权或委托给其他监理人员。</w:t>
      </w:r>
    </w:p>
    <w:p>
      <w:pPr>
        <w:adjustRightInd w:val="0"/>
        <w:snapToGrid w:val="0"/>
        <w:spacing w:line="360" w:lineRule="auto"/>
        <w:rPr>
          <w:b/>
          <w:bCs/>
          <w:color w:val="auto"/>
          <w:sz w:val="24"/>
          <w:szCs w:val="24"/>
          <w:highlight w:val="none"/>
        </w:rPr>
      </w:pPr>
      <w:bookmarkStart w:id="743" w:name="_Toc152042415"/>
      <w:bookmarkStart w:id="744" w:name="_Toc513793940"/>
      <w:bookmarkStart w:id="745" w:name="_Toc144974605"/>
      <w:bookmarkStart w:id="746" w:name="_Toc179632655"/>
      <w:bookmarkStart w:id="747" w:name="_Toc152045637"/>
      <w:r>
        <w:rPr>
          <w:rFonts w:hint="eastAsia"/>
          <w:b/>
          <w:bCs/>
          <w:color w:val="auto"/>
          <w:sz w:val="24"/>
          <w:szCs w:val="24"/>
          <w:highlight w:val="none"/>
        </w:rPr>
        <w:t>3.4 监理人的指示</w:t>
      </w:r>
      <w:bookmarkEnd w:id="743"/>
      <w:bookmarkEnd w:id="744"/>
      <w:bookmarkEnd w:id="745"/>
      <w:bookmarkEnd w:id="746"/>
      <w:bookmarkEnd w:id="74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3.4.2 承包人收到监理人按第3.4.1项作出的指示后应遵照执行。指示构成变更的，应按第15条处理。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3.4.4 除合同另有约定外，承包人只从总监理工程师或按第3.3.1项被授权的监理人员处取得指示。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3.4.5 由于监理人未能按合同约定发出指示、指示延误或指示错误而导致承包人费用增加和（或）工期延误的，由发包人承担赔偿责任。</w:t>
      </w:r>
    </w:p>
    <w:p>
      <w:pPr>
        <w:adjustRightInd w:val="0"/>
        <w:snapToGrid w:val="0"/>
        <w:spacing w:line="360" w:lineRule="auto"/>
        <w:rPr>
          <w:b/>
          <w:bCs/>
          <w:color w:val="auto"/>
          <w:sz w:val="24"/>
          <w:szCs w:val="24"/>
          <w:highlight w:val="none"/>
        </w:rPr>
      </w:pPr>
      <w:bookmarkStart w:id="748" w:name="_Toc179632656"/>
      <w:bookmarkStart w:id="749" w:name="_Toc513793941"/>
      <w:bookmarkStart w:id="750" w:name="_Toc144974606"/>
      <w:bookmarkStart w:id="751" w:name="_Toc152042416"/>
      <w:bookmarkStart w:id="752" w:name="_Toc152045638"/>
      <w:r>
        <w:rPr>
          <w:rFonts w:hint="eastAsia"/>
          <w:b/>
          <w:bCs/>
          <w:color w:val="auto"/>
          <w:sz w:val="24"/>
          <w:szCs w:val="24"/>
          <w:highlight w:val="none"/>
        </w:rPr>
        <w:t>3.5 商定或确定</w:t>
      </w:r>
      <w:bookmarkEnd w:id="748"/>
      <w:bookmarkEnd w:id="749"/>
      <w:bookmarkEnd w:id="750"/>
      <w:bookmarkEnd w:id="751"/>
      <w:bookmarkEnd w:id="75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3.5.1合同约定总监理工程师应按照本款对任何事项进行商定或确定时，总监理工程师应与合同当事人协商，尽量达成一致。不能达成一致的，总监理工程师应认真研究后审慎确定。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spacing w:line="360" w:lineRule="auto"/>
        <w:outlineLvl w:val="2"/>
        <w:rPr>
          <w:b/>
          <w:bCs/>
          <w:color w:val="auto"/>
          <w:sz w:val="24"/>
          <w:szCs w:val="24"/>
          <w:highlight w:val="none"/>
        </w:rPr>
      </w:pPr>
      <w:bookmarkStart w:id="753" w:name="_Toc19254"/>
      <w:bookmarkStart w:id="754" w:name="_Toc8851"/>
      <w:bookmarkStart w:id="755" w:name="_Toc588"/>
      <w:bookmarkStart w:id="756" w:name="_Toc10448"/>
      <w:bookmarkStart w:id="757" w:name="_Toc14419"/>
      <w:bookmarkStart w:id="758" w:name="_Toc15340"/>
      <w:bookmarkStart w:id="759" w:name="_Toc179632657"/>
      <w:bookmarkStart w:id="760" w:name="_Toc1600"/>
      <w:bookmarkStart w:id="761" w:name="_Toc152045639"/>
      <w:bookmarkStart w:id="762" w:name="_Toc11222"/>
      <w:bookmarkStart w:id="763" w:name="_Toc1219"/>
      <w:bookmarkStart w:id="764" w:name="_Toc23592"/>
      <w:bookmarkStart w:id="765" w:name="_Toc22144"/>
      <w:bookmarkStart w:id="766" w:name="_Toc12034"/>
      <w:bookmarkStart w:id="767" w:name="_Toc513793942"/>
      <w:bookmarkStart w:id="768" w:name="_Toc8933"/>
      <w:bookmarkStart w:id="769" w:name="_Toc3367"/>
      <w:bookmarkStart w:id="770" w:name="_Toc152042417"/>
      <w:bookmarkStart w:id="771" w:name="_Toc144974607"/>
      <w:r>
        <w:rPr>
          <w:rFonts w:hint="eastAsia"/>
          <w:b/>
          <w:bCs/>
          <w:color w:val="auto"/>
          <w:sz w:val="24"/>
          <w:szCs w:val="24"/>
          <w:highlight w:val="none"/>
        </w:rPr>
        <w:t>4. 承包人</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adjustRightInd w:val="0"/>
        <w:snapToGrid w:val="0"/>
        <w:spacing w:line="360" w:lineRule="auto"/>
        <w:rPr>
          <w:b/>
          <w:bCs/>
          <w:color w:val="auto"/>
          <w:sz w:val="24"/>
          <w:szCs w:val="24"/>
          <w:highlight w:val="none"/>
        </w:rPr>
      </w:pPr>
      <w:bookmarkStart w:id="772" w:name="_Toc513793943"/>
      <w:bookmarkStart w:id="773" w:name="_Toc179632658"/>
      <w:bookmarkStart w:id="774" w:name="_Toc152042418"/>
      <w:bookmarkStart w:id="775" w:name="_Toc144974608"/>
      <w:bookmarkStart w:id="776" w:name="_Toc152045640"/>
      <w:r>
        <w:rPr>
          <w:rFonts w:hint="eastAsia"/>
          <w:b/>
          <w:bCs/>
          <w:color w:val="auto"/>
          <w:sz w:val="24"/>
          <w:szCs w:val="24"/>
          <w:highlight w:val="none"/>
        </w:rPr>
        <w:t>4.1 承包人的一般义务</w:t>
      </w:r>
      <w:bookmarkEnd w:id="772"/>
      <w:bookmarkEnd w:id="773"/>
      <w:bookmarkEnd w:id="774"/>
      <w:bookmarkEnd w:id="775"/>
      <w:bookmarkEnd w:id="77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4.1.1 遵守法律</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承包人在履行合同过程中应遵守法律，并保证发包人免于承担因承包人违反法律而引起的任何责任。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4.1.2 依法纳税</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承包人应按有关法律规定纳税，应缴纳的税金包括在合同价格内。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4.1.3 完成各项承包工作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4.1.4 对施工作业和施工方法的完备性负责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承包人应按合同约定的工作内容和施工进度要求，编制施工组织设计和施工措施计划，并对所有施工作业和施工方法的完备性和安全可靠性负责。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4.1.5 保证工程施工和人员的安全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承包人应按第9.2款约定采取施工安全措施，确保工程及其人员、材料、设备和设施的安全，防止因工程施工造成的人身伤害和财产损失。</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4.1.6 负责施工场地及其周边环境与生态的保护工作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承包人应按照第9.4款约定负责施工场地及其周边环境与生态的保护工作。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4.1.7 避免施工对公众与他人的利益造成损害</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4.1.8 为他人提供方便</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4.1.9 工程的维护和照管</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工程接收证书颁发前，承包人应负责照管和维护工程。工程接收证书颁发时尚有部分未竣工工程的，承包人还应负责该未竣工工程的照管和维护工作，直至竣工后移交给发包人为止。</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4.1.10 其他义务</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承包人应履行合同约定的其他义务。</w:t>
      </w:r>
    </w:p>
    <w:p>
      <w:pPr>
        <w:adjustRightInd w:val="0"/>
        <w:snapToGrid w:val="0"/>
        <w:spacing w:line="360" w:lineRule="auto"/>
        <w:rPr>
          <w:b/>
          <w:bCs/>
          <w:color w:val="auto"/>
          <w:sz w:val="24"/>
          <w:szCs w:val="24"/>
          <w:highlight w:val="none"/>
        </w:rPr>
      </w:pPr>
      <w:bookmarkStart w:id="777" w:name="_Toc144974609"/>
      <w:bookmarkStart w:id="778" w:name="_Toc179632659"/>
      <w:bookmarkStart w:id="779" w:name="_Toc152045641"/>
      <w:bookmarkStart w:id="780" w:name="_Toc152042419"/>
      <w:bookmarkStart w:id="781" w:name="_Toc513793944"/>
      <w:r>
        <w:rPr>
          <w:rFonts w:hint="eastAsia"/>
          <w:b/>
          <w:bCs/>
          <w:color w:val="auto"/>
          <w:sz w:val="24"/>
          <w:szCs w:val="24"/>
          <w:highlight w:val="none"/>
        </w:rPr>
        <w:t>4.2 履约担保</w:t>
      </w:r>
      <w:bookmarkEnd w:id="777"/>
      <w:bookmarkEnd w:id="778"/>
      <w:bookmarkEnd w:id="779"/>
      <w:bookmarkEnd w:id="780"/>
      <w:bookmarkEnd w:id="78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承包人应保证其履约担保在发包人颁发工程接收证书前一直有效。发包人应在工程接收证书颁发后28天内把履约担保退还给承包人。</w:t>
      </w:r>
    </w:p>
    <w:p>
      <w:pPr>
        <w:adjustRightInd w:val="0"/>
        <w:snapToGrid w:val="0"/>
        <w:spacing w:line="360" w:lineRule="auto"/>
        <w:rPr>
          <w:b/>
          <w:bCs/>
          <w:color w:val="auto"/>
          <w:sz w:val="24"/>
          <w:szCs w:val="24"/>
          <w:highlight w:val="none"/>
        </w:rPr>
      </w:pPr>
      <w:bookmarkStart w:id="782" w:name="_Toc513793945"/>
      <w:bookmarkStart w:id="783" w:name="_Toc152042420"/>
      <w:bookmarkStart w:id="784" w:name="_Toc152045642"/>
      <w:bookmarkStart w:id="785" w:name="_Toc179632660"/>
      <w:bookmarkStart w:id="786" w:name="_Toc144974610"/>
      <w:r>
        <w:rPr>
          <w:rFonts w:hint="eastAsia"/>
          <w:b/>
          <w:bCs/>
          <w:color w:val="auto"/>
          <w:sz w:val="24"/>
          <w:szCs w:val="24"/>
          <w:highlight w:val="none"/>
        </w:rPr>
        <w:t>4.3 分包</w:t>
      </w:r>
      <w:bookmarkEnd w:id="782"/>
      <w:bookmarkEnd w:id="783"/>
      <w:bookmarkEnd w:id="784"/>
      <w:bookmarkEnd w:id="785"/>
      <w:bookmarkEnd w:id="78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4.3.1 承包人不得将其承包的全部工程转包给第三人，或将其承包的全部工程肢解后以分包的名义转包给第三人。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4.3.2 承包人不得将工程主体、关键性工作分包给第三人。除专用合同条款另有约定外，未经发包人同意，承包人不得将工程的其他部分或工作分包给第三人。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4.3.3 分包人的资格能力应与其分包工程的标准和规模相适应。</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4.3.4 按投标函附录约定分包工程的，承包人应向发包人和监理人提交分包合同副本。</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4.3.5 承包人应与分包人就分包工程向发包人承担连带责任。</w:t>
      </w:r>
    </w:p>
    <w:p>
      <w:pPr>
        <w:adjustRightInd w:val="0"/>
        <w:snapToGrid w:val="0"/>
        <w:spacing w:line="360" w:lineRule="auto"/>
        <w:rPr>
          <w:b/>
          <w:bCs/>
          <w:color w:val="auto"/>
          <w:sz w:val="24"/>
          <w:szCs w:val="24"/>
          <w:highlight w:val="none"/>
        </w:rPr>
      </w:pPr>
      <w:bookmarkStart w:id="787" w:name="_Toc179632661"/>
      <w:bookmarkStart w:id="788" w:name="_Toc152045643"/>
      <w:bookmarkStart w:id="789" w:name="_Toc144974611"/>
      <w:bookmarkStart w:id="790" w:name="_Toc152042421"/>
      <w:bookmarkStart w:id="791" w:name="_Toc513793946"/>
      <w:r>
        <w:rPr>
          <w:rFonts w:hint="eastAsia"/>
          <w:b/>
          <w:bCs/>
          <w:color w:val="auto"/>
          <w:sz w:val="24"/>
          <w:szCs w:val="24"/>
          <w:highlight w:val="none"/>
        </w:rPr>
        <w:t>4.4 联合体</w:t>
      </w:r>
      <w:bookmarkEnd w:id="787"/>
      <w:bookmarkEnd w:id="788"/>
      <w:bookmarkEnd w:id="789"/>
      <w:bookmarkEnd w:id="790"/>
      <w:bookmarkEnd w:id="79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4.4.1 联合体各方应共同与发包人签订合同协议书。联合体各方应为履行合同承担连带责任。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4.4.2 联合体协议经发包人确认后作为合同附件。在履行合同过程中，未经发包人同意，不得修改联合体协议。</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4.4.3 联合体牵头人负责与发包人和监理人联系，并接受指示，负责组织联合体各成员全面履行合同。</w:t>
      </w:r>
    </w:p>
    <w:p>
      <w:pPr>
        <w:adjustRightInd w:val="0"/>
        <w:snapToGrid w:val="0"/>
        <w:spacing w:line="360" w:lineRule="auto"/>
        <w:rPr>
          <w:b/>
          <w:bCs/>
          <w:color w:val="auto"/>
          <w:sz w:val="24"/>
          <w:szCs w:val="24"/>
          <w:highlight w:val="none"/>
        </w:rPr>
      </w:pPr>
      <w:bookmarkStart w:id="792" w:name="_Toc513793947"/>
      <w:bookmarkStart w:id="793" w:name="_Toc179632662"/>
      <w:bookmarkStart w:id="794" w:name="_Toc152045644"/>
      <w:bookmarkStart w:id="795" w:name="_Toc152042422"/>
      <w:bookmarkStart w:id="796" w:name="_Toc144974612"/>
      <w:r>
        <w:rPr>
          <w:rFonts w:hint="eastAsia"/>
          <w:b/>
          <w:bCs/>
          <w:color w:val="auto"/>
          <w:sz w:val="24"/>
          <w:szCs w:val="24"/>
          <w:highlight w:val="none"/>
        </w:rPr>
        <w:t>4.5 承包人项目经理</w:t>
      </w:r>
      <w:bookmarkEnd w:id="792"/>
      <w:bookmarkEnd w:id="793"/>
      <w:bookmarkEnd w:id="794"/>
      <w:bookmarkEnd w:id="795"/>
      <w:bookmarkEnd w:id="79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4.5.3承包人为履行合同发出的一切函件均应盖有承包人授权的施工场地管理机构章，并由承包人项目经理或其授权代表签字。</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4.5.4 承包人项目经理可以授权其下属人员履行其某项职责，但事先应将这些人员的姓名和授权范围通知监理人。</w:t>
      </w:r>
    </w:p>
    <w:p>
      <w:pPr>
        <w:adjustRightInd w:val="0"/>
        <w:snapToGrid w:val="0"/>
        <w:spacing w:line="360" w:lineRule="auto"/>
        <w:rPr>
          <w:b/>
          <w:bCs/>
          <w:color w:val="auto"/>
          <w:sz w:val="24"/>
          <w:szCs w:val="24"/>
          <w:highlight w:val="none"/>
        </w:rPr>
      </w:pPr>
      <w:bookmarkStart w:id="797" w:name="_Toc179632663"/>
      <w:bookmarkStart w:id="798" w:name="_Toc152045645"/>
      <w:bookmarkStart w:id="799" w:name="_Toc513793948"/>
      <w:bookmarkStart w:id="800" w:name="_Toc144974613"/>
      <w:bookmarkStart w:id="801" w:name="_Toc152042423"/>
      <w:r>
        <w:rPr>
          <w:rFonts w:hint="eastAsia"/>
          <w:b/>
          <w:bCs/>
          <w:color w:val="auto"/>
          <w:sz w:val="24"/>
          <w:szCs w:val="24"/>
          <w:highlight w:val="none"/>
        </w:rPr>
        <w:t>4.6 承包人人员的管理</w:t>
      </w:r>
      <w:bookmarkEnd w:id="797"/>
      <w:bookmarkEnd w:id="798"/>
      <w:bookmarkEnd w:id="799"/>
      <w:bookmarkEnd w:id="800"/>
      <w:bookmarkEnd w:id="80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4.6.2 为完成合同约定的各项工作，承包人应向施工场地派遣或雇佣足够数量的下列人员：</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（1）具有相应资格的专业技工和合格的普工；</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（2）具有相应施工经验的技术人员；</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（3）具有相应岗位资格的各级管理人员。</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4.6.3 承包人安排在施工场地的主要管理人员和技术骨干应相对稳定。承包人更换主要管理人员和技术骨干时，应取得监理人的同意。</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4.6.4 特殊岗位的工作人员均应持有相应的资格证明，监理人有权随时检查。监理人认为有必要时，可进行现场考核。</w:t>
      </w:r>
    </w:p>
    <w:p>
      <w:pPr>
        <w:adjustRightInd w:val="0"/>
        <w:snapToGrid w:val="0"/>
        <w:spacing w:line="360" w:lineRule="auto"/>
        <w:rPr>
          <w:b/>
          <w:bCs/>
          <w:color w:val="auto"/>
          <w:sz w:val="24"/>
          <w:szCs w:val="24"/>
          <w:highlight w:val="none"/>
        </w:rPr>
      </w:pPr>
      <w:bookmarkStart w:id="802" w:name="_Toc152042424"/>
      <w:bookmarkStart w:id="803" w:name="_Toc152045646"/>
      <w:bookmarkStart w:id="804" w:name="_Toc513793949"/>
      <w:bookmarkStart w:id="805" w:name="_Toc144974614"/>
      <w:bookmarkStart w:id="806" w:name="_Toc179632664"/>
      <w:r>
        <w:rPr>
          <w:rFonts w:hint="eastAsia"/>
          <w:b/>
          <w:bCs/>
          <w:color w:val="auto"/>
          <w:sz w:val="24"/>
          <w:szCs w:val="24"/>
          <w:highlight w:val="none"/>
        </w:rPr>
        <w:t>4.7 撤换承包人项目经理和其他人员</w:t>
      </w:r>
      <w:bookmarkEnd w:id="802"/>
      <w:bookmarkEnd w:id="803"/>
      <w:bookmarkEnd w:id="804"/>
      <w:bookmarkEnd w:id="805"/>
      <w:bookmarkEnd w:id="80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60" w:lineRule="auto"/>
        <w:rPr>
          <w:b/>
          <w:bCs/>
          <w:color w:val="auto"/>
          <w:sz w:val="24"/>
          <w:szCs w:val="24"/>
          <w:highlight w:val="none"/>
        </w:rPr>
      </w:pPr>
      <w:bookmarkStart w:id="807" w:name="_Toc152045647"/>
      <w:bookmarkStart w:id="808" w:name="_Toc152042425"/>
      <w:bookmarkStart w:id="809" w:name="_Toc179632665"/>
      <w:bookmarkStart w:id="810" w:name="_Toc144974615"/>
      <w:bookmarkStart w:id="811" w:name="_Toc513793950"/>
      <w:r>
        <w:rPr>
          <w:rFonts w:hint="eastAsia"/>
          <w:b/>
          <w:bCs/>
          <w:color w:val="auto"/>
          <w:sz w:val="24"/>
          <w:szCs w:val="24"/>
          <w:highlight w:val="none"/>
        </w:rPr>
        <w:t>4.8 保障承包人人员的合法权益</w:t>
      </w:r>
      <w:bookmarkEnd w:id="807"/>
      <w:bookmarkEnd w:id="808"/>
      <w:bookmarkEnd w:id="809"/>
      <w:bookmarkEnd w:id="810"/>
      <w:bookmarkEnd w:id="81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4.8.1 承包人应与其雇佣的人员签订劳动合同，并按时发放工资。</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4.8.5 承包人应按有关法律规定和合同约定，为其雇佣人员办理保险。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4.8.6 承包人应负责处理其雇佣人员因工伤亡事故的善后事宜。</w:t>
      </w:r>
    </w:p>
    <w:p>
      <w:pPr>
        <w:adjustRightInd w:val="0"/>
        <w:snapToGrid w:val="0"/>
        <w:spacing w:line="360" w:lineRule="auto"/>
        <w:rPr>
          <w:b/>
          <w:bCs/>
          <w:color w:val="auto"/>
          <w:sz w:val="24"/>
          <w:szCs w:val="24"/>
          <w:highlight w:val="none"/>
        </w:rPr>
      </w:pPr>
      <w:bookmarkStart w:id="812" w:name="_Toc144974616"/>
      <w:bookmarkStart w:id="813" w:name="_Toc513793951"/>
      <w:bookmarkStart w:id="814" w:name="_Toc179632666"/>
      <w:bookmarkStart w:id="815" w:name="_Toc152042426"/>
      <w:bookmarkStart w:id="816" w:name="_Toc152045648"/>
      <w:r>
        <w:rPr>
          <w:rFonts w:hint="eastAsia"/>
          <w:b/>
          <w:bCs/>
          <w:color w:val="auto"/>
          <w:sz w:val="24"/>
          <w:szCs w:val="24"/>
          <w:highlight w:val="none"/>
        </w:rPr>
        <w:t>4.9 工程价款应专款专用</w:t>
      </w:r>
      <w:bookmarkEnd w:id="812"/>
      <w:bookmarkEnd w:id="813"/>
      <w:bookmarkEnd w:id="814"/>
      <w:bookmarkEnd w:id="815"/>
      <w:bookmarkEnd w:id="81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发包人按合同约定支付给承包人的各项价款应专用于合同工程。</w:t>
      </w:r>
    </w:p>
    <w:p>
      <w:pPr>
        <w:adjustRightInd w:val="0"/>
        <w:snapToGrid w:val="0"/>
        <w:spacing w:line="360" w:lineRule="auto"/>
        <w:rPr>
          <w:b/>
          <w:bCs/>
          <w:color w:val="auto"/>
          <w:sz w:val="24"/>
          <w:szCs w:val="24"/>
          <w:highlight w:val="none"/>
        </w:rPr>
      </w:pPr>
      <w:bookmarkStart w:id="817" w:name="_Toc144974617"/>
      <w:bookmarkStart w:id="818" w:name="_Toc152042427"/>
      <w:bookmarkStart w:id="819" w:name="_Toc179632667"/>
      <w:bookmarkStart w:id="820" w:name="_Toc513793952"/>
      <w:bookmarkStart w:id="821" w:name="_Toc152045649"/>
      <w:r>
        <w:rPr>
          <w:rFonts w:hint="eastAsia"/>
          <w:b/>
          <w:bCs/>
          <w:color w:val="auto"/>
          <w:sz w:val="24"/>
          <w:szCs w:val="24"/>
          <w:highlight w:val="none"/>
        </w:rPr>
        <w:t>4.10 承包人现场查勘</w:t>
      </w:r>
      <w:bookmarkEnd w:id="817"/>
      <w:bookmarkEnd w:id="818"/>
      <w:bookmarkEnd w:id="819"/>
      <w:bookmarkEnd w:id="820"/>
      <w:bookmarkEnd w:id="82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4.10.1 发包人应将其持有的现场地质勘探资料、水文气象资料提供给承包人，并对其准确性负责。但承包人应对其阅读上述有关资料后所作出的解释和推断负责。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spacing w:line="360" w:lineRule="auto"/>
        <w:rPr>
          <w:b/>
          <w:bCs/>
          <w:color w:val="auto"/>
          <w:sz w:val="24"/>
          <w:szCs w:val="24"/>
          <w:highlight w:val="none"/>
        </w:rPr>
      </w:pPr>
      <w:bookmarkStart w:id="822" w:name="_Toc152042428"/>
      <w:bookmarkStart w:id="823" w:name="_Toc513793953"/>
      <w:bookmarkStart w:id="824" w:name="_Toc144974618"/>
      <w:bookmarkStart w:id="825" w:name="_Toc152045650"/>
      <w:bookmarkStart w:id="826" w:name="_Toc179632668"/>
      <w:r>
        <w:rPr>
          <w:rFonts w:hint="eastAsia"/>
          <w:b/>
          <w:bCs/>
          <w:color w:val="auto"/>
          <w:sz w:val="24"/>
          <w:szCs w:val="24"/>
          <w:highlight w:val="none"/>
        </w:rPr>
        <w:t>4.11 不利物质条件</w:t>
      </w:r>
      <w:bookmarkEnd w:id="822"/>
      <w:bookmarkEnd w:id="823"/>
      <w:bookmarkEnd w:id="824"/>
      <w:bookmarkEnd w:id="825"/>
      <w:bookmarkEnd w:id="82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4.11.1 不利物质条件，除专用合同条款另有约定外，是指承包人在施工场地遇到的不可预见的自然物质条件、非自然的物质障碍和污染物，包括地下和水文条件，但不包括气候条件。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adjustRightInd w:val="0"/>
        <w:snapToGrid w:val="0"/>
        <w:spacing w:line="360" w:lineRule="auto"/>
        <w:outlineLvl w:val="2"/>
        <w:rPr>
          <w:b/>
          <w:bCs/>
          <w:color w:val="auto"/>
          <w:sz w:val="24"/>
          <w:szCs w:val="24"/>
          <w:highlight w:val="none"/>
        </w:rPr>
      </w:pPr>
      <w:bookmarkStart w:id="827" w:name="_Toc152042429"/>
      <w:bookmarkStart w:id="828" w:name="_Toc30395"/>
      <w:bookmarkStart w:id="829" w:name="_Toc1541"/>
      <w:bookmarkStart w:id="830" w:name="_Toc1058"/>
      <w:bookmarkStart w:id="831" w:name="_Toc5470"/>
      <w:bookmarkStart w:id="832" w:name="_Toc30860"/>
      <w:bookmarkStart w:id="833" w:name="_Toc11784"/>
      <w:bookmarkStart w:id="834" w:name="_Toc144974619"/>
      <w:bookmarkStart w:id="835" w:name="_Toc18592"/>
      <w:bookmarkStart w:id="836" w:name="_Toc12696"/>
      <w:bookmarkStart w:id="837" w:name="_Toc179632669"/>
      <w:bookmarkStart w:id="838" w:name="_Toc3139"/>
      <w:bookmarkStart w:id="839" w:name="_Toc22774"/>
      <w:bookmarkStart w:id="840" w:name="_Toc513793954"/>
      <w:bookmarkStart w:id="841" w:name="_Toc152045651"/>
      <w:bookmarkStart w:id="842" w:name="_Toc17809"/>
      <w:bookmarkStart w:id="843" w:name="_Toc14925"/>
      <w:bookmarkStart w:id="844" w:name="_Toc6840"/>
      <w:bookmarkStart w:id="845" w:name="_Toc10567"/>
      <w:r>
        <w:rPr>
          <w:rFonts w:hint="eastAsia"/>
          <w:b/>
          <w:bCs/>
          <w:color w:val="auto"/>
          <w:sz w:val="24"/>
          <w:szCs w:val="24"/>
          <w:highlight w:val="none"/>
        </w:rPr>
        <w:t>5. 材料和工程设备</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adjustRightInd w:val="0"/>
        <w:snapToGrid w:val="0"/>
        <w:spacing w:line="360" w:lineRule="auto"/>
        <w:rPr>
          <w:b/>
          <w:bCs/>
          <w:color w:val="auto"/>
          <w:sz w:val="24"/>
          <w:szCs w:val="24"/>
          <w:highlight w:val="none"/>
        </w:rPr>
      </w:pPr>
      <w:bookmarkStart w:id="846" w:name="_Toc152042430"/>
      <w:bookmarkStart w:id="847" w:name="_Toc144974620"/>
      <w:bookmarkStart w:id="848" w:name="_Toc513793955"/>
      <w:bookmarkStart w:id="849" w:name="_Toc152045652"/>
      <w:bookmarkStart w:id="850" w:name="_Toc179632670"/>
      <w:r>
        <w:rPr>
          <w:rFonts w:hint="eastAsia"/>
          <w:b/>
          <w:bCs/>
          <w:color w:val="auto"/>
          <w:sz w:val="24"/>
          <w:szCs w:val="24"/>
          <w:highlight w:val="none"/>
        </w:rPr>
        <w:t>5.1 承包人提供的材料和工程设备</w:t>
      </w:r>
      <w:bookmarkEnd w:id="846"/>
      <w:bookmarkEnd w:id="847"/>
      <w:bookmarkEnd w:id="848"/>
      <w:bookmarkEnd w:id="849"/>
      <w:bookmarkEnd w:id="85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5.1.1 除专用合同条款另有约定外，承包人提供的材料和工程设备均由承包人负责采购、运输和保管。承包人应对其采购的材料和工程设备负责。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60" w:lineRule="auto"/>
        <w:rPr>
          <w:b/>
          <w:bCs/>
          <w:color w:val="auto"/>
          <w:sz w:val="24"/>
          <w:szCs w:val="24"/>
          <w:highlight w:val="none"/>
        </w:rPr>
      </w:pPr>
      <w:bookmarkStart w:id="851" w:name="_Toc152042431"/>
      <w:bookmarkStart w:id="852" w:name="_Toc513793956"/>
      <w:bookmarkStart w:id="853" w:name="_Toc179632671"/>
      <w:bookmarkStart w:id="854" w:name="_Toc144974621"/>
      <w:bookmarkStart w:id="855" w:name="_Toc152045653"/>
      <w:r>
        <w:rPr>
          <w:rFonts w:hint="eastAsia"/>
          <w:b/>
          <w:bCs/>
          <w:color w:val="auto"/>
          <w:sz w:val="24"/>
          <w:szCs w:val="24"/>
          <w:highlight w:val="none"/>
        </w:rPr>
        <w:t>5.2 发包人提供的材料和工程设备</w:t>
      </w:r>
      <w:bookmarkEnd w:id="851"/>
      <w:bookmarkEnd w:id="852"/>
      <w:bookmarkEnd w:id="853"/>
      <w:bookmarkEnd w:id="854"/>
      <w:bookmarkEnd w:id="85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5.2.1 发包人提供的材料和工程设备，应在专用合同条款中写明材料和工程设备的名称、规格、数量、价格、交货方式、交货地点和计划交货日期等。</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5.2.4 发包人要求向承包人提前交货的，承包人不得拒绝，但发包人应承担承包人由此增加的费用。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5.2.5 承包人要求更改交货日期或地点的，应事先报请监理人批准。由于承包人要求更改交货时间或地点所增加的费用和（或）工期延误由承包人承担。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60" w:lineRule="auto"/>
        <w:rPr>
          <w:b/>
          <w:bCs/>
          <w:color w:val="auto"/>
          <w:sz w:val="24"/>
          <w:szCs w:val="24"/>
          <w:highlight w:val="none"/>
        </w:rPr>
      </w:pPr>
      <w:bookmarkStart w:id="856" w:name="_Toc152042432"/>
      <w:bookmarkStart w:id="857" w:name="_Toc179632672"/>
      <w:bookmarkStart w:id="858" w:name="_Toc152045654"/>
      <w:bookmarkStart w:id="859" w:name="_Toc144974622"/>
      <w:bookmarkStart w:id="860" w:name="_Toc513793957"/>
      <w:r>
        <w:rPr>
          <w:rFonts w:hint="eastAsia"/>
          <w:b/>
          <w:bCs/>
          <w:color w:val="auto"/>
          <w:sz w:val="24"/>
          <w:szCs w:val="24"/>
          <w:highlight w:val="none"/>
        </w:rPr>
        <w:t>5.3 材料和工程设备专用于合同工程</w:t>
      </w:r>
      <w:bookmarkEnd w:id="856"/>
      <w:bookmarkEnd w:id="857"/>
      <w:bookmarkEnd w:id="858"/>
      <w:bookmarkEnd w:id="859"/>
      <w:bookmarkEnd w:id="86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5.3.1运入施工场地的材料、工程设备，包括备品备件、安装专用工器具与随机资料，必须专用于合同工程，未经监理人同意，承包人不得运出施工场地或挪作他用。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60" w:lineRule="auto"/>
        <w:rPr>
          <w:b/>
          <w:bCs/>
          <w:color w:val="auto"/>
          <w:sz w:val="24"/>
          <w:szCs w:val="24"/>
          <w:highlight w:val="none"/>
        </w:rPr>
      </w:pPr>
      <w:bookmarkStart w:id="861" w:name="_Toc152042433"/>
      <w:bookmarkStart w:id="862" w:name="_Toc179632673"/>
      <w:bookmarkStart w:id="863" w:name="_Toc144974623"/>
      <w:bookmarkStart w:id="864" w:name="_Toc513793958"/>
      <w:bookmarkStart w:id="865" w:name="_Toc152045655"/>
      <w:r>
        <w:rPr>
          <w:rFonts w:hint="eastAsia"/>
          <w:b/>
          <w:bCs/>
          <w:color w:val="auto"/>
          <w:sz w:val="24"/>
          <w:szCs w:val="24"/>
          <w:highlight w:val="none"/>
        </w:rPr>
        <w:t>5.4 禁止使用不合格的材料和工程设备</w:t>
      </w:r>
      <w:bookmarkEnd w:id="861"/>
      <w:bookmarkEnd w:id="862"/>
      <w:bookmarkEnd w:id="863"/>
      <w:bookmarkEnd w:id="864"/>
      <w:bookmarkEnd w:id="86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5.4.2 监理人发现承包人使用了不合格的材料和工程设备，应即时发出指示要求承包人立即改正，并禁止在工程中继续使用不合格的材料和工程设备。</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5.4.3 发包人提供的材料或工程设备不符合合同要求的，承包人有权拒绝，并可要求发包人更换，由此增加的费用和（或）工期延误由发包人承担。</w:t>
      </w:r>
    </w:p>
    <w:p>
      <w:pPr>
        <w:adjustRightInd w:val="0"/>
        <w:snapToGrid w:val="0"/>
        <w:spacing w:line="360" w:lineRule="auto"/>
        <w:outlineLvl w:val="2"/>
        <w:rPr>
          <w:b/>
          <w:bCs/>
          <w:color w:val="auto"/>
          <w:sz w:val="24"/>
          <w:szCs w:val="24"/>
          <w:highlight w:val="none"/>
        </w:rPr>
      </w:pPr>
      <w:bookmarkStart w:id="866" w:name="_Toc20322"/>
      <w:bookmarkStart w:id="867" w:name="_Toc10571"/>
      <w:bookmarkStart w:id="868" w:name="_Toc144974624"/>
      <w:bookmarkStart w:id="869" w:name="_Toc10932"/>
      <w:bookmarkStart w:id="870" w:name="_Toc152042434"/>
      <w:bookmarkStart w:id="871" w:name="_Toc14140"/>
      <w:bookmarkStart w:id="872" w:name="_Toc28715"/>
      <w:bookmarkStart w:id="873" w:name="_Toc179632674"/>
      <w:bookmarkStart w:id="874" w:name="_Toc513793959"/>
      <w:bookmarkStart w:id="875" w:name="_Toc22056"/>
      <w:bookmarkStart w:id="876" w:name="_Toc152045656"/>
      <w:bookmarkStart w:id="877" w:name="_Toc11615"/>
      <w:bookmarkStart w:id="878" w:name="_Toc12668"/>
      <w:bookmarkStart w:id="879" w:name="_Toc25928"/>
      <w:bookmarkStart w:id="880" w:name="_Toc7539"/>
      <w:bookmarkStart w:id="881" w:name="_Toc16954"/>
      <w:bookmarkStart w:id="882" w:name="_Toc11875"/>
      <w:bookmarkStart w:id="883" w:name="_Toc19574"/>
      <w:bookmarkStart w:id="884" w:name="_Toc7289"/>
      <w:r>
        <w:rPr>
          <w:rFonts w:hint="eastAsia"/>
          <w:b/>
          <w:bCs/>
          <w:color w:val="auto"/>
          <w:sz w:val="24"/>
          <w:szCs w:val="24"/>
          <w:highlight w:val="none"/>
        </w:rPr>
        <w:t>6. 施工设备和临时设施</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adjustRightInd w:val="0"/>
        <w:snapToGrid w:val="0"/>
        <w:spacing w:line="360" w:lineRule="auto"/>
        <w:rPr>
          <w:b/>
          <w:bCs/>
          <w:color w:val="auto"/>
          <w:sz w:val="24"/>
          <w:szCs w:val="24"/>
          <w:highlight w:val="none"/>
        </w:rPr>
      </w:pPr>
      <w:bookmarkStart w:id="885" w:name="_Toc179632675"/>
      <w:bookmarkStart w:id="886" w:name="_Toc152042435"/>
      <w:bookmarkStart w:id="887" w:name="_Toc144974625"/>
      <w:bookmarkStart w:id="888" w:name="_Toc513793960"/>
      <w:bookmarkStart w:id="889" w:name="_Toc152045657"/>
      <w:r>
        <w:rPr>
          <w:rFonts w:hint="eastAsia"/>
          <w:b/>
          <w:bCs/>
          <w:color w:val="auto"/>
          <w:sz w:val="24"/>
          <w:szCs w:val="24"/>
          <w:highlight w:val="none"/>
        </w:rPr>
        <w:t>6.1 承包人提供的施工设备和临时设施</w:t>
      </w:r>
      <w:bookmarkEnd w:id="885"/>
      <w:bookmarkEnd w:id="886"/>
      <w:bookmarkEnd w:id="887"/>
      <w:bookmarkEnd w:id="888"/>
      <w:bookmarkEnd w:id="88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6.1.2除专用合同条款另有约定外，承包人应自行承担修建临时设施的费用，需要临时占地的，应由发包人办理申请手续并承担相应费用。</w:t>
      </w:r>
    </w:p>
    <w:p>
      <w:pPr>
        <w:adjustRightInd w:val="0"/>
        <w:snapToGrid w:val="0"/>
        <w:spacing w:line="360" w:lineRule="auto"/>
        <w:rPr>
          <w:b/>
          <w:bCs/>
          <w:color w:val="auto"/>
          <w:sz w:val="24"/>
          <w:szCs w:val="24"/>
          <w:highlight w:val="none"/>
        </w:rPr>
      </w:pPr>
      <w:bookmarkStart w:id="890" w:name="_Toc152045658"/>
      <w:bookmarkStart w:id="891" w:name="_Toc513793961"/>
      <w:bookmarkStart w:id="892" w:name="_Toc152042436"/>
      <w:bookmarkStart w:id="893" w:name="_Toc144974626"/>
      <w:bookmarkStart w:id="894" w:name="_Toc179632676"/>
      <w:r>
        <w:rPr>
          <w:rFonts w:hint="eastAsia"/>
          <w:b/>
          <w:bCs/>
          <w:color w:val="auto"/>
          <w:sz w:val="24"/>
          <w:szCs w:val="24"/>
          <w:highlight w:val="none"/>
        </w:rPr>
        <w:t>6.2 发包人提供的施工设备和临时设施</w:t>
      </w:r>
      <w:bookmarkEnd w:id="890"/>
      <w:bookmarkEnd w:id="891"/>
      <w:bookmarkEnd w:id="892"/>
      <w:bookmarkEnd w:id="893"/>
      <w:bookmarkEnd w:id="89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发包人提供的施工设备或临时设施在专用合同条款中约定。</w:t>
      </w:r>
    </w:p>
    <w:p>
      <w:pPr>
        <w:adjustRightInd w:val="0"/>
        <w:snapToGrid w:val="0"/>
        <w:spacing w:line="360" w:lineRule="auto"/>
        <w:rPr>
          <w:b/>
          <w:bCs/>
          <w:color w:val="auto"/>
          <w:sz w:val="24"/>
          <w:szCs w:val="24"/>
          <w:highlight w:val="none"/>
        </w:rPr>
      </w:pPr>
      <w:bookmarkStart w:id="895" w:name="_Toc144974627"/>
      <w:bookmarkStart w:id="896" w:name="_Toc513793962"/>
      <w:bookmarkStart w:id="897" w:name="_Toc152045659"/>
      <w:bookmarkStart w:id="898" w:name="_Toc179632677"/>
      <w:bookmarkStart w:id="899" w:name="_Toc152042437"/>
      <w:r>
        <w:rPr>
          <w:rFonts w:hint="eastAsia"/>
          <w:b/>
          <w:bCs/>
          <w:color w:val="auto"/>
          <w:sz w:val="24"/>
          <w:szCs w:val="24"/>
          <w:highlight w:val="none"/>
        </w:rPr>
        <w:t>6.3 要求承包人增加或更换施工设备</w:t>
      </w:r>
      <w:bookmarkEnd w:id="895"/>
      <w:bookmarkEnd w:id="896"/>
      <w:bookmarkEnd w:id="897"/>
      <w:bookmarkEnd w:id="898"/>
      <w:bookmarkEnd w:id="89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spacing w:line="360" w:lineRule="auto"/>
        <w:rPr>
          <w:b/>
          <w:bCs/>
          <w:color w:val="auto"/>
          <w:sz w:val="24"/>
          <w:szCs w:val="24"/>
          <w:highlight w:val="none"/>
        </w:rPr>
      </w:pPr>
      <w:bookmarkStart w:id="900" w:name="_Toc152042438"/>
      <w:bookmarkStart w:id="901" w:name="_Toc144974628"/>
      <w:bookmarkStart w:id="902" w:name="_Toc152045660"/>
      <w:bookmarkStart w:id="903" w:name="_Toc513793963"/>
      <w:bookmarkStart w:id="904" w:name="_Toc179632678"/>
      <w:r>
        <w:rPr>
          <w:rFonts w:hint="eastAsia"/>
          <w:b/>
          <w:bCs/>
          <w:color w:val="auto"/>
          <w:sz w:val="24"/>
          <w:szCs w:val="24"/>
          <w:highlight w:val="none"/>
        </w:rPr>
        <w:t>6.4 施工设备和临时设施专用于合同工程</w:t>
      </w:r>
      <w:bookmarkEnd w:id="900"/>
      <w:bookmarkEnd w:id="901"/>
      <w:bookmarkEnd w:id="902"/>
      <w:bookmarkEnd w:id="903"/>
      <w:bookmarkEnd w:id="90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6.4.2 经监理人同意，承包人可根据合同进度计划撤走闲置的施工设备。</w:t>
      </w:r>
    </w:p>
    <w:p>
      <w:pPr>
        <w:adjustRightInd w:val="0"/>
        <w:snapToGrid w:val="0"/>
        <w:spacing w:line="360" w:lineRule="auto"/>
        <w:outlineLvl w:val="2"/>
        <w:rPr>
          <w:b/>
          <w:bCs/>
          <w:color w:val="auto"/>
          <w:sz w:val="24"/>
          <w:szCs w:val="24"/>
          <w:highlight w:val="none"/>
        </w:rPr>
      </w:pPr>
      <w:bookmarkStart w:id="905" w:name="_Toc179632679"/>
      <w:bookmarkStart w:id="906" w:name="_Toc28858"/>
      <w:bookmarkStart w:id="907" w:name="_Toc12404"/>
      <w:bookmarkStart w:id="908" w:name="_Toc152042439"/>
      <w:bookmarkStart w:id="909" w:name="_Toc513793964"/>
      <w:bookmarkStart w:id="910" w:name="_Toc30060"/>
      <w:bookmarkStart w:id="911" w:name="_Toc25310"/>
      <w:bookmarkStart w:id="912" w:name="_Toc17648"/>
      <w:bookmarkStart w:id="913" w:name="_Toc8019"/>
      <w:bookmarkStart w:id="914" w:name="_Toc152045661"/>
      <w:bookmarkStart w:id="915" w:name="_Toc2623"/>
      <w:bookmarkStart w:id="916" w:name="_Toc23989"/>
      <w:bookmarkStart w:id="917" w:name="_Toc30589"/>
      <w:bookmarkStart w:id="918" w:name="_Toc31941"/>
      <w:bookmarkStart w:id="919" w:name="_Toc144974629"/>
      <w:bookmarkStart w:id="920" w:name="_Toc22657"/>
      <w:bookmarkStart w:id="921" w:name="_Toc9868"/>
      <w:bookmarkStart w:id="922" w:name="_Toc30743"/>
      <w:bookmarkStart w:id="923" w:name="_Toc4021"/>
      <w:r>
        <w:rPr>
          <w:rFonts w:hint="eastAsia"/>
          <w:b/>
          <w:bCs/>
          <w:color w:val="auto"/>
          <w:sz w:val="24"/>
          <w:szCs w:val="24"/>
          <w:highlight w:val="none"/>
        </w:rPr>
        <w:t>7. 交通运输</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adjustRightInd w:val="0"/>
        <w:snapToGrid w:val="0"/>
        <w:spacing w:line="360" w:lineRule="auto"/>
        <w:rPr>
          <w:b/>
          <w:bCs/>
          <w:color w:val="auto"/>
          <w:sz w:val="24"/>
          <w:szCs w:val="24"/>
          <w:highlight w:val="none"/>
        </w:rPr>
      </w:pPr>
      <w:bookmarkStart w:id="924" w:name="_Toc179632680"/>
      <w:bookmarkStart w:id="925" w:name="_Toc513793965"/>
      <w:bookmarkStart w:id="926" w:name="_Toc144974630"/>
      <w:bookmarkStart w:id="927" w:name="_Toc152045662"/>
      <w:bookmarkStart w:id="928" w:name="_Toc152042440"/>
      <w:r>
        <w:rPr>
          <w:rFonts w:hint="eastAsia"/>
          <w:b/>
          <w:bCs/>
          <w:color w:val="auto"/>
          <w:sz w:val="24"/>
          <w:szCs w:val="24"/>
          <w:highlight w:val="none"/>
        </w:rPr>
        <w:t>7.1 道路通行权和场外设施</w:t>
      </w:r>
      <w:bookmarkEnd w:id="924"/>
      <w:bookmarkEnd w:id="925"/>
      <w:bookmarkEnd w:id="926"/>
      <w:bookmarkEnd w:id="927"/>
      <w:bookmarkEnd w:id="92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adjustRightInd w:val="0"/>
        <w:snapToGrid w:val="0"/>
        <w:spacing w:line="360" w:lineRule="auto"/>
        <w:rPr>
          <w:b/>
          <w:bCs/>
          <w:color w:val="auto"/>
          <w:sz w:val="24"/>
          <w:szCs w:val="24"/>
          <w:highlight w:val="none"/>
        </w:rPr>
      </w:pPr>
      <w:bookmarkStart w:id="929" w:name="_Toc513793966"/>
      <w:bookmarkStart w:id="930" w:name="_Toc179632681"/>
      <w:bookmarkStart w:id="931" w:name="_Toc152042441"/>
      <w:bookmarkStart w:id="932" w:name="_Toc152045663"/>
      <w:bookmarkStart w:id="933" w:name="_Toc144974631"/>
      <w:r>
        <w:rPr>
          <w:rFonts w:hint="eastAsia"/>
          <w:b/>
          <w:bCs/>
          <w:color w:val="auto"/>
          <w:sz w:val="24"/>
          <w:szCs w:val="24"/>
          <w:highlight w:val="none"/>
        </w:rPr>
        <w:t>7.2 场内施工道路</w:t>
      </w:r>
      <w:bookmarkEnd w:id="929"/>
      <w:bookmarkEnd w:id="930"/>
      <w:bookmarkEnd w:id="931"/>
      <w:bookmarkEnd w:id="932"/>
      <w:bookmarkEnd w:id="93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7.2.1 除专用合同条款另有约定外，承包人应负责修建、维修、养护和管理施工所需的临时道路和交通设施，包括维修、养护和管理发包人提供的道路和交通设施，并承担相应费用。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7.2.2 除专用合同条款另有约定外，承包人修建的临时道路和交通设施应免费提供发包人和监理人使用。</w:t>
      </w:r>
    </w:p>
    <w:p>
      <w:pPr>
        <w:adjustRightInd w:val="0"/>
        <w:snapToGrid w:val="0"/>
        <w:spacing w:line="360" w:lineRule="auto"/>
        <w:rPr>
          <w:b/>
          <w:bCs/>
          <w:color w:val="auto"/>
          <w:sz w:val="24"/>
          <w:szCs w:val="24"/>
          <w:highlight w:val="none"/>
        </w:rPr>
      </w:pPr>
      <w:bookmarkStart w:id="934" w:name="_Toc179632682"/>
      <w:bookmarkStart w:id="935" w:name="_Toc513793967"/>
      <w:bookmarkStart w:id="936" w:name="_Toc152045664"/>
      <w:bookmarkStart w:id="937" w:name="_Toc144974632"/>
      <w:bookmarkStart w:id="938" w:name="_Toc152042442"/>
      <w:r>
        <w:rPr>
          <w:rFonts w:hint="eastAsia"/>
          <w:b/>
          <w:bCs/>
          <w:color w:val="auto"/>
          <w:sz w:val="24"/>
          <w:szCs w:val="24"/>
          <w:highlight w:val="none"/>
        </w:rPr>
        <w:t>7.3 场外交通</w:t>
      </w:r>
      <w:bookmarkEnd w:id="934"/>
      <w:bookmarkEnd w:id="935"/>
      <w:bookmarkEnd w:id="936"/>
      <w:bookmarkEnd w:id="937"/>
      <w:bookmarkEnd w:id="93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7.3.1 承包人车辆外出行驶所需的场外公共道路的通行费、养路费和税款等由承包人承担。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7.3.2 承包人应遵守有关交通法规，严格按照道路和桥梁的限制荷重安全行驶，并服从交通管理部门的检查和监督。</w:t>
      </w:r>
    </w:p>
    <w:p>
      <w:pPr>
        <w:adjustRightInd w:val="0"/>
        <w:snapToGrid w:val="0"/>
        <w:spacing w:line="360" w:lineRule="auto"/>
        <w:rPr>
          <w:b/>
          <w:bCs/>
          <w:color w:val="auto"/>
          <w:sz w:val="24"/>
          <w:szCs w:val="24"/>
          <w:highlight w:val="none"/>
        </w:rPr>
      </w:pPr>
      <w:bookmarkStart w:id="939" w:name="_Toc144974633"/>
      <w:bookmarkStart w:id="940" w:name="_Toc513793968"/>
      <w:bookmarkStart w:id="941" w:name="_Toc152042443"/>
      <w:bookmarkStart w:id="942" w:name="_Toc179632683"/>
      <w:bookmarkStart w:id="943" w:name="_Toc152045665"/>
      <w:r>
        <w:rPr>
          <w:rFonts w:hint="eastAsia"/>
          <w:b/>
          <w:bCs/>
          <w:color w:val="auto"/>
          <w:sz w:val="24"/>
          <w:szCs w:val="24"/>
          <w:highlight w:val="none"/>
        </w:rPr>
        <w:t>7.4 超大件和超重件的运输</w:t>
      </w:r>
      <w:bookmarkEnd w:id="939"/>
      <w:bookmarkEnd w:id="940"/>
      <w:bookmarkEnd w:id="941"/>
      <w:bookmarkEnd w:id="942"/>
      <w:bookmarkEnd w:id="94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60" w:lineRule="auto"/>
        <w:rPr>
          <w:b/>
          <w:bCs/>
          <w:color w:val="auto"/>
          <w:sz w:val="24"/>
          <w:szCs w:val="24"/>
          <w:highlight w:val="none"/>
        </w:rPr>
      </w:pPr>
      <w:bookmarkStart w:id="944" w:name="_Toc513793969"/>
      <w:bookmarkStart w:id="945" w:name="_Toc152045666"/>
      <w:bookmarkStart w:id="946" w:name="_Toc144974634"/>
      <w:bookmarkStart w:id="947" w:name="_Toc152042444"/>
      <w:bookmarkStart w:id="948" w:name="_Toc179632684"/>
      <w:r>
        <w:rPr>
          <w:rFonts w:hint="eastAsia"/>
          <w:b/>
          <w:bCs/>
          <w:color w:val="auto"/>
          <w:sz w:val="24"/>
          <w:szCs w:val="24"/>
          <w:highlight w:val="none"/>
        </w:rPr>
        <w:t>7.5 道路和桥梁的损坏责任</w:t>
      </w:r>
      <w:bookmarkEnd w:id="944"/>
      <w:bookmarkEnd w:id="945"/>
      <w:bookmarkEnd w:id="946"/>
      <w:bookmarkEnd w:id="947"/>
      <w:bookmarkEnd w:id="94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因承包人运输造成施工场地内外公共道路和桥梁损坏的，由承包人承担修复损坏的全部费用和可能引起的赔偿。</w:t>
      </w:r>
    </w:p>
    <w:p>
      <w:pPr>
        <w:adjustRightInd w:val="0"/>
        <w:snapToGrid w:val="0"/>
        <w:spacing w:line="360" w:lineRule="auto"/>
        <w:rPr>
          <w:b/>
          <w:bCs/>
          <w:color w:val="auto"/>
          <w:sz w:val="24"/>
          <w:szCs w:val="24"/>
          <w:highlight w:val="none"/>
        </w:rPr>
      </w:pPr>
      <w:bookmarkStart w:id="949" w:name="_Toc144974635"/>
      <w:bookmarkStart w:id="950" w:name="_Toc513793970"/>
      <w:bookmarkStart w:id="951" w:name="_Toc152042445"/>
      <w:bookmarkStart w:id="952" w:name="_Toc179632685"/>
      <w:bookmarkStart w:id="953" w:name="_Toc152045667"/>
      <w:r>
        <w:rPr>
          <w:rFonts w:hint="eastAsia"/>
          <w:b/>
          <w:bCs/>
          <w:color w:val="auto"/>
          <w:sz w:val="24"/>
          <w:szCs w:val="24"/>
          <w:highlight w:val="none"/>
        </w:rPr>
        <w:t>7.6 水路和航空运输</w:t>
      </w:r>
      <w:bookmarkEnd w:id="949"/>
      <w:bookmarkEnd w:id="950"/>
      <w:bookmarkEnd w:id="951"/>
      <w:bookmarkEnd w:id="952"/>
      <w:bookmarkEnd w:id="95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60" w:lineRule="auto"/>
        <w:outlineLvl w:val="2"/>
        <w:rPr>
          <w:b/>
          <w:bCs/>
          <w:color w:val="auto"/>
          <w:sz w:val="24"/>
          <w:szCs w:val="24"/>
          <w:highlight w:val="none"/>
        </w:rPr>
      </w:pPr>
      <w:bookmarkStart w:id="954" w:name="_Toc179632686"/>
      <w:bookmarkStart w:id="955" w:name="_Toc3952"/>
      <w:bookmarkStart w:id="956" w:name="_Toc513793971"/>
      <w:bookmarkStart w:id="957" w:name="_Toc31857"/>
      <w:bookmarkStart w:id="958" w:name="_Toc3700"/>
      <w:bookmarkStart w:id="959" w:name="_Toc18632"/>
      <w:bookmarkStart w:id="960" w:name="_Toc1945"/>
      <w:bookmarkStart w:id="961" w:name="_Toc152042446"/>
      <w:bookmarkStart w:id="962" w:name="_Toc1076"/>
      <w:bookmarkStart w:id="963" w:name="_Toc13963"/>
      <w:bookmarkStart w:id="964" w:name="_Toc29019"/>
      <w:bookmarkStart w:id="965" w:name="_Toc10279"/>
      <w:bookmarkStart w:id="966" w:name="_Toc8695"/>
      <w:bookmarkStart w:id="967" w:name="_Toc20188"/>
      <w:bookmarkStart w:id="968" w:name="_Toc152045668"/>
      <w:bookmarkStart w:id="969" w:name="_Toc11318"/>
      <w:bookmarkStart w:id="970" w:name="_Toc25012"/>
      <w:bookmarkStart w:id="971" w:name="_Toc144974636"/>
      <w:bookmarkStart w:id="972" w:name="_Toc25903"/>
      <w:r>
        <w:rPr>
          <w:rFonts w:hint="eastAsia"/>
          <w:b/>
          <w:bCs/>
          <w:color w:val="auto"/>
          <w:sz w:val="24"/>
          <w:szCs w:val="24"/>
          <w:highlight w:val="none"/>
        </w:rPr>
        <w:t>8. 测量放线</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adjustRightInd w:val="0"/>
        <w:snapToGrid w:val="0"/>
        <w:spacing w:line="360" w:lineRule="auto"/>
        <w:rPr>
          <w:b/>
          <w:bCs/>
          <w:color w:val="auto"/>
          <w:sz w:val="24"/>
          <w:szCs w:val="24"/>
          <w:highlight w:val="none"/>
        </w:rPr>
      </w:pPr>
      <w:bookmarkStart w:id="973" w:name="_Toc152042447"/>
      <w:bookmarkStart w:id="974" w:name="_Toc179632687"/>
      <w:bookmarkStart w:id="975" w:name="_Toc513793972"/>
      <w:bookmarkStart w:id="976" w:name="_Toc144974637"/>
      <w:bookmarkStart w:id="977" w:name="_Toc152045669"/>
      <w:r>
        <w:rPr>
          <w:rFonts w:hint="eastAsia"/>
          <w:b/>
          <w:bCs/>
          <w:color w:val="auto"/>
          <w:sz w:val="24"/>
          <w:szCs w:val="24"/>
          <w:highlight w:val="none"/>
        </w:rPr>
        <w:t>8.1 施工控制网</w:t>
      </w:r>
      <w:bookmarkEnd w:id="973"/>
      <w:bookmarkEnd w:id="974"/>
      <w:bookmarkEnd w:id="975"/>
      <w:bookmarkEnd w:id="976"/>
      <w:bookmarkEnd w:id="97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8.1.2承包人应负责管理施工控制网点。施工控制网点丢失或损坏的，承包人应及时修复。承包人应承担施工控制网点的管理与修复费用，并在工程竣工后将施工控制网点移交发包人。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60" w:lineRule="auto"/>
        <w:rPr>
          <w:b/>
          <w:bCs/>
          <w:color w:val="auto"/>
          <w:sz w:val="24"/>
          <w:szCs w:val="24"/>
          <w:highlight w:val="none"/>
        </w:rPr>
      </w:pPr>
      <w:bookmarkStart w:id="978" w:name="_Toc179632688"/>
      <w:bookmarkStart w:id="979" w:name="_Toc152045670"/>
      <w:bookmarkStart w:id="980" w:name="_Toc144974638"/>
      <w:bookmarkStart w:id="981" w:name="_Toc513793973"/>
      <w:bookmarkStart w:id="982" w:name="_Toc152042448"/>
      <w:r>
        <w:rPr>
          <w:rFonts w:hint="eastAsia"/>
          <w:b/>
          <w:bCs/>
          <w:color w:val="auto"/>
          <w:sz w:val="24"/>
          <w:szCs w:val="24"/>
          <w:highlight w:val="none"/>
        </w:rPr>
        <w:t>8.2 施工测量</w:t>
      </w:r>
      <w:bookmarkEnd w:id="978"/>
      <w:bookmarkEnd w:id="979"/>
      <w:bookmarkEnd w:id="980"/>
      <w:bookmarkEnd w:id="981"/>
      <w:bookmarkEnd w:id="98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8.2.1承包人应负责施工过程中的全部施工测量放线工作，并配置合格的人员、仪器、设备和其他物品。</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8.2.2监理人可以指示承包人进行抽样复测，当复测中发现错误或出现超过合同约定的误差时，承包人应按监理人指示进行修正或补测，并承担相应的复测费用。</w:t>
      </w:r>
    </w:p>
    <w:p>
      <w:pPr>
        <w:adjustRightInd w:val="0"/>
        <w:snapToGrid w:val="0"/>
        <w:spacing w:line="360" w:lineRule="auto"/>
        <w:rPr>
          <w:b/>
          <w:bCs/>
          <w:color w:val="auto"/>
          <w:sz w:val="24"/>
          <w:szCs w:val="24"/>
          <w:highlight w:val="none"/>
        </w:rPr>
      </w:pPr>
      <w:bookmarkStart w:id="983" w:name="_Toc152042449"/>
      <w:bookmarkStart w:id="984" w:name="_Toc144974639"/>
      <w:bookmarkStart w:id="985" w:name="_Toc513793974"/>
      <w:bookmarkStart w:id="986" w:name="_Toc179632689"/>
      <w:bookmarkStart w:id="987" w:name="_Toc152045671"/>
      <w:r>
        <w:rPr>
          <w:rFonts w:hint="eastAsia"/>
          <w:b/>
          <w:bCs/>
          <w:color w:val="auto"/>
          <w:sz w:val="24"/>
          <w:szCs w:val="24"/>
          <w:highlight w:val="none"/>
        </w:rPr>
        <w:t>8.3 基准资料错误的责任</w:t>
      </w:r>
      <w:bookmarkEnd w:id="983"/>
      <w:bookmarkEnd w:id="984"/>
      <w:bookmarkEnd w:id="985"/>
      <w:bookmarkEnd w:id="986"/>
      <w:bookmarkEnd w:id="98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spacing w:line="360" w:lineRule="auto"/>
        <w:rPr>
          <w:b/>
          <w:bCs/>
          <w:color w:val="auto"/>
          <w:sz w:val="24"/>
          <w:szCs w:val="24"/>
          <w:highlight w:val="none"/>
        </w:rPr>
      </w:pPr>
      <w:bookmarkStart w:id="988" w:name="_Toc144974640"/>
      <w:bookmarkStart w:id="989" w:name="_Toc152042450"/>
      <w:bookmarkStart w:id="990" w:name="_Toc152045672"/>
      <w:bookmarkStart w:id="991" w:name="_Toc513793975"/>
      <w:bookmarkStart w:id="992" w:name="_Toc179632690"/>
      <w:r>
        <w:rPr>
          <w:rFonts w:hint="eastAsia"/>
          <w:b/>
          <w:bCs/>
          <w:color w:val="auto"/>
          <w:sz w:val="24"/>
          <w:szCs w:val="24"/>
          <w:highlight w:val="none"/>
        </w:rPr>
        <w:t>8.4 监理人使用施工控制网</w:t>
      </w:r>
      <w:bookmarkEnd w:id="988"/>
      <w:bookmarkEnd w:id="989"/>
      <w:bookmarkEnd w:id="990"/>
      <w:bookmarkEnd w:id="991"/>
      <w:bookmarkEnd w:id="992"/>
    </w:p>
    <w:p>
      <w:pPr>
        <w:adjustRightInd w:val="0"/>
        <w:snapToGrid w:val="0"/>
        <w:spacing w:line="360" w:lineRule="auto"/>
        <w:ind w:firstLine="480" w:firstLineChars="200"/>
        <w:rPr>
          <w:dstrike/>
          <w:color w:val="auto"/>
          <w:sz w:val="24"/>
          <w:szCs w:val="24"/>
          <w:highlight w:val="none"/>
        </w:rPr>
      </w:pPr>
      <w:r>
        <w:rPr>
          <w:rFonts w:hint="eastAsia"/>
          <w:color w:val="auto"/>
          <w:sz w:val="24"/>
          <w:szCs w:val="24"/>
          <w:highlight w:val="none"/>
        </w:rPr>
        <w:t>监理人需要使用施工控制网的，承包人应提供必要的协助，发包人不再为此支付费用。</w:t>
      </w:r>
    </w:p>
    <w:p>
      <w:pPr>
        <w:adjustRightInd w:val="0"/>
        <w:snapToGrid w:val="0"/>
        <w:spacing w:line="360" w:lineRule="auto"/>
        <w:outlineLvl w:val="2"/>
        <w:rPr>
          <w:b/>
          <w:bCs/>
          <w:color w:val="auto"/>
          <w:sz w:val="24"/>
          <w:szCs w:val="24"/>
          <w:highlight w:val="none"/>
        </w:rPr>
      </w:pPr>
      <w:bookmarkStart w:id="993" w:name="_Toc18254"/>
      <w:bookmarkStart w:id="994" w:name="_Toc7124"/>
      <w:bookmarkStart w:id="995" w:name="_Toc18737"/>
      <w:bookmarkStart w:id="996" w:name="_Toc144974641"/>
      <w:bookmarkStart w:id="997" w:name="_Toc513793976"/>
      <w:bookmarkStart w:id="998" w:name="_Toc3383"/>
      <w:bookmarkStart w:id="999" w:name="_Toc179632691"/>
      <w:bookmarkStart w:id="1000" w:name="_Toc14288"/>
      <w:bookmarkStart w:id="1001" w:name="_Toc10321"/>
      <w:bookmarkStart w:id="1002" w:name="_Toc10617"/>
      <w:bookmarkStart w:id="1003" w:name="_Toc23030"/>
      <w:bookmarkStart w:id="1004" w:name="_Toc152042451"/>
      <w:bookmarkStart w:id="1005" w:name="_Toc13510"/>
      <w:bookmarkStart w:id="1006" w:name="_Toc19822"/>
      <w:bookmarkStart w:id="1007" w:name="_Toc15367"/>
      <w:bookmarkStart w:id="1008" w:name="_Toc14226"/>
      <w:bookmarkStart w:id="1009" w:name="_Toc10851"/>
      <w:bookmarkStart w:id="1010" w:name="_Toc32061"/>
      <w:bookmarkStart w:id="1011" w:name="_Toc152045673"/>
      <w:r>
        <w:rPr>
          <w:rFonts w:hint="eastAsia"/>
          <w:b/>
          <w:bCs/>
          <w:color w:val="auto"/>
          <w:sz w:val="24"/>
          <w:szCs w:val="24"/>
          <w:highlight w:val="none"/>
        </w:rPr>
        <w:t>9. 施工安全、治安保卫和环境保护</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adjustRightInd w:val="0"/>
        <w:snapToGrid w:val="0"/>
        <w:spacing w:line="360" w:lineRule="auto"/>
        <w:rPr>
          <w:b/>
          <w:bCs/>
          <w:color w:val="auto"/>
          <w:sz w:val="24"/>
          <w:szCs w:val="24"/>
          <w:highlight w:val="none"/>
        </w:rPr>
      </w:pPr>
      <w:bookmarkStart w:id="1012" w:name="_Toc152042452"/>
      <w:bookmarkStart w:id="1013" w:name="_Toc144974642"/>
      <w:bookmarkStart w:id="1014" w:name="_Toc513793977"/>
      <w:bookmarkStart w:id="1015" w:name="_Toc179632692"/>
      <w:bookmarkStart w:id="1016" w:name="_Toc152045674"/>
      <w:r>
        <w:rPr>
          <w:rFonts w:hint="eastAsia"/>
          <w:b/>
          <w:bCs/>
          <w:color w:val="auto"/>
          <w:sz w:val="24"/>
          <w:szCs w:val="24"/>
          <w:highlight w:val="none"/>
        </w:rPr>
        <w:t>9.1 发包人的施工安全责任</w:t>
      </w:r>
      <w:bookmarkEnd w:id="1012"/>
      <w:bookmarkEnd w:id="1013"/>
      <w:bookmarkEnd w:id="1014"/>
      <w:bookmarkEnd w:id="1015"/>
      <w:bookmarkEnd w:id="101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9.1.1 发包人应按合同约定履行安全职责，授权监理人按合同约定的安全工作内容监督、检查承包人安全工作的实施，组织承包人和有关单位进行安全检查。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9.1.2 发包人应对其现场机构雇佣的全部人员的工伤事故承担责任，但由于承包人原因造成发包人人员工伤的，应由承包人承担责任。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9.1.3 发包人应负责赔偿以下各种情况造成的第三者人身伤亡和财产损失：</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（1）工程或工程的任何部分对土地的占用所造成的第三者财产损失；</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（2）由于发包人原因在施工场地及其毗邻地带造成的第三者人身伤亡和财产损失。</w:t>
      </w:r>
    </w:p>
    <w:p>
      <w:pPr>
        <w:adjustRightInd w:val="0"/>
        <w:snapToGrid w:val="0"/>
        <w:spacing w:line="360" w:lineRule="auto"/>
        <w:rPr>
          <w:b/>
          <w:bCs/>
          <w:color w:val="auto"/>
          <w:sz w:val="24"/>
          <w:szCs w:val="24"/>
          <w:highlight w:val="none"/>
        </w:rPr>
      </w:pPr>
      <w:bookmarkStart w:id="1017" w:name="_Toc513793978"/>
      <w:bookmarkStart w:id="1018" w:name="_Toc179632693"/>
      <w:bookmarkStart w:id="1019" w:name="_Toc144974643"/>
      <w:bookmarkStart w:id="1020" w:name="_Toc152042453"/>
      <w:bookmarkStart w:id="1021" w:name="_Toc152045675"/>
      <w:r>
        <w:rPr>
          <w:rFonts w:hint="eastAsia"/>
          <w:b/>
          <w:bCs/>
          <w:color w:val="auto"/>
          <w:sz w:val="24"/>
          <w:szCs w:val="24"/>
          <w:highlight w:val="none"/>
        </w:rPr>
        <w:t>9.2 承包人的施工安全责任</w:t>
      </w:r>
      <w:bookmarkEnd w:id="1017"/>
      <w:bookmarkEnd w:id="1018"/>
      <w:bookmarkEnd w:id="1019"/>
      <w:bookmarkEnd w:id="1020"/>
      <w:bookmarkEnd w:id="102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9.2.1 承包人应按合同约定履行安全职责,执行监理人有关安全工作的指示,并在专用合同条款约定的期限内，按合同约定的安全工作内容，编制施工安全措施计划报送监理人审批。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9.2.2 承包人应加强施工作业安全管理，特别应加强易燃、易爆材料、火工器材、有毒与腐蚀性材料和其他危险品的管理，以及对爆破作业和地下工程施工等危险作业的管理。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9.2.3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9.2.6 承包人应对其履行合同所雇佣的全部人员，包括分包人人员的工伤事故承担责任，但由于发包人原因造成承包人人员工伤事故的，应由发包人承担责任。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9.2.7 由于承包人原因在施工场地内及其毗邻地带造成的第三者人员伤亡和财产损失，由承包人负责赔偿。</w:t>
      </w:r>
    </w:p>
    <w:p>
      <w:pPr>
        <w:adjustRightInd w:val="0"/>
        <w:snapToGrid w:val="0"/>
        <w:spacing w:line="360" w:lineRule="auto"/>
        <w:rPr>
          <w:b/>
          <w:bCs/>
          <w:color w:val="auto"/>
          <w:sz w:val="24"/>
          <w:szCs w:val="24"/>
          <w:highlight w:val="none"/>
        </w:rPr>
      </w:pPr>
      <w:bookmarkStart w:id="1022" w:name="_Toc152042454"/>
      <w:bookmarkStart w:id="1023" w:name="_Toc152045676"/>
      <w:bookmarkStart w:id="1024" w:name="_Toc513793979"/>
      <w:bookmarkStart w:id="1025" w:name="_Toc179632694"/>
      <w:bookmarkStart w:id="1026" w:name="_Toc144974644"/>
      <w:r>
        <w:rPr>
          <w:rFonts w:hint="eastAsia"/>
          <w:b/>
          <w:bCs/>
          <w:color w:val="auto"/>
          <w:sz w:val="24"/>
          <w:szCs w:val="24"/>
          <w:highlight w:val="none"/>
        </w:rPr>
        <w:t>9.3 治安保卫</w:t>
      </w:r>
      <w:bookmarkEnd w:id="1022"/>
      <w:bookmarkEnd w:id="1023"/>
      <w:bookmarkEnd w:id="1024"/>
      <w:bookmarkEnd w:id="1025"/>
      <w:bookmarkEnd w:id="102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9.3.1 除合同另有约定外，发包人应与当地公安部门协商，在现场建立治安管理机构或联防组织，统一管理施工场地的治安保卫事项，履行合同工程的治安保卫职责。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9.3.2 发包人和承包人除应协助现场治安管理机构或联防组织维护施工场地的社会治安外，还应做好包括生活区在内的各自管辖区的治安保卫工作。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60" w:lineRule="auto"/>
        <w:rPr>
          <w:b/>
          <w:bCs/>
          <w:color w:val="auto"/>
          <w:sz w:val="24"/>
          <w:szCs w:val="24"/>
          <w:highlight w:val="none"/>
        </w:rPr>
      </w:pPr>
      <w:bookmarkStart w:id="1027" w:name="_Toc144974645"/>
      <w:bookmarkStart w:id="1028" w:name="_Toc513793980"/>
      <w:bookmarkStart w:id="1029" w:name="_Toc152042455"/>
      <w:bookmarkStart w:id="1030" w:name="_Toc152045677"/>
      <w:bookmarkStart w:id="1031" w:name="_Toc179632695"/>
      <w:r>
        <w:rPr>
          <w:rFonts w:hint="eastAsia"/>
          <w:b/>
          <w:bCs/>
          <w:color w:val="auto"/>
          <w:sz w:val="24"/>
          <w:szCs w:val="24"/>
          <w:highlight w:val="none"/>
        </w:rPr>
        <w:t>9.4 环境保护</w:t>
      </w:r>
      <w:bookmarkEnd w:id="1027"/>
      <w:bookmarkEnd w:id="1028"/>
      <w:bookmarkEnd w:id="1029"/>
      <w:bookmarkEnd w:id="1030"/>
      <w:bookmarkEnd w:id="103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9.4.1 承包人在施工过程中，应遵守有关环境保护的法律，履行合同约定的环境保护义务，并对违反法律和合同约定义务所造成的环境破坏、人身伤害和财产损失负责。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9.4.2 承包人应按合同约定的环保工作内容，编制施工环保措施计划，报送监理人审批。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9.4.4 承包人应按合同约定采取有效措施，对施工开挖的边坡及时进行支护,维护排水设施，并进行水土保护，避免因施工造成的地质灾害。</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9.4.5 承包人应按国家饮用水管理标准定期对饮用水源进行监测，防止施工活动污染饮用水源。</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9.4.6 承包人应按合同约定，加强对噪声、粉尘、废气、废水和废油的控制，努力降低噪声，控制粉尘和废气浓度，做好废水和废油的治理和排放。</w:t>
      </w:r>
    </w:p>
    <w:p>
      <w:pPr>
        <w:adjustRightInd w:val="0"/>
        <w:snapToGrid w:val="0"/>
        <w:spacing w:line="360" w:lineRule="auto"/>
        <w:rPr>
          <w:b/>
          <w:bCs/>
          <w:color w:val="auto"/>
          <w:sz w:val="24"/>
          <w:szCs w:val="24"/>
          <w:highlight w:val="none"/>
        </w:rPr>
      </w:pPr>
      <w:bookmarkStart w:id="1032" w:name="_Toc513793981"/>
      <w:bookmarkStart w:id="1033" w:name="_Toc144974646"/>
      <w:bookmarkStart w:id="1034" w:name="_Toc152042456"/>
      <w:bookmarkStart w:id="1035" w:name="_Toc179632696"/>
      <w:bookmarkStart w:id="1036" w:name="_Toc152045678"/>
      <w:r>
        <w:rPr>
          <w:rFonts w:hint="eastAsia"/>
          <w:b/>
          <w:bCs/>
          <w:color w:val="auto"/>
          <w:sz w:val="24"/>
          <w:szCs w:val="24"/>
          <w:highlight w:val="none"/>
        </w:rPr>
        <w:t>9.5 事故处理</w:t>
      </w:r>
      <w:bookmarkEnd w:id="1032"/>
      <w:bookmarkEnd w:id="1033"/>
      <w:bookmarkEnd w:id="1034"/>
      <w:bookmarkEnd w:id="1035"/>
      <w:bookmarkEnd w:id="103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360" w:lineRule="auto"/>
        <w:outlineLvl w:val="2"/>
        <w:rPr>
          <w:b/>
          <w:bCs/>
          <w:color w:val="auto"/>
          <w:sz w:val="24"/>
          <w:szCs w:val="24"/>
          <w:highlight w:val="none"/>
        </w:rPr>
      </w:pPr>
      <w:bookmarkStart w:id="1037" w:name="_Toc31424"/>
      <w:bookmarkStart w:id="1038" w:name="_Toc513793982"/>
      <w:bookmarkStart w:id="1039" w:name="_Toc9910"/>
      <w:bookmarkStart w:id="1040" w:name="_Toc21351"/>
      <w:bookmarkStart w:id="1041" w:name="_Toc18"/>
      <w:bookmarkStart w:id="1042" w:name="_Toc21803"/>
      <w:bookmarkStart w:id="1043" w:name="_Toc23587"/>
      <w:bookmarkStart w:id="1044" w:name="_Toc29414"/>
      <w:bookmarkStart w:id="1045" w:name="_Toc152045679"/>
      <w:bookmarkStart w:id="1046" w:name="_Toc32492"/>
      <w:bookmarkStart w:id="1047" w:name="_Toc25"/>
      <w:bookmarkStart w:id="1048" w:name="_Toc3573"/>
      <w:bookmarkStart w:id="1049" w:name="_Toc29979"/>
      <w:bookmarkStart w:id="1050" w:name="_Toc152042457"/>
      <w:bookmarkStart w:id="1051" w:name="_Toc31712"/>
      <w:bookmarkStart w:id="1052" w:name="_Toc179632697"/>
      <w:bookmarkStart w:id="1053" w:name="_Toc144974647"/>
      <w:bookmarkStart w:id="1054" w:name="_Toc15176"/>
      <w:bookmarkStart w:id="1055" w:name="_Toc20727"/>
      <w:r>
        <w:rPr>
          <w:rFonts w:hint="eastAsia"/>
          <w:b/>
          <w:bCs/>
          <w:color w:val="auto"/>
          <w:sz w:val="24"/>
          <w:szCs w:val="24"/>
          <w:highlight w:val="none"/>
        </w:rPr>
        <w:t>10. 进度计划</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pPr>
        <w:adjustRightInd w:val="0"/>
        <w:snapToGrid w:val="0"/>
        <w:spacing w:line="360" w:lineRule="auto"/>
        <w:rPr>
          <w:b/>
          <w:bCs/>
          <w:color w:val="auto"/>
          <w:sz w:val="24"/>
          <w:szCs w:val="24"/>
          <w:highlight w:val="none"/>
        </w:rPr>
      </w:pPr>
      <w:bookmarkStart w:id="1056" w:name="_Toc152045680"/>
      <w:bookmarkStart w:id="1057" w:name="_Toc179632698"/>
      <w:bookmarkStart w:id="1058" w:name="_Toc152042458"/>
      <w:bookmarkStart w:id="1059" w:name="_Toc513793983"/>
      <w:bookmarkStart w:id="1060" w:name="_Toc144974648"/>
      <w:r>
        <w:rPr>
          <w:rFonts w:hint="eastAsia"/>
          <w:b/>
          <w:bCs/>
          <w:color w:val="auto"/>
          <w:sz w:val="24"/>
          <w:szCs w:val="24"/>
          <w:highlight w:val="none"/>
        </w:rPr>
        <w:t>10.1 合同进度计划</w:t>
      </w:r>
      <w:bookmarkEnd w:id="1056"/>
      <w:bookmarkEnd w:id="1057"/>
      <w:bookmarkEnd w:id="1058"/>
      <w:bookmarkEnd w:id="1059"/>
      <w:bookmarkEnd w:id="106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adjustRightInd w:val="0"/>
        <w:snapToGrid w:val="0"/>
        <w:spacing w:line="360" w:lineRule="auto"/>
        <w:rPr>
          <w:b/>
          <w:bCs/>
          <w:color w:val="auto"/>
          <w:sz w:val="24"/>
          <w:szCs w:val="24"/>
          <w:highlight w:val="none"/>
        </w:rPr>
      </w:pPr>
      <w:bookmarkStart w:id="1061" w:name="_Toc152042459"/>
      <w:bookmarkStart w:id="1062" w:name="_Toc513793984"/>
      <w:bookmarkStart w:id="1063" w:name="_Toc179632699"/>
      <w:bookmarkStart w:id="1064" w:name="_Toc152045681"/>
      <w:bookmarkStart w:id="1065" w:name="_Toc144974649"/>
      <w:r>
        <w:rPr>
          <w:rFonts w:hint="eastAsia"/>
          <w:b/>
          <w:bCs/>
          <w:color w:val="auto"/>
          <w:sz w:val="24"/>
          <w:szCs w:val="24"/>
          <w:highlight w:val="none"/>
        </w:rPr>
        <w:t>10.2 合同进度计划的修订</w:t>
      </w:r>
      <w:bookmarkEnd w:id="1061"/>
      <w:bookmarkEnd w:id="1062"/>
      <w:bookmarkEnd w:id="1063"/>
      <w:bookmarkEnd w:id="1064"/>
      <w:bookmarkEnd w:id="106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adjustRightInd w:val="0"/>
        <w:snapToGrid w:val="0"/>
        <w:spacing w:line="360" w:lineRule="auto"/>
        <w:outlineLvl w:val="2"/>
        <w:rPr>
          <w:b/>
          <w:bCs/>
          <w:color w:val="auto"/>
          <w:sz w:val="24"/>
          <w:szCs w:val="24"/>
          <w:highlight w:val="none"/>
        </w:rPr>
      </w:pPr>
      <w:bookmarkStart w:id="1066" w:name="_Toc7814"/>
      <w:bookmarkStart w:id="1067" w:name="_Toc152042460"/>
      <w:bookmarkStart w:id="1068" w:name="_Toc19789"/>
      <w:bookmarkStart w:id="1069" w:name="_Toc152045682"/>
      <w:bookmarkStart w:id="1070" w:name="_Toc179632700"/>
      <w:bookmarkStart w:id="1071" w:name="_Toc513793985"/>
      <w:bookmarkStart w:id="1072" w:name="_Toc12608"/>
      <w:bookmarkStart w:id="1073" w:name="_Toc16686"/>
      <w:bookmarkStart w:id="1074" w:name="_Toc24519"/>
      <w:bookmarkStart w:id="1075" w:name="_Toc7128"/>
      <w:bookmarkStart w:id="1076" w:name="_Toc12012"/>
      <w:bookmarkStart w:id="1077" w:name="_Toc7254"/>
      <w:bookmarkStart w:id="1078" w:name="_Toc6506"/>
      <w:bookmarkStart w:id="1079" w:name="_Toc4296"/>
      <w:bookmarkStart w:id="1080" w:name="_Toc1994"/>
      <w:bookmarkStart w:id="1081" w:name="_Toc144974650"/>
      <w:bookmarkStart w:id="1082" w:name="_Toc26494"/>
      <w:bookmarkStart w:id="1083" w:name="_Toc12725"/>
      <w:bookmarkStart w:id="1084" w:name="_Toc13301"/>
      <w:r>
        <w:rPr>
          <w:rFonts w:hint="eastAsia"/>
          <w:b/>
          <w:bCs/>
          <w:color w:val="auto"/>
          <w:sz w:val="24"/>
          <w:szCs w:val="24"/>
          <w:highlight w:val="none"/>
        </w:rPr>
        <w:t>11. 开工和竣工</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adjustRightInd w:val="0"/>
        <w:snapToGrid w:val="0"/>
        <w:spacing w:line="360" w:lineRule="auto"/>
        <w:rPr>
          <w:b/>
          <w:bCs/>
          <w:color w:val="auto"/>
          <w:sz w:val="24"/>
          <w:szCs w:val="24"/>
          <w:highlight w:val="none"/>
        </w:rPr>
      </w:pPr>
      <w:bookmarkStart w:id="1085" w:name="_Toc144974651"/>
      <w:bookmarkStart w:id="1086" w:name="_Toc179632701"/>
      <w:bookmarkStart w:id="1087" w:name="_Toc152042461"/>
      <w:bookmarkStart w:id="1088" w:name="_Toc513793986"/>
      <w:bookmarkStart w:id="1089" w:name="_Toc152045683"/>
      <w:r>
        <w:rPr>
          <w:rFonts w:hint="eastAsia"/>
          <w:b/>
          <w:bCs/>
          <w:color w:val="auto"/>
          <w:sz w:val="24"/>
          <w:szCs w:val="24"/>
          <w:highlight w:val="none"/>
        </w:rPr>
        <w:t>11.1 开工</w:t>
      </w:r>
      <w:bookmarkEnd w:id="1085"/>
      <w:bookmarkEnd w:id="1086"/>
      <w:bookmarkEnd w:id="1087"/>
      <w:bookmarkEnd w:id="1088"/>
      <w:bookmarkEnd w:id="108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adjustRightInd w:val="0"/>
        <w:snapToGrid w:val="0"/>
        <w:spacing w:line="360" w:lineRule="auto"/>
        <w:ind w:firstLine="480" w:firstLineChars="200"/>
        <w:rPr>
          <w:color w:val="auto"/>
          <w:sz w:val="24"/>
          <w:szCs w:val="24"/>
          <w:highlight w:val="none"/>
          <w:shd w:val="pct10" w:color="auto" w:fill="FFFFFF"/>
        </w:rPr>
      </w:pPr>
      <w:r>
        <w:rPr>
          <w:rFonts w:hint="eastAsia"/>
          <w:color w:val="auto"/>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spacing w:line="360" w:lineRule="auto"/>
        <w:rPr>
          <w:b/>
          <w:bCs/>
          <w:color w:val="auto"/>
          <w:sz w:val="24"/>
          <w:szCs w:val="24"/>
          <w:highlight w:val="none"/>
        </w:rPr>
      </w:pPr>
      <w:bookmarkStart w:id="1090" w:name="_Toc152045684"/>
      <w:bookmarkStart w:id="1091" w:name="_Toc152042462"/>
      <w:bookmarkStart w:id="1092" w:name="_Toc144974652"/>
      <w:bookmarkStart w:id="1093" w:name="_Toc513793987"/>
      <w:bookmarkStart w:id="1094" w:name="_Toc179632702"/>
      <w:r>
        <w:rPr>
          <w:rFonts w:hint="eastAsia"/>
          <w:b/>
          <w:bCs/>
          <w:color w:val="auto"/>
          <w:sz w:val="24"/>
          <w:szCs w:val="24"/>
          <w:highlight w:val="none"/>
        </w:rPr>
        <w:t>11.2 竣工</w:t>
      </w:r>
      <w:bookmarkEnd w:id="1090"/>
      <w:bookmarkEnd w:id="1091"/>
      <w:bookmarkEnd w:id="1092"/>
      <w:bookmarkEnd w:id="1093"/>
      <w:bookmarkEnd w:id="109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承包人应在第1.1.4.3目约定的期限内完成合同工程。实际竣工日期在接收证书中写明。</w:t>
      </w:r>
    </w:p>
    <w:p>
      <w:pPr>
        <w:adjustRightInd w:val="0"/>
        <w:snapToGrid w:val="0"/>
        <w:spacing w:line="360" w:lineRule="auto"/>
        <w:rPr>
          <w:b/>
          <w:bCs/>
          <w:color w:val="auto"/>
          <w:sz w:val="24"/>
          <w:szCs w:val="24"/>
          <w:highlight w:val="none"/>
        </w:rPr>
      </w:pPr>
      <w:bookmarkStart w:id="1095" w:name="_Toc144974653"/>
      <w:bookmarkStart w:id="1096" w:name="_Toc513793988"/>
      <w:bookmarkStart w:id="1097" w:name="_Toc152045685"/>
      <w:bookmarkStart w:id="1098" w:name="_Toc152042463"/>
      <w:bookmarkStart w:id="1099" w:name="_Toc179632703"/>
      <w:r>
        <w:rPr>
          <w:rFonts w:hint="eastAsia"/>
          <w:b/>
          <w:bCs/>
          <w:color w:val="auto"/>
          <w:sz w:val="24"/>
          <w:szCs w:val="24"/>
          <w:highlight w:val="none"/>
        </w:rPr>
        <w:t>11.3 发包人的工期延误</w:t>
      </w:r>
      <w:bookmarkEnd w:id="1095"/>
      <w:bookmarkEnd w:id="1096"/>
      <w:bookmarkEnd w:id="1097"/>
      <w:bookmarkEnd w:id="1098"/>
      <w:bookmarkEnd w:id="109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（1）增加合同工作内容；</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（2）改变合同中任何一项工作的质量要求或其他特性；</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（3）发包人迟延提供材料、工程设备或变更交货地点的；</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（4）因发包人原因导致的暂停施工；</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（5）提供图纸延误；</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（6）未按合同约定及时支付预付款、进度款；</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（7）发包人造成工期延误的其他原因。</w:t>
      </w:r>
    </w:p>
    <w:p>
      <w:pPr>
        <w:adjustRightInd w:val="0"/>
        <w:snapToGrid w:val="0"/>
        <w:spacing w:line="360" w:lineRule="auto"/>
        <w:rPr>
          <w:b/>
          <w:bCs/>
          <w:color w:val="auto"/>
          <w:sz w:val="24"/>
          <w:szCs w:val="24"/>
          <w:highlight w:val="none"/>
        </w:rPr>
      </w:pPr>
      <w:bookmarkStart w:id="1100" w:name="_Toc179632704"/>
      <w:bookmarkStart w:id="1101" w:name="_Toc144974654"/>
      <w:bookmarkStart w:id="1102" w:name="_Toc513793989"/>
      <w:bookmarkStart w:id="1103" w:name="_Toc152042464"/>
      <w:bookmarkStart w:id="1104" w:name="_Toc152045686"/>
      <w:r>
        <w:rPr>
          <w:rFonts w:hint="eastAsia"/>
          <w:b/>
          <w:bCs/>
          <w:color w:val="auto"/>
          <w:sz w:val="24"/>
          <w:szCs w:val="24"/>
          <w:highlight w:val="none"/>
        </w:rPr>
        <w:t>11.4 异常恶劣的气候条件</w:t>
      </w:r>
      <w:bookmarkEnd w:id="1100"/>
      <w:bookmarkEnd w:id="1101"/>
      <w:bookmarkEnd w:id="1102"/>
      <w:bookmarkEnd w:id="1103"/>
      <w:bookmarkEnd w:id="1104"/>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由于出现专用合同条款规定的异常恶劣气候的条件导致工期延误的，承包人有权要求发包人延长工期。</w:t>
      </w:r>
    </w:p>
    <w:p>
      <w:pPr>
        <w:adjustRightInd w:val="0"/>
        <w:snapToGrid w:val="0"/>
        <w:spacing w:line="360" w:lineRule="auto"/>
        <w:rPr>
          <w:b/>
          <w:bCs/>
          <w:color w:val="auto"/>
          <w:sz w:val="24"/>
          <w:szCs w:val="24"/>
          <w:highlight w:val="none"/>
        </w:rPr>
      </w:pPr>
      <w:bookmarkStart w:id="1105" w:name="_Toc179632705"/>
      <w:bookmarkStart w:id="1106" w:name="_Toc152042465"/>
      <w:bookmarkStart w:id="1107" w:name="_Toc152045687"/>
      <w:bookmarkStart w:id="1108" w:name="_Toc513793990"/>
      <w:bookmarkStart w:id="1109" w:name="_Toc144974655"/>
      <w:r>
        <w:rPr>
          <w:rFonts w:hint="eastAsia"/>
          <w:b/>
          <w:bCs/>
          <w:color w:val="auto"/>
          <w:sz w:val="24"/>
          <w:szCs w:val="24"/>
          <w:highlight w:val="none"/>
        </w:rPr>
        <w:t>11.5 承包人的工期延误</w:t>
      </w:r>
      <w:bookmarkEnd w:id="1105"/>
      <w:bookmarkEnd w:id="1106"/>
      <w:bookmarkEnd w:id="1107"/>
      <w:bookmarkEnd w:id="1108"/>
      <w:bookmarkEnd w:id="110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spacing w:line="360" w:lineRule="auto"/>
        <w:rPr>
          <w:b/>
          <w:bCs/>
          <w:color w:val="auto"/>
          <w:sz w:val="24"/>
          <w:szCs w:val="24"/>
          <w:highlight w:val="none"/>
        </w:rPr>
      </w:pPr>
      <w:bookmarkStart w:id="1110" w:name="_Toc144974656"/>
      <w:bookmarkStart w:id="1111" w:name="_Toc152042466"/>
      <w:bookmarkStart w:id="1112" w:name="_Toc179632706"/>
      <w:bookmarkStart w:id="1113" w:name="_Toc152045688"/>
      <w:bookmarkStart w:id="1114" w:name="_Toc513793991"/>
      <w:r>
        <w:rPr>
          <w:rFonts w:hint="eastAsia"/>
          <w:b/>
          <w:bCs/>
          <w:color w:val="auto"/>
          <w:sz w:val="24"/>
          <w:szCs w:val="24"/>
          <w:highlight w:val="none"/>
        </w:rPr>
        <w:t>11.6</w:t>
      </w:r>
      <w:bookmarkEnd w:id="1110"/>
      <w:bookmarkStart w:id="1115" w:name="_Toc144974657"/>
      <w:r>
        <w:rPr>
          <w:rFonts w:hint="eastAsia"/>
          <w:b/>
          <w:bCs/>
          <w:color w:val="auto"/>
          <w:sz w:val="24"/>
          <w:szCs w:val="24"/>
          <w:highlight w:val="none"/>
        </w:rPr>
        <w:t>工期提前</w:t>
      </w:r>
      <w:bookmarkEnd w:id="1111"/>
      <w:bookmarkEnd w:id="1112"/>
      <w:bookmarkEnd w:id="1113"/>
      <w:bookmarkEnd w:id="1114"/>
      <w:bookmarkEnd w:id="111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60" w:lineRule="auto"/>
        <w:outlineLvl w:val="2"/>
        <w:rPr>
          <w:b/>
          <w:bCs/>
          <w:color w:val="auto"/>
          <w:sz w:val="24"/>
          <w:szCs w:val="24"/>
          <w:highlight w:val="none"/>
        </w:rPr>
      </w:pPr>
      <w:bookmarkStart w:id="1116" w:name="_Toc18007"/>
      <w:bookmarkStart w:id="1117" w:name="_Toc12528"/>
      <w:bookmarkStart w:id="1118" w:name="_Toc20390"/>
      <w:bookmarkStart w:id="1119" w:name="_Toc13392"/>
      <w:bookmarkStart w:id="1120" w:name="_Toc25400"/>
      <w:bookmarkStart w:id="1121" w:name="_Toc13841"/>
      <w:bookmarkStart w:id="1122" w:name="_Toc7440"/>
      <w:bookmarkStart w:id="1123" w:name="_Toc5261"/>
      <w:bookmarkStart w:id="1124" w:name="_Toc7062"/>
      <w:bookmarkStart w:id="1125" w:name="_Toc152045689"/>
      <w:bookmarkStart w:id="1126" w:name="_Toc144974658"/>
      <w:bookmarkStart w:id="1127" w:name="_Toc513793992"/>
      <w:bookmarkStart w:id="1128" w:name="_Toc179632707"/>
      <w:bookmarkStart w:id="1129" w:name="_Toc16362"/>
      <w:bookmarkStart w:id="1130" w:name="_Toc152042467"/>
      <w:bookmarkStart w:id="1131" w:name="_Toc16880"/>
      <w:bookmarkStart w:id="1132" w:name="_Toc9393"/>
      <w:bookmarkStart w:id="1133" w:name="_Toc14391"/>
      <w:bookmarkStart w:id="1134" w:name="_Toc30115"/>
      <w:r>
        <w:rPr>
          <w:rFonts w:hint="eastAsia"/>
          <w:b/>
          <w:bCs/>
          <w:color w:val="auto"/>
          <w:sz w:val="24"/>
          <w:szCs w:val="24"/>
          <w:highlight w:val="none"/>
        </w:rPr>
        <w:t>12. 暂停施工</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adjustRightInd w:val="0"/>
        <w:snapToGrid w:val="0"/>
        <w:spacing w:line="360" w:lineRule="auto"/>
        <w:rPr>
          <w:b/>
          <w:bCs/>
          <w:color w:val="auto"/>
          <w:sz w:val="24"/>
          <w:szCs w:val="24"/>
          <w:highlight w:val="none"/>
        </w:rPr>
      </w:pPr>
      <w:bookmarkStart w:id="1135" w:name="_Toc144974659"/>
      <w:bookmarkStart w:id="1136" w:name="_Toc513793993"/>
      <w:bookmarkStart w:id="1137" w:name="_Toc152045690"/>
      <w:bookmarkStart w:id="1138" w:name="_Toc179632708"/>
      <w:bookmarkStart w:id="1139" w:name="_Toc152042468"/>
      <w:r>
        <w:rPr>
          <w:rFonts w:hint="eastAsia"/>
          <w:b/>
          <w:bCs/>
          <w:color w:val="auto"/>
          <w:sz w:val="24"/>
          <w:szCs w:val="24"/>
          <w:highlight w:val="none"/>
        </w:rPr>
        <w:t>12.1 承包人暂停施工的责任</w:t>
      </w:r>
      <w:bookmarkEnd w:id="1135"/>
      <w:bookmarkEnd w:id="1136"/>
      <w:bookmarkEnd w:id="1137"/>
      <w:bookmarkEnd w:id="1138"/>
      <w:bookmarkEnd w:id="113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因下列暂停施工增加的费用和（或）工期延误由承包人承担：</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（1）承包人违约引起的暂停施工；</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（2）由于承包人原因为工程合理施工和安全保障所必需的暂停施工；</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（3）承包人擅自暂停施工；</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（4）承包人其他原因引起的暂停施工；</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（5）专用合同条款约定由承包人承担的其他暂停施工。</w:t>
      </w:r>
    </w:p>
    <w:p>
      <w:pPr>
        <w:adjustRightInd w:val="0"/>
        <w:snapToGrid w:val="0"/>
        <w:spacing w:line="360" w:lineRule="auto"/>
        <w:rPr>
          <w:b/>
          <w:bCs/>
          <w:color w:val="auto"/>
          <w:sz w:val="24"/>
          <w:szCs w:val="24"/>
          <w:highlight w:val="none"/>
        </w:rPr>
      </w:pPr>
      <w:bookmarkStart w:id="1140" w:name="_Toc152042469"/>
      <w:bookmarkStart w:id="1141" w:name="_Toc179632709"/>
      <w:bookmarkStart w:id="1142" w:name="_Toc152045691"/>
      <w:bookmarkStart w:id="1143" w:name="_Toc513793994"/>
      <w:bookmarkStart w:id="1144" w:name="_Toc144974660"/>
      <w:r>
        <w:rPr>
          <w:rFonts w:hint="eastAsia"/>
          <w:b/>
          <w:bCs/>
          <w:color w:val="auto"/>
          <w:sz w:val="24"/>
          <w:szCs w:val="24"/>
          <w:highlight w:val="none"/>
        </w:rPr>
        <w:t>12.2 发包人暂停施工的责任</w:t>
      </w:r>
      <w:bookmarkEnd w:id="1140"/>
      <w:bookmarkEnd w:id="1141"/>
      <w:bookmarkEnd w:id="1142"/>
      <w:bookmarkEnd w:id="1143"/>
      <w:bookmarkEnd w:id="114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由于发包人原因引起的暂停施工造成工期延误的，承包人有权要求发包人延长工期和（或）增加费用，并支付合理利润。</w:t>
      </w:r>
    </w:p>
    <w:p>
      <w:pPr>
        <w:adjustRightInd w:val="0"/>
        <w:snapToGrid w:val="0"/>
        <w:spacing w:line="360" w:lineRule="auto"/>
        <w:rPr>
          <w:b/>
          <w:bCs/>
          <w:color w:val="auto"/>
          <w:sz w:val="24"/>
          <w:szCs w:val="24"/>
          <w:highlight w:val="none"/>
        </w:rPr>
      </w:pPr>
      <w:bookmarkStart w:id="1145" w:name="_Toc144974661"/>
      <w:bookmarkStart w:id="1146" w:name="_Toc152042470"/>
      <w:bookmarkStart w:id="1147" w:name="_Toc513793995"/>
      <w:bookmarkStart w:id="1148" w:name="_Toc152045692"/>
      <w:bookmarkStart w:id="1149" w:name="_Toc179632710"/>
      <w:r>
        <w:rPr>
          <w:rFonts w:hint="eastAsia"/>
          <w:b/>
          <w:bCs/>
          <w:color w:val="auto"/>
          <w:sz w:val="24"/>
          <w:szCs w:val="24"/>
          <w:highlight w:val="none"/>
        </w:rPr>
        <w:t>12.3 监理人暂停施工指示</w:t>
      </w:r>
      <w:bookmarkEnd w:id="1145"/>
      <w:bookmarkEnd w:id="1146"/>
      <w:bookmarkEnd w:id="1147"/>
      <w:bookmarkEnd w:id="1148"/>
      <w:bookmarkEnd w:id="114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spacing w:line="360" w:lineRule="auto"/>
        <w:rPr>
          <w:b/>
          <w:bCs/>
          <w:color w:val="auto"/>
          <w:sz w:val="24"/>
          <w:szCs w:val="24"/>
          <w:highlight w:val="none"/>
        </w:rPr>
      </w:pPr>
      <w:bookmarkStart w:id="1150" w:name="_Toc152042471"/>
      <w:bookmarkStart w:id="1151" w:name="_Toc179632711"/>
      <w:bookmarkStart w:id="1152" w:name="_Toc513793996"/>
      <w:bookmarkStart w:id="1153" w:name="_Toc152045693"/>
      <w:bookmarkStart w:id="1154" w:name="_Toc144974662"/>
      <w:r>
        <w:rPr>
          <w:rFonts w:hint="eastAsia"/>
          <w:b/>
          <w:bCs/>
          <w:color w:val="auto"/>
          <w:sz w:val="24"/>
          <w:szCs w:val="24"/>
          <w:highlight w:val="none"/>
        </w:rPr>
        <w:t>12.4 暂停施工后的复工</w:t>
      </w:r>
      <w:bookmarkEnd w:id="1150"/>
      <w:bookmarkEnd w:id="1151"/>
      <w:bookmarkEnd w:id="1152"/>
      <w:bookmarkEnd w:id="1153"/>
      <w:bookmarkEnd w:id="115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60" w:lineRule="auto"/>
        <w:rPr>
          <w:b/>
          <w:bCs/>
          <w:color w:val="auto"/>
          <w:sz w:val="24"/>
          <w:szCs w:val="24"/>
          <w:highlight w:val="none"/>
        </w:rPr>
      </w:pPr>
      <w:bookmarkStart w:id="1155" w:name="_Toc152045694"/>
      <w:bookmarkStart w:id="1156" w:name="_Toc179632712"/>
      <w:bookmarkStart w:id="1157" w:name="_Toc152042472"/>
      <w:bookmarkStart w:id="1158" w:name="_Toc144974663"/>
      <w:bookmarkStart w:id="1159" w:name="_Toc513793997"/>
      <w:r>
        <w:rPr>
          <w:rFonts w:hint="eastAsia"/>
          <w:b/>
          <w:bCs/>
          <w:color w:val="auto"/>
          <w:sz w:val="24"/>
          <w:szCs w:val="24"/>
          <w:highlight w:val="none"/>
        </w:rPr>
        <w:t>12.5 暂停施工持续56天以上</w:t>
      </w:r>
      <w:bookmarkEnd w:id="1155"/>
      <w:bookmarkEnd w:id="1156"/>
      <w:bookmarkEnd w:id="1157"/>
      <w:bookmarkEnd w:id="1158"/>
      <w:bookmarkEnd w:id="1159"/>
    </w:p>
    <w:p>
      <w:pPr>
        <w:adjustRightInd w:val="0"/>
        <w:snapToGrid w:val="0"/>
        <w:spacing w:line="360" w:lineRule="auto"/>
        <w:ind w:firstLine="470" w:firstLineChars="196"/>
        <w:rPr>
          <w:color w:val="auto"/>
          <w:sz w:val="24"/>
          <w:szCs w:val="24"/>
          <w:highlight w:val="none"/>
        </w:rPr>
      </w:pPr>
      <w:r>
        <w:rPr>
          <w:rFonts w:hint="eastAsia"/>
          <w:color w:val="auto"/>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12.5.2 由于承包人责任引起的暂停施工，如承包人在收到监理人暂停施工指示后56天内不认真采取有效的复工措施，造成工期延误，可视为承包人违约，应按第22.1款的规定办理。</w:t>
      </w:r>
    </w:p>
    <w:p>
      <w:pPr>
        <w:adjustRightInd w:val="0"/>
        <w:snapToGrid w:val="0"/>
        <w:spacing w:line="360" w:lineRule="auto"/>
        <w:outlineLvl w:val="2"/>
        <w:rPr>
          <w:b/>
          <w:bCs/>
          <w:color w:val="auto"/>
          <w:sz w:val="24"/>
          <w:szCs w:val="24"/>
          <w:highlight w:val="none"/>
        </w:rPr>
      </w:pPr>
      <w:bookmarkStart w:id="1160" w:name="_Toc17600"/>
      <w:bookmarkStart w:id="1161" w:name="_Toc7669"/>
      <w:bookmarkStart w:id="1162" w:name="_Toc31287"/>
      <w:bookmarkStart w:id="1163" w:name="_Toc179632713"/>
      <w:bookmarkStart w:id="1164" w:name="_Toc26908"/>
      <w:bookmarkStart w:id="1165" w:name="_Toc12304"/>
      <w:bookmarkStart w:id="1166" w:name="_Toc13571"/>
      <w:bookmarkStart w:id="1167" w:name="_Toc152042473"/>
      <w:bookmarkStart w:id="1168" w:name="_Toc10293"/>
      <w:bookmarkStart w:id="1169" w:name="_Toc28457"/>
      <w:bookmarkStart w:id="1170" w:name="_Toc10844"/>
      <w:bookmarkStart w:id="1171" w:name="_Toc24736"/>
      <w:bookmarkStart w:id="1172" w:name="_Toc152045695"/>
      <w:bookmarkStart w:id="1173" w:name="_Toc3042"/>
      <w:bookmarkStart w:id="1174" w:name="_Toc144974664"/>
      <w:bookmarkStart w:id="1175" w:name="_Toc29749"/>
      <w:bookmarkStart w:id="1176" w:name="_Toc13597"/>
      <w:bookmarkStart w:id="1177" w:name="_Toc20590"/>
      <w:bookmarkStart w:id="1178" w:name="_Toc513793998"/>
      <w:r>
        <w:rPr>
          <w:rFonts w:hint="eastAsia"/>
          <w:b/>
          <w:bCs/>
          <w:color w:val="auto"/>
          <w:sz w:val="24"/>
          <w:szCs w:val="24"/>
          <w:highlight w:val="none"/>
        </w:rPr>
        <w:t>13. 工程质量</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pPr>
        <w:adjustRightInd w:val="0"/>
        <w:snapToGrid w:val="0"/>
        <w:spacing w:line="360" w:lineRule="auto"/>
        <w:rPr>
          <w:b/>
          <w:bCs/>
          <w:color w:val="auto"/>
          <w:sz w:val="24"/>
          <w:szCs w:val="24"/>
          <w:highlight w:val="none"/>
        </w:rPr>
      </w:pPr>
      <w:bookmarkStart w:id="1179" w:name="_Toc152045696"/>
      <w:bookmarkStart w:id="1180" w:name="_Toc144974665"/>
      <w:bookmarkStart w:id="1181" w:name="_Toc179632714"/>
      <w:bookmarkStart w:id="1182" w:name="_Toc152042474"/>
      <w:bookmarkStart w:id="1183" w:name="_Toc513793999"/>
      <w:r>
        <w:rPr>
          <w:rFonts w:hint="eastAsia"/>
          <w:b/>
          <w:bCs/>
          <w:color w:val="auto"/>
          <w:sz w:val="24"/>
          <w:szCs w:val="24"/>
          <w:highlight w:val="none"/>
        </w:rPr>
        <w:t>13.1 工程质量要求</w:t>
      </w:r>
      <w:bookmarkEnd w:id="1179"/>
      <w:bookmarkEnd w:id="1180"/>
      <w:bookmarkEnd w:id="1181"/>
      <w:bookmarkEnd w:id="1182"/>
      <w:bookmarkEnd w:id="118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13.1.1 工程质量验收按合同约定验收标准执行。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13.1.2 因承包人原因造成工程质量达不到合同约定验收标准的，监理人有权要求承包人返工直至符合合同要求为止，由此造成的费用增加和（或）工期延误由承包人承担。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13.1.3 因发包人原因造成工程质量达不到合同约定验收标准的，发包人应承担由于承包人返工造成的费用增加和（或）工期延误，并支付承包人合理利润。</w:t>
      </w:r>
    </w:p>
    <w:p>
      <w:pPr>
        <w:adjustRightInd w:val="0"/>
        <w:snapToGrid w:val="0"/>
        <w:spacing w:line="360" w:lineRule="auto"/>
        <w:rPr>
          <w:b/>
          <w:bCs/>
          <w:color w:val="auto"/>
          <w:sz w:val="24"/>
          <w:szCs w:val="24"/>
          <w:highlight w:val="none"/>
        </w:rPr>
      </w:pPr>
      <w:bookmarkStart w:id="1184" w:name="_Toc144974666"/>
      <w:bookmarkStart w:id="1185" w:name="_Toc513794000"/>
      <w:bookmarkStart w:id="1186" w:name="_Toc152045697"/>
      <w:bookmarkStart w:id="1187" w:name="_Toc179632715"/>
      <w:bookmarkStart w:id="1188" w:name="_Toc152042475"/>
      <w:r>
        <w:rPr>
          <w:rFonts w:hint="eastAsia"/>
          <w:b/>
          <w:bCs/>
          <w:color w:val="auto"/>
          <w:sz w:val="24"/>
          <w:szCs w:val="24"/>
          <w:highlight w:val="none"/>
        </w:rPr>
        <w:t>13.2 承包人的质量管理</w:t>
      </w:r>
      <w:bookmarkEnd w:id="1184"/>
      <w:bookmarkEnd w:id="1185"/>
      <w:bookmarkEnd w:id="1186"/>
      <w:bookmarkEnd w:id="1187"/>
      <w:bookmarkEnd w:id="118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13.2.2 承包人应加强对施工人员的质量教育和技术培训，定期考核施工人员的劳动技能，严格执行规范和操作规程。</w:t>
      </w:r>
    </w:p>
    <w:p>
      <w:pPr>
        <w:adjustRightInd w:val="0"/>
        <w:snapToGrid w:val="0"/>
        <w:spacing w:line="360" w:lineRule="auto"/>
        <w:rPr>
          <w:b/>
          <w:bCs/>
          <w:color w:val="auto"/>
          <w:sz w:val="24"/>
          <w:szCs w:val="24"/>
          <w:highlight w:val="none"/>
        </w:rPr>
      </w:pPr>
      <w:bookmarkStart w:id="1189" w:name="_Toc179632716"/>
      <w:bookmarkStart w:id="1190" w:name="_Toc152042476"/>
      <w:bookmarkStart w:id="1191" w:name="_Toc152045698"/>
      <w:bookmarkStart w:id="1192" w:name="_Toc513794001"/>
      <w:bookmarkStart w:id="1193" w:name="_Toc144974667"/>
      <w:r>
        <w:rPr>
          <w:rFonts w:hint="eastAsia"/>
          <w:b/>
          <w:bCs/>
          <w:color w:val="auto"/>
          <w:sz w:val="24"/>
          <w:szCs w:val="24"/>
          <w:highlight w:val="none"/>
        </w:rPr>
        <w:t>13.3 承包人的质量检查</w:t>
      </w:r>
      <w:bookmarkEnd w:id="1189"/>
      <w:bookmarkEnd w:id="1190"/>
      <w:bookmarkEnd w:id="1191"/>
      <w:bookmarkEnd w:id="1192"/>
      <w:bookmarkEnd w:id="119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承包人应按合同约定对材料、工程设备以及工程的所有部位及其施工工艺进行全过程的质量检查和检验，并作详细记录，编制工程质量报表，报送监理人审查。</w:t>
      </w:r>
    </w:p>
    <w:p>
      <w:pPr>
        <w:adjustRightInd w:val="0"/>
        <w:snapToGrid w:val="0"/>
        <w:spacing w:line="360" w:lineRule="auto"/>
        <w:rPr>
          <w:b/>
          <w:bCs/>
          <w:color w:val="auto"/>
          <w:sz w:val="24"/>
          <w:szCs w:val="24"/>
          <w:highlight w:val="none"/>
        </w:rPr>
      </w:pPr>
      <w:bookmarkStart w:id="1194" w:name="_Toc144974668"/>
      <w:bookmarkStart w:id="1195" w:name="_Toc513794002"/>
      <w:bookmarkStart w:id="1196" w:name="_Toc152042477"/>
      <w:bookmarkStart w:id="1197" w:name="_Toc152045699"/>
      <w:bookmarkStart w:id="1198" w:name="_Toc179632717"/>
      <w:r>
        <w:rPr>
          <w:rFonts w:hint="eastAsia"/>
          <w:b/>
          <w:bCs/>
          <w:color w:val="auto"/>
          <w:sz w:val="24"/>
          <w:szCs w:val="24"/>
          <w:highlight w:val="none"/>
        </w:rPr>
        <w:t>13.4 监理人的质量检查</w:t>
      </w:r>
      <w:bookmarkEnd w:id="1194"/>
      <w:bookmarkEnd w:id="1195"/>
      <w:bookmarkEnd w:id="1196"/>
      <w:bookmarkEnd w:id="1197"/>
      <w:bookmarkEnd w:id="119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60" w:lineRule="auto"/>
        <w:rPr>
          <w:b/>
          <w:bCs/>
          <w:color w:val="auto"/>
          <w:sz w:val="24"/>
          <w:szCs w:val="24"/>
          <w:highlight w:val="none"/>
        </w:rPr>
      </w:pPr>
      <w:bookmarkStart w:id="1199" w:name="_Toc144974669"/>
      <w:bookmarkStart w:id="1200" w:name="_Toc179632718"/>
      <w:bookmarkStart w:id="1201" w:name="_Toc152042478"/>
      <w:bookmarkStart w:id="1202" w:name="_Toc513794003"/>
      <w:bookmarkStart w:id="1203" w:name="_Toc152045700"/>
      <w:r>
        <w:rPr>
          <w:rFonts w:hint="eastAsia"/>
          <w:b/>
          <w:bCs/>
          <w:color w:val="auto"/>
          <w:sz w:val="24"/>
          <w:szCs w:val="24"/>
          <w:highlight w:val="none"/>
        </w:rPr>
        <w:t>13.5 工程隐蔽部位覆盖前的检查</w:t>
      </w:r>
      <w:bookmarkEnd w:id="1199"/>
      <w:bookmarkEnd w:id="1200"/>
      <w:bookmarkEnd w:id="1201"/>
      <w:bookmarkEnd w:id="1202"/>
      <w:bookmarkEnd w:id="120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13.5.1 通知监理人检查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13.5.2 监理人未到场检查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13.5.3 监理人重新检查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13.5.4 承包人私自覆盖</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承包人未通知监理人到场检查，私自将工程隐蔽部位覆盖的，监理人有权指示承包人钻孔探测或揭开检查，由此增加的费用和（或）工期延误由承包人承担。</w:t>
      </w:r>
    </w:p>
    <w:p>
      <w:pPr>
        <w:adjustRightInd w:val="0"/>
        <w:snapToGrid w:val="0"/>
        <w:spacing w:line="360" w:lineRule="auto"/>
        <w:rPr>
          <w:b/>
          <w:bCs/>
          <w:color w:val="auto"/>
          <w:sz w:val="24"/>
          <w:szCs w:val="24"/>
          <w:highlight w:val="none"/>
        </w:rPr>
      </w:pPr>
      <w:bookmarkStart w:id="1204" w:name="_Toc179632719"/>
      <w:bookmarkStart w:id="1205" w:name="_Toc152042479"/>
      <w:bookmarkStart w:id="1206" w:name="_Toc152045701"/>
      <w:bookmarkStart w:id="1207" w:name="_Toc144974670"/>
      <w:bookmarkStart w:id="1208" w:name="_Toc513794004"/>
      <w:r>
        <w:rPr>
          <w:rFonts w:hint="eastAsia"/>
          <w:b/>
          <w:bCs/>
          <w:color w:val="auto"/>
          <w:sz w:val="24"/>
          <w:szCs w:val="24"/>
          <w:highlight w:val="none"/>
        </w:rPr>
        <w:t>13.6 清除不合格工程</w:t>
      </w:r>
      <w:bookmarkEnd w:id="1204"/>
      <w:bookmarkEnd w:id="1205"/>
      <w:bookmarkEnd w:id="1206"/>
      <w:bookmarkEnd w:id="1207"/>
      <w:bookmarkEnd w:id="120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13.6.2 由于发包人提供的材料或工程设备不合格造成的工程不合格，需要承包人采取措施补救的，发包人应承担由此增加的费用和（或）工期延误，并支付承包人合理利润。</w:t>
      </w:r>
    </w:p>
    <w:p>
      <w:pPr>
        <w:adjustRightInd w:val="0"/>
        <w:snapToGrid w:val="0"/>
        <w:spacing w:line="360" w:lineRule="auto"/>
        <w:outlineLvl w:val="2"/>
        <w:rPr>
          <w:b/>
          <w:bCs/>
          <w:color w:val="auto"/>
          <w:sz w:val="24"/>
          <w:szCs w:val="24"/>
          <w:highlight w:val="none"/>
        </w:rPr>
      </w:pPr>
      <w:bookmarkStart w:id="1209" w:name="_Toc144974671"/>
      <w:bookmarkStart w:id="1210" w:name="_Toc22637"/>
      <w:bookmarkStart w:id="1211" w:name="_Toc14638"/>
      <w:bookmarkStart w:id="1212" w:name="_Toc19742"/>
      <w:bookmarkStart w:id="1213" w:name="_Toc18445"/>
      <w:bookmarkStart w:id="1214" w:name="_Toc5744"/>
      <w:bookmarkStart w:id="1215" w:name="_Toc3833"/>
      <w:bookmarkStart w:id="1216" w:name="_Toc513794005"/>
      <w:bookmarkStart w:id="1217" w:name="_Toc5705"/>
      <w:bookmarkStart w:id="1218" w:name="_Toc28803"/>
      <w:bookmarkStart w:id="1219" w:name="_Toc179632720"/>
      <w:bookmarkStart w:id="1220" w:name="_Toc12083"/>
      <w:bookmarkStart w:id="1221" w:name="_Toc1177"/>
      <w:bookmarkStart w:id="1222" w:name="_Toc11187"/>
      <w:bookmarkStart w:id="1223" w:name="_Toc25406"/>
      <w:bookmarkStart w:id="1224" w:name="_Toc152042480"/>
      <w:bookmarkStart w:id="1225" w:name="_Toc13404"/>
      <w:bookmarkStart w:id="1226" w:name="_Toc20892"/>
      <w:bookmarkStart w:id="1227" w:name="_Toc152045702"/>
      <w:r>
        <w:rPr>
          <w:rFonts w:hint="eastAsia"/>
          <w:b/>
          <w:bCs/>
          <w:color w:val="auto"/>
          <w:sz w:val="24"/>
          <w:szCs w:val="24"/>
          <w:highlight w:val="none"/>
        </w:rPr>
        <w:t>14. 试验和检验</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adjustRightInd w:val="0"/>
        <w:snapToGrid w:val="0"/>
        <w:spacing w:line="360" w:lineRule="auto"/>
        <w:rPr>
          <w:b/>
          <w:bCs/>
          <w:color w:val="auto"/>
          <w:sz w:val="24"/>
          <w:szCs w:val="24"/>
          <w:highlight w:val="none"/>
        </w:rPr>
      </w:pPr>
      <w:bookmarkStart w:id="1228" w:name="_Toc152045703"/>
      <w:bookmarkStart w:id="1229" w:name="_Toc144974672"/>
      <w:bookmarkStart w:id="1230" w:name="_Toc179632721"/>
      <w:bookmarkStart w:id="1231" w:name="_Toc152042481"/>
      <w:bookmarkStart w:id="1232" w:name="_Toc513794006"/>
      <w:r>
        <w:rPr>
          <w:rFonts w:hint="eastAsia"/>
          <w:b/>
          <w:bCs/>
          <w:color w:val="auto"/>
          <w:sz w:val="24"/>
          <w:szCs w:val="24"/>
          <w:highlight w:val="none"/>
        </w:rPr>
        <w:t>14.1 材料、工程设备和工程的试验和检验</w:t>
      </w:r>
      <w:bookmarkEnd w:id="1228"/>
      <w:bookmarkEnd w:id="1229"/>
      <w:bookmarkEnd w:id="1230"/>
      <w:bookmarkEnd w:id="1231"/>
      <w:bookmarkEnd w:id="123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14.1.2 监理人未按合同约定派员参加试验和检验的，除监理人另有指示外，承包人可自行试验和检验，并应立即将试验和检验结果报送监理人，监理人应签字确认。</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60" w:lineRule="auto"/>
        <w:rPr>
          <w:b/>
          <w:bCs/>
          <w:color w:val="auto"/>
          <w:sz w:val="24"/>
          <w:szCs w:val="24"/>
          <w:highlight w:val="none"/>
        </w:rPr>
      </w:pPr>
      <w:bookmarkStart w:id="1233" w:name="_Toc152042482"/>
      <w:bookmarkStart w:id="1234" w:name="_Toc152045704"/>
      <w:bookmarkStart w:id="1235" w:name="_Toc144974673"/>
      <w:bookmarkStart w:id="1236" w:name="_Toc179632722"/>
      <w:bookmarkStart w:id="1237" w:name="_Toc513794007"/>
      <w:r>
        <w:rPr>
          <w:rFonts w:hint="eastAsia"/>
          <w:b/>
          <w:bCs/>
          <w:color w:val="auto"/>
          <w:sz w:val="24"/>
          <w:szCs w:val="24"/>
          <w:highlight w:val="none"/>
        </w:rPr>
        <w:t>14.2 现场材料试验</w:t>
      </w:r>
      <w:bookmarkEnd w:id="1233"/>
      <w:bookmarkEnd w:id="1234"/>
      <w:bookmarkEnd w:id="1235"/>
      <w:bookmarkEnd w:id="1236"/>
      <w:bookmarkEnd w:id="123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14.2.1 承包人根据合同约定或监理人指示进行的现场材料试验，应由承包人提供试验场所、试验人员、试验设备器材以及其他必要的试验条件。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14.2.2 监理人在必要时可以使用承包人的试验场所、试验设备器材以及其他试验条件，进行以工程质量检查为目的的复核性材料试验，承包人应予以协助。</w:t>
      </w:r>
    </w:p>
    <w:p>
      <w:pPr>
        <w:adjustRightInd w:val="0"/>
        <w:snapToGrid w:val="0"/>
        <w:spacing w:line="360" w:lineRule="auto"/>
        <w:rPr>
          <w:b/>
          <w:bCs/>
          <w:color w:val="auto"/>
          <w:sz w:val="24"/>
          <w:szCs w:val="24"/>
          <w:highlight w:val="none"/>
        </w:rPr>
      </w:pPr>
      <w:bookmarkStart w:id="1238" w:name="_Toc152042483"/>
      <w:bookmarkStart w:id="1239" w:name="_Toc513794008"/>
      <w:bookmarkStart w:id="1240" w:name="_Toc152045705"/>
      <w:bookmarkStart w:id="1241" w:name="_Toc179632723"/>
      <w:bookmarkStart w:id="1242" w:name="_Toc144974674"/>
      <w:r>
        <w:rPr>
          <w:rFonts w:hint="eastAsia"/>
          <w:b/>
          <w:bCs/>
          <w:color w:val="auto"/>
          <w:sz w:val="24"/>
          <w:szCs w:val="24"/>
          <w:highlight w:val="none"/>
        </w:rPr>
        <w:t>14.3 现场工艺试验</w:t>
      </w:r>
      <w:bookmarkEnd w:id="1238"/>
      <w:bookmarkEnd w:id="1239"/>
      <w:bookmarkEnd w:id="1240"/>
      <w:bookmarkEnd w:id="1241"/>
      <w:bookmarkEnd w:id="124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spacing w:line="360" w:lineRule="auto"/>
        <w:outlineLvl w:val="2"/>
        <w:rPr>
          <w:b/>
          <w:bCs/>
          <w:color w:val="auto"/>
          <w:sz w:val="24"/>
          <w:szCs w:val="24"/>
          <w:highlight w:val="none"/>
        </w:rPr>
      </w:pPr>
      <w:bookmarkStart w:id="1243" w:name="_Toc10562"/>
      <w:bookmarkStart w:id="1244" w:name="_Toc3457"/>
      <w:bookmarkStart w:id="1245" w:name="_Toc152045706"/>
      <w:bookmarkStart w:id="1246" w:name="_Toc8191"/>
      <w:bookmarkStart w:id="1247" w:name="_Toc14478"/>
      <w:bookmarkStart w:id="1248" w:name="_Toc152042484"/>
      <w:bookmarkStart w:id="1249" w:name="_Toc6527"/>
      <w:bookmarkStart w:id="1250" w:name="_Toc15433"/>
      <w:bookmarkStart w:id="1251" w:name="_Toc179632724"/>
      <w:bookmarkStart w:id="1252" w:name="_Toc513794009"/>
      <w:bookmarkStart w:id="1253" w:name="_Toc10532"/>
      <w:bookmarkStart w:id="1254" w:name="_Toc592"/>
      <w:bookmarkStart w:id="1255" w:name="_Toc144974675"/>
      <w:bookmarkStart w:id="1256" w:name="_Toc3808"/>
      <w:bookmarkStart w:id="1257" w:name="_Toc21893"/>
      <w:bookmarkStart w:id="1258" w:name="_Toc31156"/>
      <w:bookmarkStart w:id="1259" w:name="_Toc30964"/>
      <w:bookmarkStart w:id="1260" w:name="_Toc26104"/>
      <w:bookmarkStart w:id="1261" w:name="_Toc6314"/>
      <w:r>
        <w:rPr>
          <w:rFonts w:hint="eastAsia"/>
          <w:b/>
          <w:bCs/>
          <w:color w:val="auto"/>
          <w:sz w:val="24"/>
          <w:szCs w:val="24"/>
          <w:highlight w:val="none"/>
        </w:rPr>
        <w:t>15. 变更</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pPr>
        <w:adjustRightInd w:val="0"/>
        <w:snapToGrid w:val="0"/>
        <w:spacing w:line="360" w:lineRule="auto"/>
        <w:rPr>
          <w:b/>
          <w:bCs/>
          <w:color w:val="auto"/>
          <w:sz w:val="24"/>
          <w:szCs w:val="24"/>
          <w:highlight w:val="none"/>
        </w:rPr>
      </w:pPr>
      <w:bookmarkStart w:id="1262" w:name="_Toc513794010"/>
      <w:bookmarkStart w:id="1263" w:name="_Toc144974676"/>
      <w:bookmarkStart w:id="1264" w:name="_Toc179632725"/>
      <w:bookmarkStart w:id="1265" w:name="_Toc152045707"/>
      <w:bookmarkStart w:id="1266" w:name="_Toc152042485"/>
      <w:r>
        <w:rPr>
          <w:rFonts w:hint="eastAsia"/>
          <w:b/>
          <w:bCs/>
          <w:color w:val="auto"/>
          <w:sz w:val="24"/>
          <w:szCs w:val="24"/>
          <w:highlight w:val="none"/>
        </w:rPr>
        <w:t>15.1 变更的范围和内容</w:t>
      </w:r>
      <w:bookmarkEnd w:id="1262"/>
      <w:bookmarkEnd w:id="1263"/>
      <w:bookmarkEnd w:id="1264"/>
      <w:bookmarkEnd w:id="1265"/>
      <w:bookmarkEnd w:id="126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除专用合同条款另有约定外，在履行合同中发生以下情形之一，应按照本条规定进行变更。</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（1）取消合同中任何一项工作，但被取消的工作不能转由发包人或其他人实施；</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（2）改变合同中任何一项工作的质量或其他特性；</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（3）改变合同工程的基线、标高、位置或尺寸；</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（4）改变合同中任何一项工作的施工时间或改变已批准的施工工艺或顺序；</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（5）为完成工程需要追加的额外工作。</w:t>
      </w:r>
    </w:p>
    <w:p>
      <w:pPr>
        <w:adjustRightInd w:val="0"/>
        <w:snapToGrid w:val="0"/>
        <w:spacing w:line="360" w:lineRule="auto"/>
        <w:rPr>
          <w:b/>
          <w:bCs/>
          <w:color w:val="auto"/>
          <w:sz w:val="24"/>
          <w:szCs w:val="24"/>
          <w:highlight w:val="none"/>
        </w:rPr>
      </w:pPr>
      <w:bookmarkStart w:id="1267" w:name="_Toc144974677"/>
      <w:bookmarkStart w:id="1268" w:name="_Toc513794011"/>
      <w:bookmarkStart w:id="1269" w:name="_Toc152045708"/>
      <w:bookmarkStart w:id="1270" w:name="_Toc152042486"/>
      <w:bookmarkStart w:id="1271" w:name="_Toc179632726"/>
      <w:r>
        <w:rPr>
          <w:rFonts w:hint="eastAsia"/>
          <w:b/>
          <w:bCs/>
          <w:color w:val="auto"/>
          <w:sz w:val="24"/>
          <w:szCs w:val="24"/>
          <w:highlight w:val="none"/>
        </w:rPr>
        <w:t>15.2 变更权</w:t>
      </w:r>
      <w:bookmarkEnd w:id="1267"/>
      <w:bookmarkEnd w:id="1268"/>
      <w:bookmarkEnd w:id="1269"/>
      <w:bookmarkEnd w:id="1270"/>
      <w:bookmarkEnd w:id="127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在履行合同过程中，经发包人同意，监理人可按第15.3款约定的变更程序向承包人作出变更指示，承包人应遵照执行。没有监理人的变更指示，承包人不得擅自变更。</w:t>
      </w:r>
    </w:p>
    <w:p>
      <w:pPr>
        <w:adjustRightInd w:val="0"/>
        <w:snapToGrid w:val="0"/>
        <w:spacing w:line="360" w:lineRule="auto"/>
        <w:rPr>
          <w:b/>
          <w:bCs/>
          <w:color w:val="auto"/>
          <w:sz w:val="24"/>
          <w:szCs w:val="24"/>
          <w:highlight w:val="none"/>
        </w:rPr>
      </w:pPr>
      <w:bookmarkStart w:id="1272" w:name="_Toc152042487"/>
      <w:bookmarkStart w:id="1273" w:name="_Toc179632727"/>
      <w:bookmarkStart w:id="1274" w:name="_Toc144974678"/>
      <w:bookmarkStart w:id="1275" w:name="_Toc152045709"/>
      <w:bookmarkStart w:id="1276" w:name="_Toc513794012"/>
      <w:r>
        <w:rPr>
          <w:rFonts w:hint="eastAsia"/>
          <w:b/>
          <w:bCs/>
          <w:color w:val="auto"/>
          <w:sz w:val="24"/>
          <w:szCs w:val="24"/>
          <w:highlight w:val="none"/>
        </w:rPr>
        <w:t>15.3 变更程序</w:t>
      </w:r>
      <w:bookmarkEnd w:id="1272"/>
      <w:bookmarkEnd w:id="1273"/>
      <w:bookmarkEnd w:id="1274"/>
      <w:bookmarkEnd w:id="1275"/>
      <w:bookmarkEnd w:id="127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15.3.1 变更的提出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（2）在合同履行过程中，发生第15.1款约定情形的，监理人应按照第15.3.3项约定向承包人发出变更指示。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15.3.2 变更估价</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（2）变更工作影响工期的，承包人应提出调整工期的具体细节。监理人认为有必要时，可要求承包人提交要求提前或延长工期的施工进度计划及相应施工措施等详细资料。</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（3）除专用合同条款对期限另有约定外，监理人收到承包人变更报价书后的14天内，根据第15.4款约定的估价原则，按照第3.5款商定或确定变更价格。</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15.3.3 变更指示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（1）变更指示只能由监理人发出。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pPr>
        <w:adjustRightInd w:val="0"/>
        <w:snapToGrid w:val="0"/>
        <w:spacing w:line="360" w:lineRule="auto"/>
        <w:rPr>
          <w:b/>
          <w:bCs/>
          <w:color w:val="auto"/>
          <w:sz w:val="24"/>
          <w:szCs w:val="24"/>
          <w:highlight w:val="none"/>
        </w:rPr>
      </w:pPr>
      <w:bookmarkStart w:id="1277" w:name="_Toc152042488"/>
      <w:bookmarkStart w:id="1278" w:name="_Toc179632728"/>
      <w:bookmarkStart w:id="1279" w:name="_Toc152045710"/>
      <w:bookmarkStart w:id="1280" w:name="_Toc144974679"/>
      <w:bookmarkStart w:id="1281" w:name="_Toc513794013"/>
      <w:r>
        <w:rPr>
          <w:rFonts w:hint="eastAsia"/>
          <w:b/>
          <w:bCs/>
          <w:color w:val="auto"/>
          <w:sz w:val="24"/>
          <w:szCs w:val="24"/>
          <w:highlight w:val="none"/>
        </w:rPr>
        <w:t>15.4 变更的估价原则</w:t>
      </w:r>
      <w:bookmarkEnd w:id="1277"/>
      <w:bookmarkEnd w:id="1278"/>
      <w:bookmarkEnd w:id="1279"/>
      <w:bookmarkEnd w:id="1280"/>
      <w:bookmarkEnd w:id="128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除专用合同条款另有约定外，因变更引起的价格调整按照本款约定处理。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15.4.1 已标价工程量清单中有适用于变更工作的子目的，采用该子目的单价。</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15.4.2 已标价工程量清单中无适用于变更工作的子目，但有类似子目的，可在合理范围内参照类似子目的单价，由监理人按第3.5款商定或确定变更工作的单价。</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15.4.3 已标价工程量清单中无适用或类似子目的单价，可按照成本加利润的原则，由监理人按第3.5款商定或确定变更工作的单价。</w:t>
      </w:r>
    </w:p>
    <w:p>
      <w:pPr>
        <w:adjustRightInd w:val="0"/>
        <w:snapToGrid w:val="0"/>
        <w:spacing w:line="360" w:lineRule="auto"/>
        <w:rPr>
          <w:b/>
          <w:bCs/>
          <w:color w:val="auto"/>
          <w:sz w:val="24"/>
          <w:szCs w:val="24"/>
          <w:highlight w:val="none"/>
        </w:rPr>
      </w:pPr>
      <w:bookmarkStart w:id="1282" w:name="_Toc152042489"/>
      <w:bookmarkStart w:id="1283" w:name="_Toc144974680"/>
      <w:bookmarkStart w:id="1284" w:name="_Toc513794014"/>
      <w:bookmarkStart w:id="1285" w:name="_Toc179632729"/>
      <w:bookmarkStart w:id="1286" w:name="_Toc152045711"/>
      <w:r>
        <w:rPr>
          <w:rFonts w:hint="eastAsia"/>
          <w:b/>
          <w:bCs/>
          <w:color w:val="auto"/>
          <w:sz w:val="24"/>
          <w:szCs w:val="24"/>
          <w:highlight w:val="none"/>
        </w:rPr>
        <w:t>15.5 承包人的合理化建议</w:t>
      </w:r>
      <w:bookmarkEnd w:id="1282"/>
      <w:bookmarkEnd w:id="1283"/>
      <w:bookmarkEnd w:id="1284"/>
      <w:bookmarkEnd w:id="1285"/>
      <w:bookmarkEnd w:id="128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15.5.2 承包人提出的合理化建议降低了合同价格、缩短了工期或者提高了工程经济效益的，发包人可按国家有关规定在专用合同条款中约定给予奖励。</w:t>
      </w:r>
    </w:p>
    <w:p>
      <w:pPr>
        <w:adjustRightInd w:val="0"/>
        <w:snapToGrid w:val="0"/>
        <w:spacing w:line="360" w:lineRule="auto"/>
        <w:rPr>
          <w:b/>
          <w:bCs/>
          <w:color w:val="auto"/>
          <w:sz w:val="24"/>
          <w:szCs w:val="24"/>
          <w:highlight w:val="none"/>
        </w:rPr>
      </w:pPr>
      <w:bookmarkStart w:id="1287" w:name="_Toc179632730"/>
      <w:bookmarkStart w:id="1288" w:name="_Toc152042490"/>
      <w:bookmarkStart w:id="1289" w:name="_Toc513794015"/>
      <w:bookmarkStart w:id="1290" w:name="_Toc152045712"/>
      <w:bookmarkStart w:id="1291" w:name="_Toc144974681"/>
      <w:r>
        <w:rPr>
          <w:rFonts w:hint="eastAsia"/>
          <w:b/>
          <w:bCs/>
          <w:color w:val="auto"/>
          <w:sz w:val="24"/>
          <w:szCs w:val="24"/>
          <w:highlight w:val="none"/>
        </w:rPr>
        <w:t>15.6 暂列金额</w:t>
      </w:r>
      <w:bookmarkEnd w:id="1287"/>
      <w:bookmarkEnd w:id="1288"/>
      <w:bookmarkEnd w:id="1289"/>
      <w:bookmarkEnd w:id="1290"/>
      <w:bookmarkEnd w:id="129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暂列金额只能按照监理人的指示使用，并对合同价格进行相应调整。</w:t>
      </w:r>
    </w:p>
    <w:p>
      <w:pPr>
        <w:adjustRightInd w:val="0"/>
        <w:snapToGrid w:val="0"/>
        <w:spacing w:line="360" w:lineRule="auto"/>
        <w:rPr>
          <w:b/>
          <w:bCs/>
          <w:color w:val="auto"/>
          <w:sz w:val="24"/>
          <w:szCs w:val="24"/>
          <w:highlight w:val="none"/>
        </w:rPr>
      </w:pPr>
      <w:bookmarkStart w:id="1292" w:name="_Toc152045713"/>
      <w:bookmarkStart w:id="1293" w:name="_Toc144974682"/>
      <w:bookmarkStart w:id="1294" w:name="_Toc152042491"/>
      <w:bookmarkStart w:id="1295" w:name="_Toc513794016"/>
      <w:bookmarkStart w:id="1296" w:name="_Toc179632731"/>
      <w:r>
        <w:rPr>
          <w:rFonts w:hint="eastAsia"/>
          <w:b/>
          <w:bCs/>
          <w:color w:val="auto"/>
          <w:sz w:val="24"/>
          <w:szCs w:val="24"/>
          <w:highlight w:val="none"/>
        </w:rPr>
        <w:t>15.7 计日工</w:t>
      </w:r>
      <w:bookmarkEnd w:id="1292"/>
      <w:bookmarkEnd w:id="1293"/>
      <w:bookmarkEnd w:id="1294"/>
      <w:bookmarkEnd w:id="1295"/>
      <w:bookmarkEnd w:id="1296"/>
    </w:p>
    <w:p>
      <w:pPr>
        <w:adjustRightInd w:val="0"/>
        <w:snapToGrid w:val="0"/>
        <w:spacing w:line="360" w:lineRule="auto"/>
        <w:ind w:firstLine="480" w:firstLineChars="200"/>
        <w:rPr>
          <w:color w:val="auto"/>
          <w:sz w:val="24"/>
          <w:szCs w:val="24"/>
          <w:highlight w:val="none"/>
          <w:shd w:val="pct10" w:color="auto" w:fill="FFFFFF"/>
        </w:rPr>
      </w:pPr>
      <w:r>
        <w:rPr>
          <w:rFonts w:hint="eastAsia"/>
          <w:color w:val="auto"/>
          <w:sz w:val="24"/>
          <w:szCs w:val="24"/>
          <w:highlight w:val="none"/>
        </w:rPr>
        <w:t>15.7.1 发包人认为有必要时，由监理人通知承包人以计日工方式实施变更的零星工作。其价款按列入已标价工程量清单中的计日工计价子目及其单价进行计算。</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15.7.2 采用计日工计价的任何一项变更工作，应从暂列金额中支付，承包人应在该项变更的实施过程中，每天提交以下报表和有关凭证报送监理人审批：</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（1）工作名称、内容和数量；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（2）投入该工作所有人员的姓名、工种、级别和耗用工时；</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（3）投入该工作的材料类别和数量；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（4）投入该工作的施工设备型号、台数和耗用台时；</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（5）监理人要求提交的其他资料和凭证。</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15.7.3 计日工由承包人汇总后，按第17.3.2项的约定列入进度付款申请单，由监理人复核并经发包人同意后列入进度付款。</w:t>
      </w:r>
    </w:p>
    <w:p>
      <w:pPr>
        <w:adjustRightInd w:val="0"/>
        <w:snapToGrid w:val="0"/>
        <w:spacing w:line="360" w:lineRule="auto"/>
        <w:rPr>
          <w:b/>
          <w:bCs/>
          <w:color w:val="auto"/>
          <w:sz w:val="24"/>
          <w:szCs w:val="24"/>
          <w:highlight w:val="none"/>
        </w:rPr>
      </w:pPr>
      <w:bookmarkStart w:id="1297" w:name="_Toc179632732"/>
      <w:bookmarkStart w:id="1298" w:name="_Toc144974683"/>
      <w:bookmarkStart w:id="1299" w:name="_Toc152042492"/>
      <w:bookmarkStart w:id="1300" w:name="_Toc513794017"/>
      <w:bookmarkStart w:id="1301" w:name="_Toc152045714"/>
      <w:r>
        <w:rPr>
          <w:rFonts w:hint="eastAsia"/>
          <w:b/>
          <w:bCs/>
          <w:color w:val="auto"/>
          <w:sz w:val="24"/>
          <w:szCs w:val="24"/>
          <w:highlight w:val="none"/>
        </w:rPr>
        <w:t>15.8 暂估价</w:t>
      </w:r>
      <w:bookmarkEnd w:id="1297"/>
      <w:bookmarkEnd w:id="1298"/>
      <w:bookmarkEnd w:id="1299"/>
      <w:bookmarkEnd w:id="1300"/>
      <w:bookmarkEnd w:id="1301"/>
    </w:p>
    <w:p>
      <w:pPr>
        <w:adjustRightInd w:val="0"/>
        <w:snapToGrid w:val="0"/>
        <w:spacing w:line="360" w:lineRule="auto"/>
        <w:rPr>
          <w:color w:val="auto"/>
          <w:sz w:val="24"/>
          <w:szCs w:val="24"/>
          <w:highlight w:val="none"/>
        </w:rPr>
      </w:pPr>
      <w:r>
        <w:rPr>
          <w:rFonts w:hint="eastAsia"/>
          <w:color w:val="auto"/>
          <w:sz w:val="24"/>
          <w:szCs w:val="24"/>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adjustRightInd w:val="0"/>
        <w:snapToGrid w:val="0"/>
        <w:spacing w:line="360" w:lineRule="auto"/>
        <w:outlineLvl w:val="2"/>
        <w:rPr>
          <w:b/>
          <w:bCs/>
          <w:color w:val="auto"/>
          <w:sz w:val="24"/>
          <w:szCs w:val="24"/>
          <w:highlight w:val="none"/>
        </w:rPr>
      </w:pPr>
      <w:bookmarkStart w:id="1302" w:name="_Toc152045715"/>
      <w:bookmarkStart w:id="1303" w:name="_Toc2003"/>
      <w:bookmarkStart w:id="1304" w:name="_Toc27369"/>
      <w:bookmarkStart w:id="1305" w:name="_Toc152042493"/>
      <w:bookmarkStart w:id="1306" w:name="_Toc6267"/>
      <w:bookmarkStart w:id="1307" w:name="_Toc12851"/>
      <w:bookmarkStart w:id="1308" w:name="_Toc6568"/>
      <w:bookmarkStart w:id="1309" w:name="_Toc179632733"/>
      <w:bookmarkStart w:id="1310" w:name="_Toc24542"/>
      <w:bookmarkStart w:id="1311" w:name="_Toc513794018"/>
      <w:bookmarkStart w:id="1312" w:name="_Toc13563"/>
      <w:bookmarkStart w:id="1313" w:name="_Toc23172"/>
      <w:bookmarkStart w:id="1314" w:name="_Toc20824"/>
      <w:bookmarkStart w:id="1315" w:name="_Toc31229"/>
      <w:bookmarkStart w:id="1316" w:name="_Toc144974684"/>
      <w:bookmarkStart w:id="1317" w:name="_Toc24695"/>
      <w:bookmarkStart w:id="1318" w:name="_Toc21715"/>
      <w:bookmarkStart w:id="1319" w:name="_Toc12207"/>
      <w:bookmarkStart w:id="1320" w:name="_Toc9046"/>
      <w:r>
        <w:rPr>
          <w:rFonts w:hint="eastAsia"/>
          <w:b/>
          <w:bCs/>
          <w:color w:val="auto"/>
          <w:sz w:val="24"/>
          <w:szCs w:val="24"/>
          <w:highlight w:val="none"/>
        </w:rPr>
        <w:t>16. 价格调整</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pPr>
        <w:adjustRightInd w:val="0"/>
        <w:snapToGrid w:val="0"/>
        <w:spacing w:line="360" w:lineRule="auto"/>
        <w:rPr>
          <w:b/>
          <w:bCs/>
          <w:color w:val="auto"/>
          <w:sz w:val="24"/>
          <w:szCs w:val="24"/>
          <w:highlight w:val="none"/>
        </w:rPr>
      </w:pPr>
      <w:bookmarkStart w:id="1321" w:name="_Toc152045716"/>
      <w:bookmarkStart w:id="1322" w:name="_Toc152042494"/>
      <w:bookmarkStart w:id="1323" w:name="_Toc144974685"/>
      <w:bookmarkStart w:id="1324" w:name="_Toc513794019"/>
      <w:bookmarkStart w:id="1325" w:name="_Toc179632734"/>
      <w:r>
        <w:rPr>
          <w:rFonts w:hint="eastAsia"/>
          <w:b/>
          <w:bCs/>
          <w:color w:val="auto"/>
          <w:sz w:val="24"/>
          <w:szCs w:val="24"/>
          <w:highlight w:val="none"/>
        </w:rPr>
        <w:t>16.1 物价波动引起的价格调整</w:t>
      </w:r>
      <w:bookmarkEnd w:id="1321"/>
      <w:bookmarkEnd w:id="1322"/>
      <w:bookmarkEnd w:id="1323"/>
      <w:bookmarkEnd w:id="1324"/>
      <w:bookmarkEnd w:id="132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除专用合同条款另有约定外，因物价波动引起的价格调整按照本款约定处理。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16.1.1 采用价格指数调整价格差额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16.1.1.1 价格调整公式</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因人工、材料和设备等价格波动影响合同价格时，根据投标函附录中的价格指数和权重表约定的数据，按以下公式计算差额并调整合同价格。</w:t>
      </w:r>
    </w:p>
    <w:p>
      <w:pPr>
        <w:adjustRightInd w:val="0"/>
        <w:snapToGrid w:val="0"/>
        <w:spacing w:line="360" w:lineRule="auto"/>
        <w:ind w:right="248" w:firstLine="955" w:firstLineChars="398"/>
        <w:rPr>
          <w:color w:val="auto"/>
          <w:sz w:val="24"/>
          <w:szCs w:val="24"/>
          <w:highlight w:val="none"/>
        </w:rPr>
      </w:pPr>
      <w:r>
        <w:rPr>
          <w:rFonts w:hint="eastAsia"/>
          <w:color w:val="auto"/>
          <w:position w:val="-34"/>
          <w:sz w:val="24"/>
          <w:szCs w:val="24"/>
          <w:highlight w:val="none"/>
        </w:rPr>
        <w:object>
          <v:shape id="_x0000_i1025" o:spt="75" type="#_x0000_t75" style="height:40.75pt;width:305.65pt;" o:ole="t" filled="f" o:preferrelative="t" stroked="f" coordsize="21600,21600">
            <v:path/>
            <v:fill on="f" focussize="0,0"/>
            <v:stroke on="f" joinstyle="miter"/>
            <v:imagedata r:id="rId69" o:title=""/>
            <o:lock v:ext="edit" aspectratio="t"/>
            <w10:wrap type="none"/>
            <w10:anchorlock/>
          </v:shape>
          <o:OLEObject Type="Embed" ProgID="Equations" ShapeID="_x0000_i1025" DrawAspect="Content" ObjectID="_1468075725" r:id="rId68">
            <o:LockedField>false</o:LockedField>
          </o:OLEObject>
        </w:object>
      </w:r>
    </w:p>
    <w:p>
      <w:pPr>
        <w:tabs>
          <w:tab w:val="left" w:pos="1260"/>
        </w:tabs>
        <w:adjustRightInd w:val="0"/>
        <w:snapToGrid w:val="0"/>
        <w:spacing w:line="360" w:lineRule="auto"/>
        <w:ind w:firstLine="480" w:firstLineChars="200"/>
        <w:rPr>
          <w:color w:val="auto"/>
          <w:sz w:val="24"/>
          <w:szCs w:val="24"/>
          <w:highlight w:val="none"/>
        </w:rPr>
      </w:pPr>
    </w:p>
    <w:p>
      <w:pPr>
        <w:tabs>
          <w:tab w:val="left" w:pos="12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式中：△P -- 需调整的价格差额；</w:t>
      </w:r>
    </w:p>
    <w:p>
      <w:pPr>
        <w:tabs>
          <w:tab w:val="left" w:pos="1260"/>
        </w:tabs>
        <w:adjustRightInd w:val="0"/>
        <w:snapToGrid w:val="0"/>
        <w:spacing w:line="360" w:lineRule="auto"/>
        <w:rPr>
          <w:color w:val="auto"/>
          <w:sz w:val="24"/>
          <w:szCs w:val="24"/>
          <w:highlight w:val="none"/>
        </w:rPr>
      </w:pPr>
      <w:r>
        <w:rPr>
          <w:rFonts w:hint="eastAsia"/>
          <w:color w:val="auto"/>
          <w:sz w:val="24"/>
          <w:szCs w:val="24"/>
          <w:highlight w:val="none"/>
        </w:rPr>
        <w:tab/>
      </w:r>
      <w:r>
        <w:rPr>
          <w:rFonts w:hint="eastAsia"/>
          <w:color w:val="auto"/>
          <w:sz w:val="24"/>
          <w:szCs w:val="24"/>
          <w:highlight w:val="none"/>
        </w:rPr>
        <w:t>P</w:t>
      </w:r>
      <w:r>
        <w:rPr>
          <w:rFonts w:hint="eastAsia"/>
          <w:color w:val="auto"/>
          <w:sz w:val="24"/>
          <w:szCs w:val="24"/>
          <w:highlight w:val="none"/>
          <w:vertAlign w:val="subscript"/>
        </w:rPr>
        <w:t>0</w:t>
      </w:r>
      <w:r>
        <w:rPr>
          <w:rFonts w:hint="eastAsia"/>
          <w:color w:val="auto"/>
          <w:sz w:val="24"/>
          <w:szCs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tabs>
          <w:tab w:val="left" w:pos="1260"/>
        </w:tabs>
        <w:adjustRightInd w:val="0"/>
        <w:snapToGrid w:val="0"/>
        <w:spacing w:line="360" w:lineRule="auto"/>
        <w:rPr>
          <w:color w:val="auto"/>
          <w:sz w:val="24"/>
          <w:szCs w:val="24"/>
          <w:highlight w:val="none"/>
        </w:rPr>
      </w:pPr>
      <w:r>
        <w:rPr>
          <w:rFonts w:hint="eastAsia"/>
          <w:color w:val="auto"/>
          <w:sz w:val="24"/>
          <w:szCs w:val="24"/>
          <w:highlight w:val="none"/>
        </w:rPr>
        <w:tab/>
      </w:r>
      <w:bookmarkStart w:id="1326" w:name="_Toc144974686"/>
      <w:bookmarkStart w:id="1327" w:name="_Toc152042495"/>
      <w:r>
        <w:rPr>
          <w:rFonts w:hint="eastAsia"/>
          <w:color w:val="auto"/>
          <w:sz w:val="24"/>
          <w:szCs w:val="24"/>
          <w:highlight w:val="none"/>
        </w:rPr>
        <w:t>A -- 定值权重(即不调部分的权重)；</w:t>
      </w:r>
      <w:bookmarkEnd w:id="1326"/>
      <w:bookmarkEnd w:id="1327"/>
    </w:p>
    <w:p>
      <w:pPr>
        <w:tabs>
          <w:tab w:val="left" w:pos="1260"/>
        </w:tabs>
        <w:adjustRightInd w:val="0"/>
        <w:snapToGrid w:val="0"/>
        <w:spacing w:line="360" w:lineRule="auto"/>
        <w:rPr>
          <w:color w:val="auto"/>
          <w:sz w:val="24"/>
          <w:szCs w:val="24"/>
          <w:highlight w:val="none"/>
        </w:rPr>
      </w:pPr>
      <w:r>
        <w:rPr>
          <w:rFonts w:hint="eastAsia"/>
          <w:color w:val="auto"/>
          <w:sz w:val="24"/>
          <w:szCs w:val="24"/>
          <w:highlight w:val="none"/>
        </w:rPr>
        <w:tab/>
      </w:r>
      <w:r>
        <w:rPr>
          <w:rFonts w:hint="eastAsia"/>
          <w:color w:val="auto"/>
          <w:sz w:val="24"/>
          <w:szCs w:val="24"/>
          <w:highlight w:val="none"/>
        </w:rPr>
        <w:t>B</w:t>
      </w:r>
      <w:r>
        <w:rPr>
          <w:rFonts w:hint="eastAsia"/>
          <w:color w:val="auto"/>
          <w:sz w:val="24"/>
          <w:szCs w:val="24"/>
          <w:highlight w:val="none"/>
          <w:vertAlign w:val="subscript"/>
        </w:rPr>
        <w:t>1</w:t>
      </w:r>
      <w:r>
        <w:rPr>
          <w:rFonts w:hint="eastAsia"/>
          <w:color w:val="auto"/>
          <w:sz w:val="24"/>
          <w:szCs w:val="24"/>
          <w:highlight w:val="none"/>
        </w:rPr>
        <w:t>; B</w:t>
      </w:r>
      <w:r>
        <w:rPr>
          <w:rFonts w:hint="eastAsia"/>
          <w:color w:val="auto"/>
          <w:sz w:val="24"/>
          <w:szCs w:val="24"/>
          <w:highlight w:val="none"/>
          <w:vertAlign w:val="subscript"/>
        </w:rPr>
        <w:t>2</w:t>
      </w:r>
      <w:r>
        <w:rPr>
          <w:rFonts w:hint="eastAsia"/>
          <w:color w:val="auto"/>
          <w:sz w:val="24"/>
          <w:szCs w:val="24"/>
          <w:highlight w:val="none"/>
        </w:rPr>
        <w:t xml:space="preserve"> ;B</w:t>
      </w:r>
      <w:r>
        <w:rPr>
          <w:rFonts w:hint="eastAsia"/>
          <w:color w:val="auto"/>
          <w:sz w:val="24"/>
          <w:szCs w:val="24"/>
          <w:highlight w:val="none"/>
          <w:vertAlign w:val="subscript"/>
        </w:rPr>
        <w:t>3</w:t>
      </w:r>
      <w:r>
        <w:rPr>
          <w:rFonts w:hint="eastAsia"/>
          <w:color w:val="auto"/>
          <w:sz w:val="24"/>
          <w:szCs w:val="24"/>
          <w:highlight w:val="none"/>
        </w:rPr>
        <w:t>·····B</w:t>
      </w:r>
      <w:r>
        <w:rPr>
          <w:rFonts w:hint="eastAsia"/>
          <w:color w:val="auto"/>
          <w:sz w:val="24"/>
          <w:szCs w:val="24"/>
          <w:highlight w:val="none"/>
          <w:vertAlign w:val="subscript"/>
        </w:rPr>
        <w:t>n</w:t>
      </w:r>
      <w:r>
        <w:rPr>
          <w:rFonts w:hint="eastAsia"/>
          <w:color w:val="auto"/>
          <w:sz w:val="24"/>
          <w:szCs w:val="24"/>
          <w:highlight w:val="none"/>
        </w:rPr>
        <w:t xml:space="preserve"> -- 各可调因子的变值权重(即可调部分的权重)为各可调因子在投标函投标总报价中所占的比例；</w:t>
      </w:r>
    </w:p>
    <w:p>
      <w:pPr>
        <w:tabs>
          <w:tab w:val="left" w:pos="1260"/>
        </w:tabs>
        <w:adjustRightInd w:val="0"/>
        <w:snapToGrid w:val="0"/>
        <w:spacing w:line="360" w:lineRule="auto"/>
        <w:rPr>
          <w:color w:val="auto"/>
          <w:sz w:val="24"/>
          <w:szCs w:val="24"/>
          <w:highlight w:val="none"/>
        </w:rPr>
      </w:pPr>
      <w:r>
        <w:rPr>
          <w:rFonts w:hint="eastAsia"/>
          <w:color w:val="auto"/>
          <w:sz w:val="24"/>
          <w:szCs w:val="24"/>
          <w:highlight w:val="none"/>
        </w:rPr>
        <w:tab/>
      </w:r>
      <w:r>
        <w:rPr>
          <w:rFonts w:hint="eastAsia"/>
          <w:color w:val="auto"/>
          <w:sz w:val="24"/>
          <w:szCs w:val="24"/>
          <w:highlight w:val="none"/>
        </w:rPr>
        <w:t>F</w:t>
      </w:r>
      <w:r>
        <w:rPr>
          <w:rFonts w:hint="eastAsia"/>
          <w:color w:val="auto"/>
          <w:sz w:val="24"/>
          <w:szCs w:val="24"/>
          <w:highlight w:val="none"/>
          <w:vertAlign w:val="subscript"/>
        </w:rPr>
        <w:t>t1</w:t>
      </w:r>
      <w:r>
        <w:rPr>
          <w:rFonts w:hint="eastAsia"/>
          <w:color w:val="auto"/>
          <w:sz w:val="24"/>
          <w:szCs w:val="24"/>
          <w:highlight w:val="none"/>
        </w:rPr>
        <w:t xml:space="preserve"> ;F</w:t>
      </w:r>
      <w:r>
        <w:rPr>
          <w:rFonts w:hint="eastAsia"/>
          <w:color w:val="auto"/>
          <w:sz w:val="24"/>
          <w:szCs w:val="24"/>
          <w:highlight w:val="none"/>
          <w:vertAlign w:val="subscript"/>
        </w:rPr>
        <w:t>t2</w:t>
      </w:r>
      <w:r>
        <w:rPr>
          <w:rFonts w:hint="eastAsia"/>
          <w:color w:val="auto"/>
          <w:sz w:val="24"/>
          <w:szCs w:val="24"/>
          <w:highlight w:val="none"/>
        </w:rPr>
        <w:t xml:space="preserve"> ;F</w:t>
      </w:r>
      <w:r>
        <w:rPr>
          <w:rFonts w:hint="eastAsia"/>
          <w:color w:val="auto"/>
          <w:sz w:val="24"/>
          <w:szCs w:val="24"/>
          <w:highlight w:val="none"/>
          <w:vertAlign w:val="subscript"/>
        </w:rPr>
        <w:t>t3</w:t>
      </w:r>
      <w:r>
        <w:rPr>
          <w:rFonts w:hint="eastAsia"/>
          <w:color w:val="auto"/>
          <w:sz w:val="24"/>
          <w:szCs w:val="24"/>
          <w:highlight w:val="none"/>
        </w:rPr>
        <w:t>·····F</w:t>
      </w:r>
      <w:r>
        <w:rPr>
          <w:rFonts w:hint="eastAsia"/>
          <w:color w:val="auto"/>
          <w:sz w:val="24"/>
          <w:szCs w:val="24"/>
          <w:highlight w:val="none"/>
          <w:vertAlign w:val="subscript"/>
        </w:rPr>
        <w:t>tn</w:t>
      </w:r>
      <w:r>
        <w:rPr>
          <w:rFonts w:hint="eastAsia"/>
          <w:color w:val="auto"/>
          <w:sz w:val="24"/>
          <w:szCs w:val="24"/>
          <w:highlight w:val="none"/>
        </w:rPr>
        <w:t xml:space="preserve"> -- 各可调因子的现行价格指数，指第17.3.3项、第17.5.2项和第17.6.2项约定的付款证书相关周期最后一天的前42天的各可调因子的价格指数；</w:t>
      </w:r>
    </w:p>
    <w:p>
      <w:pPr>
        <w:tabs>
          <w:tab w:val="left" w:pos="1260"/>
        </w:tabs>
        <w:adjustRightInd w:val="0"/>
        <w:snapToGrid w:val="0"/>
        <w:spacing w:line="360" w:lineRule="auto"/>
        <w:rPr>
          <w:color w:val="auto"/>
          <w:sz w:val="24"/>
          <w:szCs w:val="24"/>
          <w:highlight w:val="none"/>
        </w:rPr>
      </w:pPr>
      <w:r>
        <w:rPr>
          <w:rFonts w:hint="eastAsia"/>
          <w:color w:val="auto"/>
          <w:sz w:val="24"/>
          <w:szCs w:val="24"/>
          <w:highlight w:val="none"/>
        </w:rPr>
        <w:tab/>
      </w:r>
      <w:r>
        <w:rPr>
          <w:rFonts w:hint="eastAsia"/>
          <w:color w:val="auto"/>
          <w:sz w:val="24"/>
          <w:szCs w:val="24"/>
          <w:highlight w:val="none"/>
        </w:rPr>
        <w:t>F</w:t>
      </w:r>
      <w:r>
        <w:rPr>
          <w:rFonts w:hint="eastAsia"/>
          <w:color w:val="auto"/>
          <w:sz w:val="24"/>
          <w:szCs w:val="24"/>
          <w:highlight w:val="none"/>
          <w:vertAlign w:val="subscript"/>
        </w:rPr>
        <w:t>o1</w:t>
      </w:r>
      <w:r>
        <w:rPr>
          <w:rFonts w:hint="eastAsia"/>
          <w:color w:val="auto"/>
          <w:sz w:val="24"/>
          <w:szCs w:val="24"/>
          <w:highlight w:val="none"/>
        </w:rPr>
        <w:t>; F</w:t>
      </w:r>
      <w:r>
        <w:rPr>
          <w:rFonts w:hint="eastAsia"/>
          <w:color w:val="auto"/>
          <w:sz w:val="24"/>
          <w:szCs w:val="24"/>
          <w:highlight w:val="none"/>
          <w:vertAlign w:val="subscript"/>
        </w:rPr>
        <w:t>o2</w:t>
      </w:r>
      <w:r>
        <w:rPr>
          <w:rFonts w:hint="eastAsia"/>
          <w:color w:val="auto"/>
          <w:sz w:val="24"/>
          <w:szCs w:val="24"/>
          <w:highlight w:val="none"/>
        </w:rPr>
        <w:t>; F</w:t>
      </w:r>
      <w:r>
        <w:rPr>
          <w:rFonts w:hint="eastAsia"/>
          <w:color w:val="auto"/>
          <w:sz w:val="24"/>
          <w:szCs w:val="24"/>
          <w:highlight w:val="none"/>
          <w:vertAlign w:val="subscript"/>
        </w:rPr>
        <w:t>o3</w:t>
      </w:r>
      <w:r>
        <w:rPr>
          <w:rFonts w:hint="eastAsia"/>
          <w:color w:val="auto"/>
          <w:sz w:val="24"/>
          <w:szCs w:val="24"/>
          <w:highlight w:val="none"/>
        </w:rPr>
        <w:t>·····F</w:t>
      </w:r>
      <w:r>
        <w:rPr>
          <w:rFonts w:hint="eastAsia"/>
          <w:color w:val="auto"/>
          <w:sz w:val="24"/>
          <w:szCs w:val="24"/>
          <w:highlight w:val="none"/>
          <w:vertAlign w:val="subscript"/>
        </w:rPr>
        <w:t>on</w:t>
      </w:r>
      <w:r>
        <w:rPr>
          <w:rFonts w:hint="eastAsia"/>
          <w:color w:val="auto"/>
          <w:sz w:val="24"/>
          <w:szCs w:val="24"/>
          <w:highlight w:val="none"/>
        </w:rPr>
        <w:t xml:space="preserve"> -- 各可调因子的基本价格指数，指基准日期的各可调因子的价格指数。</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16.1.1.2 暂时确定调整差额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在计算调整差额时得不到现行价格指数的，可暂用上一次价格指数计算，并在以后的付款中再按实际价格指数进行调整。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16.1.1.3 权重的调整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按第15.1款约定的变更导致原定合同中的权重不合理时，由监理人与承包人和发包人协商后进行调整。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16.1.1.4 承包人工期延误后的价格调整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16.1.2 采用造价信息调整价格差额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spacing w:line="360" w:lineRule="auto"/>
        <w:rPr>
          <w:b/>
          <w:bCs/>
          <w:color w:val="auto"/>
          <w:sz w:val="24"/>
          <w:szCs w:val="24"/>
          <w:highlight w:val="none"/>
        </w:rPr>
      </w:pPr>
      <w:bookmarkStart w:id="1328" w:name="_Toc144974688"/>
      <w:bookmarkStart w:id="1329" w:name="_Toc152042496"/>
      <w:bookmarkStart w:id="1330" w:name="_Toc179632735"/>
      <w:bookmarkStart w:id="1331" w:name="_Toc513794020"/>
      <w:bookmarkStart w:id="1332" w:name="_Toc152045717"/>
      <w:r>
        <w:rPr>
          <w:rFonts w:hint="eastAsia"/>
          <w:b/>
          <w:bCs/>
          <w:color w:val="auto"/>
          <w:sz w:val="24"/>
          <w:szCs w:val="24"/>
          <w:highlight w:val="none"/>
        </w:rPr>
        <w:t>16.2 法律变化引起的价格调整</w:t>
      </w:r>
      <w:bookmarkEnd w:id="1328"/>
      <w:bookmarkEnd w:id="1329"/>
      <w:bookmarkEnd w:id="1330"/>
      <w:bookmarkEnd w:id="1331"/>
      <w:bookmarkEnd w:id="133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adjustRightInd w:val="0"/>
        <w:snapToGrid w:val="0"/>
        <w:spacing w:line="360" w:lineRule="auto"/>
        <w:outlineLvl w:val="2"/>
        <w:rPr>
          <w:b/>
          <w:bCs/>
          <w:color w:val="auto"/>
          <w:sz w:val="24"/>
          <w:szCs w:val="24"/>
          <w:highlight w:val="none"/>
        </w:rPr>
      </w:pPr>
      <w:bookmarkStart w:id="1333" w:name="_Toc144974689"/>
      <w:bookmarkStart w:id="1334" w:name="_Toc24833"/>
      <w:bookmarkStart w:id="1335" w:name="_Toc6412"/>
      <w:bookmarkStart w:id="1336" w:name="_Toc32088"/>
      <w:bookmarkStart w:id="1337" w:name="_Toc24426"/>
      <w:bookmarkStart w:id="1338" w:name="_Toc14707"/>
      <w:bookmarkStart w:id="1339" w:name="_Toc20140"/>
      <w:bookmarkStart w:id="1340" w:name="_Toc179632736"/>
      <w:bookmarkStart w:id="1341" w:name="_Toc26267"/>
      <w:bookmarkStart w:id="1342" w:name="_Toc11301"/>
      <w:bookmarkStart w:id="1343" w:name="_Toc8359"/>
      <w:bookmarkStart w:id="1344" w:name="_Toc6521"/>
      <w:bookmarkStart w:id="1345" w:name="_Toc29064"/>
      <w:bookmarkStart w:id="1346" w:name="_Toc152045718"/>
      <w:bookmarkStart w:id="1347" w:name="_Toc29724"/>
      <w:bookmarkStart w:id="1348" w:name="_Toc513794021"/>
      <w:bookmarkStart w:id="1349" w:name="_Toc2407"/>
      <w:bookmarkStart w:id="1350" w:name="_Toc29943"/>
      <w:bookmarkStart w:id="1351" w:name="_Toc152042497"/>
      <w:r>
        <w:rPr>
          <w:rFonts w:hint="eastAsia"/>
          <w:b/>
          <w:bCs/>
          <w:color w:val="auto"/>
          <w:sz w:val="24"/>
          <w:szCs w:val="24"/>
          <w:highlight w:val="none"/>
        </w:rPr>
        <w:t>17. 计量与支付</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pPr>
        <w:adjustRightInd w:val="0"/>
        <w:snapToGrid w:val="0"/>
        <w:spacing w:line="360" w:lineRule="auto"/>
        <w:rPr>
          <w:b/>
          <w:bCs/>
          <w:color w:val="auto"/>
          <w:sz w:val="24"/>
          <w:szCs w:val="24"/>
          <w:highlight w:val="none"/>
        </w:rPr>
      </w:pPr>
      <w:bookmarkStart w:id="1352" w:name="_Toc152042498"/>
      <w:bookmarkStart w:id="1353" w:name="_Toc179632737"/>
      <w:bookmarkStart w:id="1354" w:name="_Toc144974690"/>
      <w:bookmarkStart w:id="1355" w:name="_Toc152045719"/>
      <w:bookmarkStart w:id="1356" w:name="_Toc513794022"/>
      <w:r>
        <w:rPr>
          <w:rFonts w:hint="eastAsia"/>
          <w:b/>
          <w:bCs/>
          <w:color w:val="auto"/>
          <w:sz w:val="24"/>
          <w:szCs w:val="24"/>
          <w:highlight w:val="none"/>
        </w:rPr>
        <w:t>17.1 计量</w:t>
      </w:r>
      <w:bookmarkEnd w:id="1352"/>
      <w:bookmarkEnd w:id="1353"/>
      <w:bookmarkEnd w:id="1354"/>
      <w:bookmarkEnd w:id="1355"/>
      <w:bookmarkEnd w:id="135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17.1.1 计量单位</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计量采用国家法定的计量单位。</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17.1.2 计量方法</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工程量清单中的工程量计算规则应按有关国家标准、行业标准的规定，并在合同中约定执行。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17.1.3 计量周期</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除专用合同条款另有约定外，单价子目已完成工程量按月计量，总价子目的计量周期按批准的支付分解报告确定。</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17.1.4单价子目的计量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（1）已标价工程量清单中的单价子目工程量为估算工程量。结算工程量是承包人实际完成的，并按合同约定的计量方法进行计量的工程量。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（2）承包人对已完成的工程进行计量，向监理人提交进度付款申请单、已完成工程量报表和有关计量资料。</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（4）监理人认为有必要时，可通知承包人共同进行联合测量、计量，承包人应遵照执行。</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17.1.5 总价子目的计量</w:t>
      </w:r>
    </w:p>
    <w:p>
      <w:pPr>
        <w:adjustRightInd w:val="0"/>
        <w:snapToGrid w:val="0"/>
        <w:spacing w:line="360" w:lineRule="auto"/>
        <w:ind w:firstLine="720" w:firstLineChars="300"/>
        <w:rPr>
          <w:color w:val="auto"/>
          <w:sz w:val="24"/>
          <w:szCs w:val="24"/>
          <w:highlight w:val="none"/>
        </w:rPr>
      </w:pPr>
      <w:r>
        <w:rPr>
          <w:rFonts w:hint="eastAsia"/>
          <w:color w:val="auto"/>
          <w:sz w:val="24"/>
          <w:szCs w:val="24"/>
          <w:highlight w:val="none"/>
        </w:rPr>
        <w:t>除专用合同条款另有约定外，总价子目的分解和计量按照下述约定进行。</w:t>
      </w:r>
    </w:p>
    <w:p>
      <w:pPr>
        <w:adjustRightInd w:val="0"/>
        <w:snapToGrid w:val="0"/>
        <w:spacing w:line="360" w:lineRule="auto"/>
        <w:ind w:firstLine="720" w:firstLineChars="300"/>
        <w:rPr>
          <w:color w:val="auto"/>
          <w:sz w:val="24"/>
          <w:szCs w:val="24"/>
          <w:highlight w:val="none"/>
        </w:rPr>
      </w:pPr>
      <w:r>
        <w:rPr>
          <w:rFonts w:hint="eastAsia"/>
          <w:color w:val="auto"/>
          <w:sz w:val="24"/>
          <w:szCs w:val="24"/>
          <w:highlight w:val="none"/>
        </w:rPr>
        <w:t>（1）总价子目的计量和支付应以总价为基础，不因第16.1款中的因素而进行调整。承包人实际完成的工程量，是进行工程目标管理和控制进度支付的依据。</w:t>
      </w:r>
    </w:p>
    <w:p>
      <w:pPr>
        <w:adjustRightInd w:val="0"/>
        <w:snapToGrid w:val="0"/>
        <w:spacing w:line="360" w:lineRule="auto"/>
        <w:ind w:firstLine="720" w:firstLineChars="300"/>
        <w:rPr>
          <w:color w:val="auto"/>
          <w:sz w:val="24"/>
          <w:szCs w:val="24"/>
          <w:highlight w:val="none"/>
        </w:rPr>
      </w:pPr>
      <w:r>
        <w:rPr>
          <w:rFonts w:hint="eastAsia"/>
          <w:color w:val="auto"/>
          <w:sz w:val="24"/>
          <w:szCs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adjustRightInd w:val="0"/>
        <w:snapToGrid w:val="0"/>
        <w:spacing w:line="360" w:lineRule="auto"/>
        <w:ind w:firstLine="720" w:firstLineChars="300"/>
        <w:rPr>
          <w:color w:val="auto"/>
          <w:sz w:val="24"/>
          <w:szCs w:val="24"/>
          <w:highlight w:val="none"/>
        </w:rPr>
      </w:pPr>
      <w:r>
        <w:rPr>
          <w:rFonts w:hint="eastAsia"/>
          <w:color w:val="auto"/>
          <w:sz w:val="24"/>
          <w:szCs w:val="24"/>
          <w:highlight w:val="none"/>
        </w:rPr>
        <w:t>（3）监理人对承包人提交的上述资料进行复核，以确定分阶段实际完成的工程量和工程形象目标。对其有异议的，可要求承包人按第8.2款约定进行共同复核和抽样复测。</w:t>
      </w:r>
    </w:p>
    <w:p>
      <w:pPr>
        <w:adjustRightInd w:val="0"/>
        <w:snapToGrid w:val="0"/>
        <w:spacing w:line="360" w:lineRule="auto"/>
        <w:ind w:firstLine="720" w:firstLineChars="300"/>
        <w:rPr>
          <w:color w:val="auto"/>
          <w:sz w:val="24"/>
          <w:szCs w:val="24"/>
          <w:highlight w:val="none"/>
        </w:rPr>
      </w:pPr>
      <w:r>
        <w:rPr>
          <w:rFonts w:hint="eastAsia"/>
          <w:color w:val="auto"/>
          <w:sz w:val="24"/>
          <w:szCs w:val="24"/>
          <w:highlight w:val="none"/>
        </w:rPr>
        <w:t>（4）除按照第15条约定的变更外，总价子目的工程量是承包人用于结算的最终工程量。</w:t>
      </w:r>
    </w:p>
    <w:p>
      <w:pPr>
        <w:adjustRightInd w:val="0"/>
        <w:snapToGrid w:val="0"/>
        <w:spacing w:line="360" w:lineRule="auto"/>
        <w:rPr>
          <w:b/>
          <w:bCs/>
          <w:color w:val="auto"/>
          <w:sz w:val="24"/>
          <w:szCs w:val="24"/>
          <w:highlight w:val="none"/>
        </w:rPr>
      </w:pPr>
      <w:bookmarkStart w:id="1357" w:name="_Toc152042499"/>
      <w:bookmarkStart w:id="1358" w:name="_Toc152045720"/>
      <w:bookmarkStart w:id="1359" w:name="_Toc179632738"/>
      <w:bookmarkStart w:id="1360" w:name="_Toc144974691"/>
      <w:bookmarkStart w:id="1361" w:name="_Toc513794023"/>
      <w:r>
        <w:rPr>
          <w:rFonts w:hint="eastAsia"/>
          <w:b/>
          <w:bCs/>
          <w:color w:val="auto"/>
          <w:sz w:val="24"/>
          <w:szCs w:val="24"/>
          <w:highlight w:val="none"/>
        </w:rPr>
        <w:t>17.2 预付款</w:t>
      </w:r>
      <w:bookmarkEnd w:id="1357"/>
      <w:bookmarkEnd w:id="1358"/>
      <w:bookmarkEnd w:id="1359"/>
      <w:bookmarkEnd w:id="1360"/>
      <w:bookmarkEnd w:id="136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17.2.1 预付款</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预付款用于承包人为合同工程施工购置材料、工程设备、施工设备、修建临时设施以及组织施工队伍进场等。预付款的额度和预付办法在专用合同条款中约定。预付款必须专用于合同工程。</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17.2.2 预付款保函</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除专用合同条款另有约定外，承包人应在收到预付款的同时向发包人提交预付款保函，预付款保函的担保金额应与预付款金额相同。保函的担保金额可根据预付款扣回的金额相应递减。</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17.2.3 预付款的扣回与还清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adjustRightInd w:val="0"/>
        <w:snapToGrid w:val="0"/>
        <w:spacing w:line="360" w:lineRule="auto"/>
        <w:rPr>
          <w:b/>
          <w:bCs/>
          <w:color w:val="auto"/>
          <w:sz w:val="24"/>
          <w:szCs w:val="24"/>
          <w:highlight w:val="none"/>
        </w:rPr>
      </w:pPr>
      <w:bookmarkStart w:id="1362" w:name="_Toc152045721"/>
      <w:bookmarkStart w:id="1363" w:name="_Toc144974692"/>
      <w:bookmarkStart w:id="1364" w:name="_Toc152042500"/>
      <w:bookmarkStart w:id="1365" w:name="_Toc179632739"/>
      <w:bookmarkStart w:id="1366" w:name="_Toc513794024"/>
      <w:r>
        <w:rPr>
          <w:rFonts w:hint="eastAsia"/>
          <w:b/>
          <w:bCs/>
          <w:color w:val="auto"/>
          <w:sz w:val="24"/>
          <w:szCs w:val="24"/>
          <w:highlight w:val="none"/>
        </w:rPr>
        <w:t>17.3 工程进度付款</w:t>
      </w:r>
      <w:bookmarkEnd w:id="1362"/>
      <w:bookmarkEnd w:id="1363"/>
      <w:bookmarkEnd w:id="1364"/>
      <w:bookmarkEnd w:id="1365"/>
      <w:bookmarkEnd w:id="136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17.3.1 付款周期</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付款周期同计量周期。</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17.3.2 进度付款申请单</w:t>
      </w:r>
    </w:p>
    <w:p>
      <w:pPr>
        <w:adjustRightInd w:val="0"/>
        <w:snapToGrid w:val="0"/>
        <w:spacing w:line="360" w:lineRule="auto"/>
        <w:ind w:firstLine="480" w:firstLineChars="200"/>
        <w:rPr>
          <w:dstrike/>
          <w:color w:val="auto"/>
          <w:sz w:val="24"/>
          <w:szCs w:val="24"/>
          <w:highlight w:val="none"/>
        </w:rPr>
      </w:pPr>
      <w:r>
        <w:rPr>
          <w:rFonts w:hint="eastAsia"/>
          <w:color w:val="auto"/>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（1）截至本次付款周期末已实施工程的价款；</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（2）根据第15条应增加和扣减的变更金额；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（3）根据第23条应增加和扣减的索赔金额；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（4）根据第17.2款约定应支付的预付款和扣减的返还预付款；</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（5）根据第17.4.1项约定应扣减的质量保证金；</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（6）根据合同应增加和扣减的其他金额。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17.3.3 进度付款证书和支付时间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（2）发包人应在监理人收到进度付款申请单后的28天内，将进度应付款支付给承包人。发包人不按期支付的，按专用合同条款的约定支付逾期付款违约金。</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（3）监理人出具进度付款证书，不应视为监理人已同意、批准或接受了承包人完成的该部分工作。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（4）进度付款涉及政府投资资金的，按照国库集中支付等国家相关规定和专用合同条款的约定办理。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17.3.4 工程进度付款的修正</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adjustRightInd w:val="0"/>
        <w:snapToGrid w:val="0"/>
        <w:spacing w:line="360" w:lineRule="auto"/>
        <w:rPr>
          <w:b/>
          <w:bCs/>
          <w:color w:val="auto"/>
          <w:sz w:val="24"/>
          <w:szCs w:val="24"/>
          <w:highlight w:val="none"/>
        </w:rPr>
      </w:pPr>
      <w:bookmarkStart w:id="1367" w:name="_Toc152045722"/>
      <w:bookmarkStart w:id="1368" w:name="_Toc152042501"/>
      <w:bookmarkStart w:id="1369" w:name="_Toc144974693"/>
      <w:bookmarkStart w:id="1370" w:name="_Toc179632740"/>
      <w:bookmarkStart w:id="1371" w:name="_Toc513794025"/>
      <w:r>
        <w:rPr>
          <w:rFonts w:hint="eastAsia"/>
          <w:b/>
          <w:bCs/>
          <w:color w:val="auto"/>
          <w:sz w:val="24"/>
          <w:szCs w:val="24"/>
          <w:highlight w:val="none"/>
        </w:rPr>
        <w:t xml:space="preserve">17.4 </w:t>
      </w:r>
      <w:bookmarkEnd w:id="1367"/>
      <w:bookmarkEnd w:id="1368"/>
      <w:bookmarkEnd w:id="1369"/>
      <w:r>
        <w:rPr>
          <w:rFonts w:hint="eastAsia"/>
          <w:b/>
          <w:bCs/>
          <w:color w:val="auto"/>
          <w:sz w:val="24"/>
          <w:szCs w:val="24"/>
          <w:highlight w:val="none"/>
        </w:rPr>
        <w:t>质量保证金</w:t>
      </w:r>
      <w:bookmarkEnd w:id="1370"/>
      <w:bookmarkEnd w:id="137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adjustRightInd w:val="0"/>
        <w:snapToGrid w:val="0"/>
        <w:spacing w:line="360" w:lineRule="auto"/>
        <w:rPr>
          <w:b/>
          <w:bCs/>
          <w:color w:val="auto"/>
          <w:sz w:val="24"/>
          <w:szCs w:val="24"/>
          <w:highlight w:val="none"/>
        </w:rPr>
      </w:pPr>
      <w:bookmarkStart w:id="1372" w:name="_Toc179632741"/>
      <w:bookmarkStart w:id="1373" w:name="_Toc152042502"/>
      <w:bookmarkStart w:id="1374" w:name="_Toc513794026"/>
      <w:bookmarkStart w:id="1375" w:name="_Toc144974694"/>
      <w:bookmarkStart w:id="1376" w:name="_Toc152045723"/>
      <w:r>
        <w:rPr>
          <w:rFonts w:hint="eastAsia"/>
          <w:b/>
          <w:bCs/>
          <w:color w:val="auto"/>
          <w:sz w:val="24"/>
          <w:szCs w:val="24"/>
          <w:highlight w:val="none"/>
        </w:rPr>
        <w:t>17.5 竣工结算</w:t>
      </w:r>
      <w:bookmarkEnd w:id="1372"/>
      <w:bookmarkEnd w:id="1373"/>
      <w:bookmarkEnd w:id="1374"/>
      <w:bookmarkEnd w:id="1375"/>
      <w:bookmarkEnd w:id="137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17.5.1 竣工付款申请单</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（2）监理人对竣工付款申请单有异议的，有权要求承包人进行修正和提供补充资料。经监理人和承包人协商后，由承包人向监理人提交修正后的竣工付款申请单。</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17.5.2 竣工付款证书及支付时间</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（2）发包人应在监理人出具竣工付款证书后的14天内，将应支付款支付给承包人。发包人不按期支付的，按第17.3.3（2）目的约定，将逾期付款违约金支付给承包人。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（3）承包人对发包人签认的竣工付款证书有异议的，发包人可出具竣工付款申请单中承包人已同意部分的临时付款证书。存在争议的部分，按第24条的约定办理。</w:t>
      </w:r>
    </w:p>
    <w:p>
      <w:pPr>
        <w:adjustRightInd w:val="0"/>
        <w:snapToGrid w:val="0"/>
        <w:spacing w:line="360" w:lineRule="auto"/>
        <w:ind w:firstLine="720" w:firstLineChars="300"/>
        <w:rPr>
          <w:color w:val="auto"/>
          <w:sz w:val="24"/>
          <w:szCs w:val="24"/>
          <w:highlight w:val="none"/>
        </w:rPr>
      </w:pPr>
      <w:r>
        <w:rPr>
          <w:rFonts w:hint="eastAsia"/>
          <w:color w:val="auto"/>
          <w:sz w:val="24"/>
          <w:szCs w:val="24"/>
          <w:highlight w:val="none"/>
        </w:rPr>
        <w:t>（4）竣工付款涉及政府投资资金的，按第17.3.3（４）目的约定办理。</w:t>
      </w:r>
    </w:p>
    <w:p>
      <w:pPr>
        <w:adjustRightInd w:val="0"/>
        <w:snapToGrid w:val="0"/>
        <w:spacing w:line="360" w:lineRule="auto"/>
        <w:rPr>
          <w:b/>
          <w:bCs/>
          <w:color w:val="auto"/>
          <w:sz w:val="24"/>
          <w:szCs w:val="24"/>
          <w:highlight w:val="none"/>
        </w:rPr>
      </w:pPr>
      <w:bookmarkStart w:id="1377" w:name="_Toc152042503"/>
      <w:bookmarkStart w:id="1378" w:name="_Toc144974695"/>
      <w:bookmarkStart w:id="1379" w:name="_Toc152045724"/>
      <w:bookmarkStart w:id="1380" w:name="_Toc513794027"/>
      <w:bookmarkStart w:id="1381" w:name="_Toc179632742"/>
      <w:r>
        <w:rPr>
          <w:rFonts w:hint="eastAsia"/>
          <w:b/>
          <w:bCs/>
          <w:color w:val="auto"/>
          <w:sz w:val="24"/>
          <w:szCs w:val="24"/>
          <w:highlight w:val="none"/>
        </w:rPr>
        <w:t>17.6 最终结清</w:t>
      </w:r>
      <w:bookmarkEnd w:id="1377"/>
      <w:bookmarkEnd w:id="1378"/>
      <w:bookmarkEnd w:id="1379"/>
      <w:bookmarkEnd w:id="1380"/>
      <w:bookmarkEnd w:id="138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17.6.1 最终结清申请单</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（1）缺陷责任期终止证书签发后，承包人可按专用合同条款约定的份数和期限向监理人提交最终结清申请单，并提供相关证明材料。</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（2）发包人对最终结清申请单内容有异议的，有权要求承包人进行修正和提供补充资料，由承包人向监理人提交修正后的最终结清申请单。</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17.6.2 最终结清证书和支付时间</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（2）发包人应在监理人出具最终结清证书后的14天内，将应支付款支付给承包人。发包人不按期支付的，按第17.3.3（2）目的约定，将逾期付款违约金支付给承包人。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（3）承包人对发包人签认的最终结清证书有异议的，按第24条的约定办理。</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（4）最终结清付款涉及政府投资资金的，按第17.3.3（４）目的约定办理。</w:t>
      </w:r>
    </w:p>
    <w:p>
      <w:pPr>
        <w:adjustRightInd w:val="0"/>
        <w:snapToGrid w:val="0"/>
        <w:spacing w:line="360" w:lineRule="auto"/>
        <w:outlineLvl w:val="2"/>
        <w:rPr>
          <w:b/>
          <w:bCs/>
          <w:color w:val="auto"/>
          <w:sz w:val="24"/>
          <w:szCs w:val="24"/>
          <w:highlight w:val="none"/>
        </w:rPr>
      </w:pPr>
      <w:bookmarkStart w:id="1382" w:name="_Toc8094"/>
      <w:bookmarkStart w:id="1383" w:name="_Toc17743"/>
      <w:bookmarkStart w:id="1384" w:name="_Toc152045725"/>
      <w:bookmarkStart w:id="1385" w:name="_Toc7816"/>
      <w:bookmarkStart w:id="1386" w:name="_Toc1367"/>
      <w:bookmarkStart w:id="1387" w:name="_Toc152042504"/>
      <w:bookmarkStart w:id="1388" w:name="_Toc27005"/>
      <w:bookmarkStart w:id="1389" w:name="_Toc16300"/>
      <w:bookmarkStart w:id="1390" w:name="_Toc13223"/>
      <w:bookmarkStart w:id="1391" w:name="_Toc179632743"/>
      <w:bookmarkStart w:id="1392" w:name="_Toc8749"/>
      <w:bookmarkStart w:id="1393" w:name="_Toc32075"/>
      <w:bookmarkStart w:id="1394" w:name="_Toc30712"/>
      <w:bookmarkStart w:id="1395" w:name="_Toc144974696"/>
      <w:bookmarkStart w:id="1396" w:name="_Toc10282"/>
      <w:bookmarkStart w:id="1397" w:name="_Toc21659"/>
      <w:bookmarkStart w:id="1398" w:name="_Toc29335"/>
      <w:bookmarkStart w:id="1399" w:name="_Toc513794028"/>
      <w:bookmarkStart w:id="1400" w:name="_Toc12241"/>
      <w:r>
        <w:rPr>
          <w:rFonts w:hint="eastAsia"/>
          <w:b/>
          <w:bCs/>
          <w:color w:val="auto"/>
          <w:sz w:val="24"/>
          <w:szCs w:val="24"/>
          <w:highlight w:val="none"/>
        </w:rPr>
        <w:t>18. 竣工验收</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adjustRightInd w:val="0"/>
        <w:snapToGrid w:val="0"/>
        <w:spacing w:line="360" w:lineRule="auto"/>
        <w:rPr>
          <w:b/>
          <w:bCs/>
          <w:color w:val="auto"/>
          <w:sz w:val="24"/>
          <w:szCs w:val="24"/>
          <w:highlight w:val="none"/>
        </w:rPr>
      </w:pPr>
      <w:bookmarkStart w:id="1401" w:name="_Toc152045726"/>
      <w:bookmarkStart w:id="1402" w:name="_Toc513794029"/>
      <w:bookmarkStart w:id="1403" w:name="_Toc144974697"/>
      <w:bookmarkStart w:id="1404" w:name="_Toc179632744"/>
      <w:bookmarkStart w:id="1405" w:name="_Toc152042505"/>
      <w:r>
        <w:rPr>
          <w:rFonts w:hint="eastAsia"/>
          <w:b/>
          <w:bCs/>
          <w:color w:val="auto"/>
          <w:sz w:val="24"/>
          <w:szCs w:val="24"/>
          <w:highlight w:val="none"/>
        </w:rPr>
        <w:t>18.1 竣工验收的含义</w:t>
      </w:r>
      <w:bookmarkEnd w:id="1401"/>
      <w:bookmarkEnd w:id="1402"/>
      <w:bookmarkEnd w:id="1403"/>
      <w:bookmarkEnd w:id="1404"/>
      <w:bookmarkEnd w:id="140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18.1.1 竣工验收指承包人完成了全部合同工作后，发包人按合同要求进行的验收。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18.1.2 国家验收是政府有关部门根据法律、规范、规程和政策要求，针对发包人全面组织实施的整个工程正式交付投运前的验收。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18.1.3 需要进行国家验收的，竣工验收是国家验收的一部分。竣工验收所采用的各项验收和评定标准应符合国家验收标准。发包人和承包人为竣工验收提供的各项竣工验收资料应符合国家验收的要求。</w:t>
      </w:r>
    </w:p>
    <w:p>
      <w:pPr>
        <w:adjustRightInd w:val="0"/>
        <w:snapToGrid w:val="0"/>
        <w:spacing w:line="360" w:lineRule="auto"/>
        <w:rPr>
          <w:b/>
          <w:bCs/>
          <w:color w:val="auto"/>
          <w:sz w:val="24"/>
          <w:szCs w:val="24"/>
          <w:highlight w:val="none"/>
        </w:rPr>
      </w:pPr>
      <w:bookmarkStart w:id="1406" w:name="_Toc152042506"/>
      <w:bookmarkStart w:id="1407" w:name="_Toc179632745"/>
      <w:bookmarkStart w:id="1408" w:name="_Toc513794030"/>
      <w:bookmarkStart w:id="1409" w:name="_Toc144974698"/>
      <w:bookmarkStart w:id="1410" w:name="_Toc152045727"/>
      <w:r>
        <w:rPr>
          <w:rFonts w:hint="eastAsia"/>
          <w:b/>
          <w:bCs/>
          <w:color w:val="auto"/>
          <w:sz w:val="24"/>
          <w:szCs w:val="24"/>
          <w:highlight w:val="none"/>
        </w:rPr>
        <w:t>18.2 竣工验收申请报告</w:t>
      </w:r>
      <w:bookmarkEnd w:id="1406"/>
      <w:bookmarkEnd w:id="1407"/>
      <w:bookmarkEnd w:id="1408"/>
      <w:bookmarkEnd w:id="1409"/>
      <w:bookmarkEnd w:id="141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当工程具备以下条件时，承包人即可向监理人报送竣工验收申请报告：</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（2）已按合同约定的内容和份数备齐了符合要求的竣工资料；</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（3）已按监理人的要求编制了在缺陷责任期内完成的尾工（甩项）工程和缺陷修补工作清单以及相应施工计划；</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（4）监理人要求在竣工验收前应完成的其他工作；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（5）监理人要求提交的竣工验收资料清单。</w:t>
      </w:r>
    </w:p>
    <w:p>
      <w:pPr>
        <w:adjustRightInd w:val="0"/>
        <w:snapToGrid w:val="0"/>
        <w:spacing w:line="360" w:lineRule="auto"/>
        <w:rPr>
          <w:b/>
          <w:bCs/>
          <w:color w:val="auto"/>
          <w:sz w:val="24"/>
          <w:szCs w:val="24"/>
          <w:highlight w:val="none"/>
        </w:rPr>
      </w:pPr>
      <w:bookmarkStart w:id="1411" w:name="_Toc513794031"/>
      <w:bookmarkStart w:id="1412" w:name="_Toc179632746"/>
      <w:bookmarkStart w:id="1413" w:name="_Toc152045728"/>
      <w:bookmarkStart w:id="1414" w:name="_Toc152042507"/>
      <w:bookmarkStart w:id="1415" w:name="_Toc144974699"/>
      <w:r>
        <w:rPr>
          <w:rFonts w:hint="eastAsia"/>
          <w:b/>
          <w:bCs/>
          <w:color w:val="auto"/>
          <w:sz w:val="24"/>
          <w:szCs w:val="24"/>
          <w:highlight w:val="none"/>
        </w:rPr>
        <w:t>18.3 验收</w:t>
      </w:r>
      <w:bookmarkEnd w:id="1411"/>
      <w:bookmarkEnd w:id="1412"/>
      <w:bookmarkEnd w:id="1413"/>
      <w:bookmarkEnd w:id="1414"/>
      <w:bookmarkEnd w:id="141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监理人收到承包人按第18.2款约定提交的竣工验收申请报告后，应审查申请报告的各项内容，并按以下不同情况进行处理。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18.3.2 监理人审查后认为已具备竣工验收条件的，应在收到竣工验收申请报告后的28天内提请发包人进行工程验收。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18.3.5 除专用合同条款另有约定外，经验收合格工程的实际竣工日期，以提交竣工验收申请报告的日期为准，并在工程接收证书中写明。</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18.3.6 发包人在收到承包人竣工验收申请报告56天后未进行验收的，视为验收合格，实际竣工日期以提交竣工验收申请报告的日期为准，但发包人由于不可抗力不能进行验收的除外。</w:t>
      </w:r>
    </w:p>
    <w:p>
      <w:pPr>
        <w:adjustRightInd w:val="0"/>
        <w:snapToGrid w:val="0"/>
        <w:spacing w:line="360" w:lineRule="auto"/>
        <w:rPr>
          <w:b/>
          <w:bCs/>
          <w:color w:val="auto"/>
          <w:sz w:val="24"/>
          <w:szCs w:val="24"/>
          <w:highlight w:val="none"/>
        </w:rPr>
      </w:pPr>
      <w:bookmarkStart w:id="1416" w:name="_Toc152042508"/>
      <w:bookmarkStart w:id="1417" w:name="_Toc144974700"/>
      <w:bookmarkStart w:id="1418" w:name="_Toc179632747"/>
      <w:bookmarkStart w:id="1419" w:name="_Toc152045729"/>
      <w:bookmarkStart w:id="1420" w:name="_Toc513794032"/>
      <w:r>
        <w:rPr>
          <w:rFonts w:hint="eastAsia"/>
          <w:b/>
          <w:bCs/>
          <w:color w:val="auto"/>
          <w:sz w:val="24"/>
          <w:szCs w:val="24"/>
          <w:highlight w:val="none"/>
        </w:rPr>
        <w:t>18.4 单位工程验收</w:t>
      </w:r>
      <w:bookmarkEnd w:id="1416"/>
      <w:bookmarkEnd w:id="1417"/>
      <w:bookmarkEnd w:id="1418"/>
      <w:bookmarkEnd w:id="1419"/>
      <w:bookmarkEnd w:id="142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18.4.2 发包人在全部工程竣工前，使用已接收的单位工程导致承包人费用增加的，发包人应承担由此增加的费用和（或）工期延误，并支付承包人合理利润。</w:t>
      </w:r>
    </w:p>
    <w:p>
      <w:pPr>
        <w:adjustRightInd w:val="0"/>
        <w:snapToGrid w:val="0"/>
        <w:spacing w:line="360" w:lineRule="auto"/>
        <w:rPr>
          <w:b/>
          <w:bCs/>
          <w:color w:val="auto"/>
          <w:sz w:val="24"/>
          <w:szCs w:val="24"/>
          <w:highlight w:val="none"/>
        </w:rPr>
      </w:pPr>
      <w:bookmarkStart w:id="1421" w:name="_Toc152042509"/>
      <w:bookmarkStart w:id="1422" w:name="_Toc179632748"/>
      <w:bookmarkStart w:id="1423" w:name="_Toc144974701"/>
      <w:bookmarkStart w:id="1424" w:name="_Toc152045730"/>
      <w:bookmarkStart w:id="1425" w:name="_Toc513794033"/>
      <w:r>
        <w:rPr>
          <w:rFonts w:hint="eastAsia"/>
          <w:b/>
          <w:bCs/>
          <w:color w:val="auto"/>
          <w:sz w:val="24"/>
          <w:szCs w:val="24"/>
          <w:highlight w:val="none"/>
        </w:rPr>
        <w:t>18.5 施工期运行</w:t>
      </w:r>
      <w:bookmarkEnd w:id="1421"/>
      <w:bookmarkEnd w:id="1422"/>
      <w:bookmarkEnd w:id="1423"/>
      <w:bookmarkEnd w:id="1424"/>
      <w:bookmarkEnd w:id="142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18.5.2 在施工期运行中发现工程或工程设备损坏或存在缺陷的，由承包人按第19.2款约定进行修复。</w:t>
      </w:r>
    </w:p>
    <w:p>
      <w:pPr>
        <w:adjustRightInd w:val="0"/>
        <w:snapToGrid w:val="0"/>
        <w:spacing w:line="360" w:lineRule="auto"/>
        <w:rPr>
          <w:b/>
          <w:bCs/>
          <w:color w:val="auto"/>
          <w:sz w:val="24"/>
          <w:szCs w:val="24"/>
          <w:highlight w:val="none"/>
        </w:rPr>
      </w:pPr>
      <w:bookmarkStart w:id="1426" w:name="_Toc144974702"/>
      <w:bookmarkStart w:id="1427" w:name="_Toc513794034"/>
      <w:bookmarkStart w:id="1428" w:name="_Toc152045731"/>
      <w:bookmarkStart w:id="1429" w:name="_Toc179632749"/>
      <w:bookmarkStart w:id="1430" w:name="_Toc152042510"/>
      <w:r>
        <w:rPr>
          <w:rFonts w:hint="eastAsia"/>
          <w:b/>
          <w:bCs/>
          <w:color w:val="auto"/>
          <w:sz w:val="24"/>
          <w:szCs w:val="24"/>
          <w:highlight w:val="none"/>
        </w:rPr>
        <w:t>18.6 试运行</w:t>
      </w:r>
      <w:bookmarkEnd w:id="1426"/>
      <w:bookmarkEnd w:id="1427"/>
      <w:bookmarkEnd w:id="1428"/>
      <w:bookmarkEnd w:id="1429"/>
      <w:bookmarkEnd w:id="143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18.6.1 除专用合同条款另有约定外，承包人应按专用合同条款约定进行工程及工程设备试运行，负责提供试运行所需的人员、器材和必要的条件，并承担全部试运行费用。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adjustRightInd w:val="0"/>
        <w:snapToGrid w:val="0"/>
        <w:spacing w:line="360" w:lineRule="auto"/>
        <w:rPr>
          <w:b/>
          <w:bCs/>
          <w:color w:val="auto"/>
          <w:sz w:val="24"/>
          <w:szCs w:val="24"/>
          <w:highlight w:val="none"/>
        </w:rPr>
      </w:pPr>
      <w:bookmarkStart w:id="1431" w:name="_Toc179632750"/>
      <w:bookmarkStart w:id="1432" w:name="_Toc152042511"/>
      <w:bookmarkStart w:id="1433" w:name="_Toc144974703"/>
      <w:bookmarkStart w:id="1434" w:name="_Toc513794035"/>
      <w:bookmarkStart w:id="1435" w:name="_Toc152045732"/>
      <w:r>
        <w:rPr>
          <w:rFonts w:hint="eastAsia"/>
          <w:b/>
          <w:bCs/>
          <w:color w:val="auto"/>
          <w:sz w:val="24"/>
          <w:szCs w:val="24"/>
          <w:highlight w:val="none"/>
        </w:rPr>
        <w:t>18.7 竣工清场</w:t>
      </w:r>
      <w:bookmarkEnd w:id="1431"/>
      <w:bookmarkEnd w:id="1432"/>
      <w:bookmarkEnd w:id="1433"/>
      <w:bookmarkEnd w:id="1434"/>
      <w:bookmarkEnd w:id="1435"/>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18.7.1 除合同另有约定外，工程接收证书颁发后，承包人应按以下要求对施工场地进行清理，直至监理人检验合格为止。竣工清场费用由承包人承担。</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（1）施工场地内残留的垃圾已全部清除出场；</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（2）临时工程已拆除，场地已按合同要求进行清理、平整或复原；</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（3）按合同约定应撤离的承包人设备和剩余的材料，包括废弃的施工设备和材料，已按计划撤离施工场地；</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（4）工程建筑物周边及其附近道路、河道的施工堆积物，已按监理人指示全部清理；</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（5）监理人指示的其他场地清理工作已全部完成。</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18.7.2 承包人未按监理人的要求恢复临时占地，或者场地清理未达到合同约定的，发包人有权委托其他人恢复或清理，所发生的金额从拟支付给承包人的款项中扣除。</w:t>
      </w:r>
    </w:p>
    <w:p>
      <w:pPr>
        <w:adjustRightInd w:val="0"/>
        <w:snapToGrid w:val="0"/>
        <w:spacing w:line="360" w:lineRule="auto"/>
        <w:rPr>
          <w:b/>
          <w:bCs/>
          <w:color w:val="auto"/>
          <w:sz w:val="24"/>
          <w:szCs w:val="24"/>
          <w:highlight w:val="none"/>
        </w:rPr>
      </w:pPr>
      <w:bookmarkStart w:id="1436" w:name="_Toc179632751"/>
      <w:bookmarkStart w:id="1437" w:name="_Toc144974704"/>
      <w:bookmarkStart w:id="1438" w:name="_Toc152042512"/>
      <w:bookmarkStart w:id="1439" w:name="_Toc152045733"/>
      <w:bookmarkStart w:id="1440" w:name="_Toc513794036"/>
      <w:r>
        <w:rPr>
          <w:rFonts w:hint="eastAsia"/>
          <w:b/>
          <w:bCs/>
          <w:color w:val="auto"/>
          <w:sz w:val="24"/>
          <w:szCs w:val="24"/>
          <w:highlight w:val="none"/>
        </w:rPr>
        <w:t>18.8 施工队伍的撤离</w:t>
      </w:r>
      <w:bookmarkEnd w:id="1436"/>
      <w:bookmarkEnd w:id="1437"/>
      <w:bookmarkEnd w:id="1438"/>
      <w:bookmarkEnd w:id="1439"/>
      <w:bookmarkEnd w:id="144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adjustRightInd w:val="0"/>
        <w:snapToGrid w:val="0"/>
        <w:spacing w:line="360" w:lineRule="auto"/>
        <w:outlineLvl w:val="2"/>
        <w:rPr>
          <w:b/>
          <w:bCs/>
          <w:color w:val="auto"/>
          <w:sz w:val="24"/>
          <w:szCs w:val="24"/>
          <w:highlight w:val="none"/>
        </w:rPr>
      </w:pPr>
      <w:bookmarkStart w:id="1441" w:name="_Toc22908"/>
      <w:bookmarkStart w:id="1442" w:name="_Toc5658"/>
      <w:bookmarkStart w:id="1443" w:name="_Toc16953"/>
      <w:bookmarkStart w:id="1444" w:name="_Toc31959"/>
      <w:bookmarkStart w:id="1445" w:name="_Toc11037"/>
      <w:bookmarkStart w:id="1446" w:name="_Toc179632752"/>
      <w:bookmarkStart w:id="1447" w:name="_Toc27034"/>
      <w:bookmarkStart w:id="1448" w:name="_Toc22760"/>
      <w:bookmarkStart w:id="1449" w:name="_Toc152045734"/>
      <w:bookmarkStart w:id="1450" w:name="_Toc152042513"/>
      <w:bookmarkStart w:id="1451" w:name="_Toc20592"/>
      <w:bookmarkStart w:id="1452" w:name="_Toc513794037"/>
      <w:bookmarkStart w:id="1453" w:name="_Toc17035"/>
      <w:bookmarkStart w:id="1454" w:name="_Toc30365"/>
      <w:bookmarkStart w:id="1455" w:name="_Toc2487"/>
      <w:bookmarkStart w:id="1456" w:name="_Toc21478"/>
      <w:bookmarkStart w:id="1457" w:name="_Toc144974705"/>
      <w:bookmarkStart w:id="1458" w:name="_Toc27833"/>
      <w:bookmarkStart w:id="1459" w:name="_Toc24823"/>
      <w:r>
        <w:rPr>
          <w:rFonts w:hint="eastAsia"/>
          <w:b/>
          <w:bCs/>
          <w:color w:val="auto"/>
          <w:sz w:val="24"/>
          <w:szCs w:val="24"/>
          <w:highlight w:val="none"/>
        </w:rPr>
        <w:t>19. 缺陷责任与保修责任</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adjustRightInd w:val="0"/>
        <w:snapToGrid w:val="0"/>
        <w:spacing w:line="360" w:lineRule="auto"/>
        <w:rPr>
          <w:b/>
          <w:bCs/>
          <w:color w:val="auto"/>
          <w:sz w:val="24"/>
          <w:szCs w:val="24"/>
          <w:highlight w:val="none"/>
        </w:rPr>
      </w:pPr>
      <w:bookmarkStart w:id="1460" w:name="_Toc152042514"/>
      <w:bookmarkStart w:id="1461" w:name="_Toc513794038"/>
      <w:bookmarkStart w:id="1462" w:name="_Toc152045735"/>
      <w:bookmarkStart w:id="1463" w:name="_Toc144974706"/>
      <w:bookmarkStart w:id="1464" w:name="_Toc179632753"/>
      <w:r>
        <w:rPr>
          <w:rFonts w:hint="eastAsia"/>
          <w:b/>
          <w:bCs/>
          <w:color w:val="auto"/>
          <w:sz w:val="24"/>
          <w:szCs w:val="24"/>
          <w:highlight w:val="none"/>
        </w:rPr>
        <w:t>19.1 缺陷责任期的起算时间</w:t>
      </w:r>
      <w:bookmarkEnd w:id="1460"/>
      <w:bookmarkEnd w:id="1461"/>
      <w:bookmarkEnd w:id="1462"/>
      <w:bookmarkEnd w:id="1463"/>
      <w:bookmarkEnd w:id="146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缺陷责任期自实际竣工日期起计算。在全部工程竣工验收前，已经发包人提前验收的单位工程，其缺陷责任期的起算日期相应提前。</w:t>
      </w:r>
    </w:p>
    <w:p>
      <w:pPr>
        <w:adjustRightInd w:val="0"/>
        <w:snapToGrid w:val="0"/>
        <w:spacing w:line="360" w:lineRule="auto"/>
        <w:rPr>
          <w:b/>
          <w:bCs/>
          <w:color w:val="auto"/>
          <w:sz w:val="24"/>
          <w:szCs w:val="24"/>
          <w:highlight w:val="none"/>
        </w:rPr>
      </w:pPr>
      <w:bookmarkStart w:id="1465" w:name="_Toc144974707"/>
      <w:bookmarkStart w:id="1466" w:name="_Toc152042515"/>
      <w:bookmarkStart w:id="1467" w:name="_Toc513794039"/>
      <w:bookmarkStart w:id="1468" w:name="_Toc179632754"/>
      <w:bookmarkStart w:id="1469" w:name="_Toc152045736"/>
      <w:r>
        <w:rPr>
          <w:rFonts w:hint="eastAsia"/>
          <w:b/>
          <w:bCs/>
          <w:color w:val="auto"/>
          <w:sz w:val="24"/>
          <w:szCs w:val="24"/>
          <w:highlight w:val="none"/>
        </w:rPr>
        <w:t>19.2 缺陷责任</w:t>
      </w:r>
      <w:bookmarkEnd w:id="1465"/>
      <w:bookmarkEnd w:id="1466"/>
      <w:bookmarkEnd w:id="1467"/>
      <w:bookmarkEnd w:id="1468"/>
      <w:bookmarkEnd w:id="146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19.2.1 承包人应在缺陷责任期内对已交付使用的工程承担缺陷责任。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19.2.4 承包人不能在合理时间内修复缺陷的，发包人可自行修复或委托其他人修复，所需费用和利润的承担，按第19.2.3项约定办理。</w:t>
      </w:r>
    </w:p>
    <w:p>
      <w:pPr>
        <w:adjustRightInd w:val="0"/>
        <w:snapToGrid w:val="0"/>
        <w:spacing w:line="360" w:lineRule="auto"/>
        <w:rPr>
          <w:b/>
          <w:bCs/>
          <w:color w:val="auto"/>
          <w:sz w:val="24"/>
          <w:szCs w:val="24"/>
          <w:highlight w:val="none"/>
        </w:rPr>
      </w:pPr>
      <w:bookmarkStart w:id="1470" w:name="_Toc152045737"/>
      <w:bookmarkStart w:id="1471" w:name="_Toc179632755"/>
      <w:bookmarkStart w:id="1472" w:name="_Toc513794040"/>
      <w:bookmarkStart w:id="1473" w:name="_Toc152042516"/>
      <w:bookmarkStart w:id="1474" w:name="_Toc144974708"/>
      <w:r>
        <w:rPr>
          <w:rFonts w:hint="eastAsia"/>
          <w:b/>
          <w:bCs/>
          <w:color w:val="auto"/>
          <w:sz w:val="24"/>
          <w:szCs w:val="24"/>
          <w:highlight w:val="none"/>
        </w:rPr>
        <w:t>19.3 缺陷责任期的延长</w:t>
      </w:r>
      <w:bookmarkEnd w:id="1470"/>
      <w:bookmarkEnd w:id="1471"/>
      <w:bookmarkEnd w:id="1472"/>
      <w:bookmarkEnd w:id="1473"/>
      <w:bookmarkEnd w:id="147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60" w:lineRule="auto"/>
        <w:rPr>
          <w:b/>
          <w:bCs/>
          <w:color w:val="auto"/>
          <w:sz w:val="24"/>
          <w:szCs w:val="24"/>
          <w:highlight w:val="none"/>
        </w:rPr>
      </w:pPr>
      <w:bookmarkStart w:id="1475" w:name="_Toc152042517"/>
      <w:bookmarkStart w:id="1476" w:name="_Toc513794041"/>
      <w:bookmarkStart w:id="1477" w:name="_Toc144974709"/>
      <w:bookmarkStart w:id="1478" w:name="_Toc179632756"/>
      <w:bookmarkStart w:id="1479" w:name="_Toc152045738"/>
      <w:r>
        <w:rPr>
          <w:rFonts w:hint="eastAsia"/>
          <w:b/>
          <w:bCs/>
          <w:color w:val="auto"/>
          <w:sz w:val="24"/>
          <w:szCs w:val="24"/>
          <w:highlight w:val="none"/>
        </w:rPr>
        <w:t>19.4 进一步试验和试运行</w:t>
      </w:r>
      <w:bookmarkEnd w:id="1475"/>
      <w:bookmarkEnd w:id="1476"/>
      <w:bookmarkEnd w:id="1477"/>
      <w:bookmarkEnd w:id="1478"/>
      <w:bookmarkEnd w:id="147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60" w:lineRule="auto"/>
        <w:rPr>
          <w:b/>
          <w:bCs/>
          <w:color w:val="auto"/>
          <w:sz w:val="24"/>
          <w:szCs w:val="24"/>
          <w:highlight w:val="none"/>
        </w:rPr>
      </w:pPr>
      <w:bookmarkStart w:id="1480" w:name="_Toc513794042"/>
      <w:bookmarkStart w:id="1481" w:name="_Toc152042518"/>
      <w:bookmarkStart w:id="1482" w:name="_Toc179632757"/>
      <w:bookmarkStart w:id="1483" w:name="_Toc144974710"/>
      <w:bookmarkStart w:id="1484" w:name="_Toc152045739"/>
      <w:r>
        <w:rPr>
          <w:rFonts w:hint="eastAsia"/>
          <w:b/>
          <w:bCs/>
          <w:color w:val="auto"/>
          <w:sz w:val="24"/>
          <w:szCs w:val="24"/>
          <w:highlight w:val="none"/>
        </w:rPr>
        <w:t>19.5 承包人的进入权</w:t>
      </w:r>
      <w:bookmarkEnd w:id="1480"/>
      <w:bookmarkEnd w:id="1481"/>
      <w:bookmarkEnd w:id="1482"/>
      <w:bookmarkEnd w:id="1483"/>
      <w:bookmarkEnd w:id="148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缺陷责任期内承包人为缺陷修复工作需要，有权进入工程现场，但应遵守发包人的保安和保密规定。</w:t>
      </w:r>
    </w:p>
    <w:p>
      <w:pPr>
        <w:adjustRightInd w:val="0"/>
        <w:snapToGrid w:val="0"/>
        <w:spacing w:line="360" w:lineRule="auto"/>
        <w:rPr>
          <w:b/>
          <w:bCs/>
          <w:color w:val="auto"/>
          <w:sz w:val="24"/>
          <w:szCs w:val="24"/>
          <w:highlight w:val="none"/>
        </w:rPr>
      </w:pPr>
      <w:bookmarkStart w:id="1485" w:name="_Toc152042519"/>
      <w:bookmarkStart w:id="1486" w:name="_Toc179632758"/>
      <w:bookmarkStart w:id="1487" w:name="_Toc513794043"/>
      <w:bookmarkStart w:id="1488" w:name="_Toc152045740"/>
      <w:bookmarkStart w:id="1489" w:name="_Toc144974711"/>
      <w:r>
        <w:rPr>
          <w:rFonts w:hint="eastAsia"/>
          <w:b/>
          <w:bCs/>
          <w:color w:val="auto"/>
          <w:sz w:val="24"/>
          <w:szCs w:val="24"/>
          <w:highlight w:val="none"/>
        </w:rPr>
        <w:t>19.6 缺陷责任期终止证书</w:t>
      </w:r>
      <w:bookmarkEnd w:id="1485"/>
      <w:bookmarkEnd w:id="1486"/>
      <w:bookmarkEnd w:id="1487"/>
      <w:bookmarkEnd w:id="1488"/>
      <w:bookmarkEnd w:id="148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在第1.1.4.5目约定的缺陷责任期，包括根据第19.3款延长的期限终止后14天内，由监理人向承包人出具经发包人签认的缺陷责任期终止证书，并退还剩余的质量保证金。</w:t>
      </w:r>
    </w:p>
    <w:p>
      <w:pPr>
        <w:adjustRightInd w:val="0"/>
        <w:snapToGrid w:val="0"/>
        <w:spacing w:line="360" w:lineRule="auto"/>
        <w:rPr>
          <w:b/>
          <w:bCs/>
          <w:color w:val="auto"/>
          <w:sz w:val="24"/>
          <w:szCs w:val="24"/>
          <w:highlight w:val="none"/>
        </w:rPr>
      </w:pPr>
      <w:bookmarkStart w:id="1490" w:name="_Toc152042520"/>
      <w:bookmarkStart w:id="1491" w:name="_Toc144974712"/>
      <w:bookmarkStart w:id="1492" w:name="_Toc513794044"/>
      <w:bookmarkStart w:id="1493" w:name="_Toc179632759"/>
      <w:bookmarkStart w:id="1494" w:name="_Toc152045741"/>
      <w:r>
        <w:rPr>
          <w:rFonts w:hint="eastAsia"/>
          <w:b/>
          <w:bCs/>
          <w:color w:val="auto"/>
          <w:sz w:val="24"/>
          <w:szCs w:val="24"/>
          <w:highlight w:val="none"/>
        </w:rPr>
        <w:t>19.7 保修责任</w:t>
      </w:r>
      <w:bookmarkEnd w:id="1490"/>
      <w:bookmarkEnd w:id="1491"/>
      <w:bookmarkEnd w:id="1492"/>
      <w:bookmarkEnd w:id="1493"/>
      <w:bookmarkEnd w:id="149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djustRightInd w:val="0"/>
        <w:snapToGrid w:val="0"/>
        <w:spacing w:line="360" w:lineRule="auto"/>
        <w:outlineLvl w:val="2"/>
        <w:rPr>
          <w:b/>
          <w:bCs/>
          <w:color w:val="auto"/>
          <w:sz w:val="24"/>
          <w:szCs w:val="24"/>
          <w:highlight w:val="none"/>
        </w:rPr>
      </w:pPr>
      <w:bookmarkStart w:id="1495" w:name="_Toc8200"/>
      <w:bookmarkStart w:id="1496" w:name="_Toc24526"/>
      <w:bookmarkStart w:id="1497" w:name="_Toc152042521"/>
      <w:bookmarkStart w:id="1498" w:name="_Toc29806"/>
      <w:bookmarkStart w:id="1499" w:name="_Toc20435"/>
      <w:bookmarkStart w:id="1500" w:name="_Toc513794045"/>
      <w:bookmarkStart w:id="1501" w:name="_Toc18273"/>
      <w:bookmarkStart w:id="1502" w:name="_Toc179632760"/>
      <w:bookmarkStart w:id="1503" w:name="_Toc152045742"/>
      <w:bookmarkStart w:id="1504" w:name="_Toc144974713"/>
      <w:bookmarkStart w:id="1505" w:name="_Toc11177"/>
      <w:bookmarkStart w:id="1506" w:name="_Toc20569"/>
      <w:bookmarkStart w:id="1507" w:name="_Toc26745"/>
      <w:bookmarkStart w:id="1508" w:name="_Toc17768"/>
      <w:bookmarkStart w:id="1509" w:name="_Toc22938"/>
      <w:bookmarkStart w:id="1510" w:name="_Toc1443"/>
      <w:bookmarkStart w:id="1511" w:name="_Toc10946"/>
      <w:bookmarkStart w:id="1512" w:name="_Toc21083"/>
      <w:bookmarkStart w:id="1513" w:name="_Toc22075"/>
      <w:r>
        <w:rPr>
          <w:rFonts w:hint="eastAsia"/>
          <w:b/>
          <w:bCs/>
          <w:color w:val="auto"/>
          <w:sz w:val="24"/>
          <w:szCs w:val="24"/>
          <w:highlight w:val="none"/>
        </w:rPr>
        <w:t>20. 保险</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pPr>
        <w:adjustRightInd w:val="0"/>
        <w:snapToGrid w:val="0"/>
        <w:spacing w:line="360" w:lineRule="auto"/>
        <w:rPr>
          <w:b/>
          <w:bCs/>
          <w:color w:val="auto"/>
          <w:sz w:val="24"/>
          <w:szCs w:val="24"/>
          <w:highlight w:val="none"/>
        </w:rPr>
      </w:pPr>
      <w:bookmarkStart w:id="1514" w:name="_Toc144974714"/>
      <w:bookmarkStart w:id="1515" w:name="_Toc513794046"/>
      <w:bookmarkStart w:id="1516" w:name="_Toc152042522"/>
      <w:bookmarkStart w:id="1517" w:name="_Toc152045743"/>
      <w:bookmarkStart w:id="1518" w:name="_Toc179632761"/>
      <w:r>
        <w:rPr>
          <w:rFonts w:hint="eastAsia"/>
          <w:b/>
          <w:bCs/>
          <w:color w:val="auto"/>
          <w:sz w:val="24"/>
          <w:szCs w:val="24"/>
          <w:highlight w:val="none"/>
        </w:rPr>
        <w:t>20.1 工程保险</w:t>
      </w:r>
      <w:bookmarkEnd w:id="1514"/>
      <w:bookmarkEnd w:id="1515"/>
      <w:bookmarkEnd w:id="1516"/>
      <w:bookmarkEnd w:id="1517"/>
      <w:bookmarkEnd w:id="151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djustRightInd w:val="0"/>
        <w:snapToGrid w:val="0"/>
        <w:spacing w:line="360" w:lineRule="auto"/>
        <w:rPr>
          <w:b/>
          <w:bCs/>
          <w:color w:val="auto"/>
          <w:sz w:val="24"/>
          <w:szCs w:val="24"/>
          <w:highlight w:val="none"/>
        </w:rPr>
      </w:pPr>
      <w:bookmarkStart w:id="1519" w:name="_Toc179632762"/>
      <w:bookmarkStart w:id="1520" w:name="_Toc152045744"/>
      <w:bookmarkStart w:id="1521" w:name="_Toc152042523"/>
      <w:bookmarkStart w:id="1522" w:name="_Toc513794047"/>
      <w:bookmarkStart w:id="1523" w:name="_Toc144974715"/>
      <w:r>
        <w:rPr>
          <w:rFonts w:hint="eastAsia"/>
          <w:b/>
          <w:bCs/>
          <w:color w:val="auto"/>
          <w:sz w:val="24"/>
          <w:szCs w:val="24"/>
          <w:highlight w:val="none"/>
        </w:rPr>
        <w:t>20.2 人员工伤事故的保险</w:t>
      </w:r>
      <w:bookmarkEnd w:id="1519"/>
      <w:bookmarkEnd w:id="1520"/>
      <w:bookmarkEnd w:id="1521"/>
      <w:bookmarkEnd w:id="1522"/>
      <w:bookmarkEnd w:id="152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20.2.1 承包人员工伤事故的保险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承包人应依照有关法律规定参加工伤保险，为其履行合同所雇佣的全部人员，缴纳工伤保险费，并要求其分包人也进行此项保险。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20.2.2发包人员工伤事故的保险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发包人应依照有关法律规定参加工伤保险，为其现场机构雇佣的全部人员，缴纳工伤保险费，并要求其监理人也进行此项保险。</w:t>
      </w:r>
    </w:p>
    <w:p>
      <w:pPr>
        <w:adjustRightInd w:val="0"/>
        <w:snapToGrid w:val="0"/>
        <w:spacing w:line="360" w:lineRule="auto"/>
        <w:rPr>
          <w:b/>
          <w:bCs/>
          <w:color w:val="auto"/>
          <w:sz w:val="24"/>
          <w:szCs w:val="24"/>
          <w:highlight w:val="none"/>
        </w:rPr>
      </w:pPr>
      <w:bookmarkStart w:id="1524" w:name="_Toc179632763"/>
      <w:bookmarkStart w:id="1525" w:name="_Toc513794048"/>
      <w:bookmarkStart w:id="1526" w:name="_Toc152045745"/>
      <w:bookmarkStart w:id="1527" w:name="_Toc144974716"/>
      <w:bookmarkStart w:id="1528" w:name="_Toc152042524"/>
      <w:r>
        <w:rPr>
          <w:rFonts w:hint="eastAsia"/>
          <w:b/>
          <w:bCs/>
          <w:color w:val="auto"/>
          <w:sz w:val="24"/>
          <w:szCs w:val="24"/>
          <w:highlight w:val="none"/>
        </w:rPr>
        <w:t>20.3 人身意外伤害险</w:t>
      </w:r>
      <w:bookmarkEnd w:id="1524"/>
      <w:bookmarkEnd w:id="1525"/>
      <w:bookmarkEnd w:id="1526"/>
      <w:bookmarkEnd w:id="1527"/>
      <w:bookmarkEnd w:id="152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20.3.1 发包人应在整个施工期间为其现场机构雇用的全部人员，投保人身意外伤害险，缴纳保险费，并要求其监理人也进行此项保险。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20.3.2 承包人应在整个施工期间为其现场机构雇用的全部人员，投保人身意外伤害险，缴纳保险费，并要求其分包人也进行此项保险。</w:t>
      </w:r>
    </w:p>
    <w:p>
      <w:pPr>
        <w:adjustRightInd w:val="0"/>
        <w:snapToGrid w:val="0"/>
        <w:spacing w:line="360" w:lineRule="auto"/>
        <w:rPr>
          <w:b/>
          <w:bCs/>
          <w:color w:val="auto"/>
          <w:sz w:val="24"/>
          <w:szCs w:val="24"/>
          <w:highlight w:val="none"/>
        </w:rPr>
      </w:pPr>
      <w:bookmarkStart w:id="1529" w:name="_Toc179632764"/>
      <w:bookmarkStart w:id="1530" w:name="_Toc152045746"/>
      <w:bookmarkStart w:id="1531" w:name="_Toc152042525"/>
      <w:bookmarkStart w:id="1532" w:name="_Toc513794049"/>
      <w:bookmarkStart w:id="1533" w:name="_Toc144974717"/>
      <w:r>
        <w:rPr>
          <w:rFonts w:hint="eastAsia"/>
          <w:b/>
          <w:bCs/>
          <w:color w:val="auto"/>
          <w:sz w:val="24"/>
          <w:szCs w:val="24"/>
          <w:highlight w:val="none"/>
        </w:rPr>
        <w:t>20.4 第三者责任险</w:t>
      </w:r>
      <w:bookmarkEnd w:id="1529"/>
      <w:bookmarkEnd w:id="1530"/>
      <w:bookmarkEnd w:id="1531"/>
      <w:bookmarkEnd w:id="1532"/>
      <w:bookmarkEnd w:id="153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20.4.2 在缺陷责任期终止证书颁发前，承包人应以承包人和发包人的共同名义，投保第20.4.1项约定的第三者责任险，其保险费率、保险金额等有关内容在专用合同条款中约定。</w:t>
      </w:r>
    </w:p>
    <w:p>
      <w:pPr>
        <w:adjustRightInd w:val="0"/>
        <w:snapToGrid w:val="0"/>
        <w:spacing w:line="360" w:lineRule="auto"/>
        <w:rPr>
          <w:b/>
          <w:bCs/>
          <w:color w:val="auto"/>
          <w:sz w:val="24"/>
          <w:szCs w:val="24"/>
          <w:highlight w:val="none"/>
        </w:rPr>
      </w:pPr>
      <w:bookmarkStart w:id="1534" w:name="_Toc513794050"/>
      <w:bookmarkStart w:id="1535" w:name="_Toc152045747"/>
      <w:bookmarkStart w:id="1536" w:name="_Toc179632765"/>
      <w:bookmarkStart w:id="1537" w:name="_Toc144974718"/>
      <w:bookmarkStart w:id="1538" w:name="_Toc152042526"/>
      <w:r>
        <w:rPr>
          <w:rFonts w:hint="eastAsia"/>
          <w:b/>
          <w:bCs/>
          <w:color w:val="auto"/>
          <w:sz w:val="24"/>
          <w:szCs w:val="24"/>
          <w:highlight w:val="none"/>
        </w:rPr>
        <w:t>20.5 其他保险</w:t>
      </w:r>
      <w:bookmarkEnd w:id="1534"/>
      <w:bookmarkEnd w:id="1535"/>
      <w:bookmarkEnd w:id="1536"/>
      <w:bookmarkEnd w:id="1537"/>
      <w:bookmarkEnd w:id="153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除专用合同条款另有约定外，承包人应为其施工设备、进场的材料和工程设备等办理保险。</w:t>
      </w:r>
    </w:p>
    <w:p>
      <w:pPr>
        <w:adjustRightInd w:val="0"/>
        <w:snapToGrid w:val="0"/>
        <w:spacing w:line="360" w:lineRule="auto"/>
        <w:rPr>
          <w:b/>
          <w:bCs/>
          <w:color w:val="auto"/>
          <w:sz w:val="24"/>
          <w:szCs w:val="24"/>
          <w:highlight w:val="none"/>
        </w:rPr>
      </w:pPr>
      <w:bookmarkStart w:id="1539" w:name="_Toc152042527"/>
      <w:bookmarkStart w:id="1540" w:name="_Toc144974719"/>
      <w:bookmarkStart w:id="1541" w:name="_Toc513794051"/>
      <w:bookmarkStart w:id="1542" w:name="_Toc179632766"/>
      <w:bookmarkStart w:id="1543" w:name="_Toc152045748"/>
      <w:r>
        <w:rPr>
          <w:rFonts w:hint="eastAsia"/>
          <w:b/>
          <w:bCs/>
          <w:color w:val="auto"/>
          <w:sz w:val="24"/>
          <w:szCs w:val="24"/>
          <w:highlight w:val="none"/>
        </w:rPr>
        <w:t>20.6 对各项保险的一般要求</w:t>
      </w:r>
      <w:bookmarkEnd w:id="1539"/>
      <w:bookmarkEnd w:id="1540"/>
      <w:bookmarkEnd w:id="1541"/>
      <w:bookmarkEnd w:id="1542"/>
      <w:bookmarkEnd w:id="154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20.6.1 保险凭证</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承包人应在专用合同条款约定的期限内向发包人提交各项保险生效的证据和保险单副本，保险单必须与专用合同条款约定的条件保持一致。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20.6.2 保险合同条款的变动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承包人需要变动保险合同条款时，应事先征得发包人同意，并通知监理人。保险人作出变动的，承包人应在收到保险人通知后立即通知发包人和监理人。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20.6.3 持续保险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承包人应与保险人保持联系，使保险人能够随时了解工程实施中的变动，并确保按保险合同条款要求持续保险。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20.6.4 保险金不足的补偿</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保险金不足以补偿损失的，应由承包人和（或）发包人按合同约定负责补偿。</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20.6.5 未按约定投保的补救</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（1）由于负有投保义务的一方当事人未按合同约定办理保险，或未能使保险持续有效的，另一方当事人可代为办理，所需费用由对方当事人承担。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20.6.6 报告义务</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当保险事故发生时，投保人应按照保险单规定的条件和期限及时向保险人报告。</w:t>
      </w:r>
    </w:p>
    <w:p>
      <w:pPr>
        <w:adjustRightInd w:val="0"/>
        <w:snapToGrid w:val="0"/>
        <w:spacing w:line="360" w:lineRule="auto"/>
        <w:outlineLvl w:val="2"/>
        <w:rPr>
          <w:b/>
          <w:bCs/>
          <w:color w:val="auto"/>
          <w:sz w:val="24"/>
          <w:szCs w:val="24"/>
          <w:highlight w:val="none"/>
        </w:rPr>
      </w:pPr>
      <w:bookmarkStart w:id="1544" w:name="_Toc8737"/>
      <w:bookmarkStart w:id="1545" w:name="_Toc27294"/>
      <w:bookmarkStart w:id="1546" w:name="_Toc152045749"/>
      <w:bookmarkStart w:id="1547" w:name="_Toc30129"/>
      <w:bookmarkStart w:id="1548" w:name="_Toc27618"/>
      <w:bookmarkStart w:id="1549" w:name="_Toc30237"/>
      <w:bookmarkStart w:id="1550" w:name="_Toc152042528"/>
      <w:bookmarkStart w:id="1551" w:name="_Toc513794052"/>
      <w:bookmarkStart w:id="1552" w:name="_Toc179632767"/>
      <w:bookmarkStart w:id="1553" w:name="_Toc13225"/>
      <w:bookmarkStart w:id="1554" w:name="_Toc28341"/>
      <w:bookmarkStart w:id="1555" w:name="_Toc21253"/>
      <w:bookmarkStart w:id="1556" w:name="_Toc144974720"/>
      <w:bookmarkStart w:id="1557" w:name="_Toc12654"/>
      <w:bookmarkStart w:id="1558" w:name="_Toc9769"/>
      <w:bookmarkStart w:id="1559" w:name="_Toc19423"/>
      <w:bookmarkStart w:id="1560" w:name="_Toc16689"/>
      <w:bookmarkStart w:id="1561" w:name="_Toc23566"/>
      <w:bookmarkStart w:id="1562" w:name="_Toc18357"/>
      <w:r>
        <w:rPr>
          <w:rFonts w:hint="eastAsia"/>
          <w:b/>
          <w:bCs/>
          <w:color w:val="auto"/>
          <w:sz w:val="24"/>
          <w:szCs w:val="24"/>
          <w:highlight w:val="none"/>
        </w:rPr>
        <w:t>21. 不可抗力</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pPr>
        <w:adjustRightInd w:val="0"/>
        <w:snapToGrid w:val="0"/>
        <w:spacing w:line="360" w:lineRule="auto"/>
        <w:rPr>
          <w:b/>
          <w:bCs/>
          <w:color w:val="auto"/>
          <w:sz w:val="24"/>
          <w:szCs w:val="24"/>
          <w:highlight w:val="none"/>
        </w:rPr>
      </w:pPr>
      <w:bookmarkStart w:id="1563" w:name="_Toc513794053"/>
      <w:bookmarkStart w:id="1564" w:name="_Toc179632768"/>
      <w:bookmarkStart w:id="1565" w:name="_Toc152045750"/>
      <w:bookmarkStart w:id="1566" w:name="_Toc144974721"/>
      <w:bookmarkStart w:id="1567" w:name="_Toc152042529"/>
      <w:r>
        <w:rPr>
          <w:rFonts w:hint="eastAsia"/>
          <w:b/>
          <w:bCs/>
          <w:color w:val="auto"/>
          <w:sz w:val="24"/>
          <w:szCs w:val="24"/>
          <w:highlight w:val="none"/>
        </w:rPr>
        <w:t>21.1 不可抗力的确认</w:t>
      </w:r>
      <w:bookmarkEnd w:id="1563"/>
      <w:bookmarkEnd w:id="1564"/>
      <w:bookmarkEnd w:id="1565"/>
      <w:bookmarkEnd w:id="1566"/>
      <w:bookmarkEnd w:id="156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adjustRightInd w:val="0"/>
        <w:snapToGrid w:val="0"/>
        <w:spacing w:line="360" w:lineRule="auto"/>
        <w:rPr>
          <w:b/>
          <w:bCs/>
          <w:color w:val="auto"/>
          <w:sz w:val="24"/>
          <w:szCs w:val="24"/>
          <w:highlight w:val="none"/>
        </w:rPr>
      </w:pPr>
      <w:bookmarkStart w:id="1568" w:name="_Toc144974722"/>
      <w:bookmarkStart w:id="1569" w:name="_Toc513794054"/>
      <w:bookmarkStart w:id="1570" w:name="_Toc152042530"/>
      <w:bookmarkStart w:id="1571" w:name="_Toc179632769"/>
      <w:bookmarkStart w:id="1572" w:name="_Toc152045751"/>
      <w:r>
        <w:rPr>
          <w:rFonts w:hint="eastAsia"/>
          <w:b/>
          <w:bCs/>
          <w:color w:val="auto"/>
          <w:sz w:val="24"/>
          <w:szCs w:val="24"/>
          <w:highlight w:val="none"/>
        </w:rPr>
        <w:t>21.2 不可抗力的通知</w:t>
      </w:r>
      <w:bookmarkEnd w:id="1568"/>
      <w:bookmarkEnd w:id="1569"/>
      <w:bookmarkEnd w:id="1570"/>
      <w:bookmarkEnd w:id="1571"/>
      <w:bookmarkEnd w:id="1572"/>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60" w:lineRule="auto"/>
        <w:rPr>
          <w:b/>
          <w:bCs/>
          <w:color w:val="auto"/>
          <w:sz w:val="24"/>
          <w:szCs w:val="24"/>
          <w:highlight w:val="none"/>
        </w:rPr>
      </w:pPr>
      <w:bookmarkStart w:id="1573" w:name="_Toc513794055"/>
      <w:bookmarkStart w:id="1574" w:name="_Toc152042531"/>
      <w:bookmarkStart w:id="1575" w:name="_Toc179632770"/>
      <w:bookmarkStart w:id="1576" w:name="_Toc152045752"/>
      <w:bookmarkStart w:id="1577" w:name="_Toc144974723"/>
      <w:r>
        <w:rPr>
          <w:rFonts w:hint="eastAsia"/>
          <w:b/>
          <w:bCs/>
          <w:color w:val="auto"/>
          <w:sz w:val="24"/>
          <w:szCs w:val="24"/>
          <w:highlight w:val="none"/>
        </w:rPr>
        <w:t>21.3 不可抗力后果及其处理</w:t>
      </w:r>
      <w:bookmarkEnd w:id="1573"/>
      <w:bookmarkEnd w:id="1574"/>
      <w:bookmarkEnd w:id="1575"/>
      <w:bookmarkEnd w:id="1576"/>
      <w:bookmarkEnd w:id="1577"/>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21.3.1 不可抗力造成损害的责任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除专用合同条款另有约定外，不可抗力导致的人员伤亡、财产损失、费用增加和（或）工期延误等后果，由合同双方按以下原则承担：</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（1）永久工程，包括已运至施工场地的材料和工程设备的损害，以及因工程损害造成的第三者人员伤亡和财产损失由发包人承担；</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（2）承包人设备的损坏由承包人承担；</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（3）发包人和承包人各自承担其人员伤亡和其他财产损失及其相关费用；</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（4）承包人的停工损失由承包人承担，但停工期间应监理人要求照管工程和清理、修复工程的金额由发包人承担；</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（5）不能按期竣工的，应合理延长工期，承包人不需支付逾期竣工违约金。发包人要求赶工的，承包人应采取赶工措施，赶工费用由发包人承担。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21.3.2 延迟履行期间发生的不可抗力</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合同一方当事人延迟履行，在延迟履行期间发生不可抗力的，不免除其责任。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21.3.3 避免和减少不可抗力损失</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不可抗力发生后，发包人和承包人均应采取措施尽量避免和减少损失的扩大，任何一方没有采取有效措施导致损失扩大的，应对扩大的损失承担责任。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21.3.4 因不可抗力解除合同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adjustRightInd w:val="0"/>
        <w:snapToGrid w:val="0"/>
        <w:spacing w:line="360" w:lineRule="auto"/>
        <w:outlineLvl w:val="2"/>
        <w:rPr>
          <w:b/>
          <w:bCs/>
          <w:color w:val="auto"/>
          <w:sz w:val="24"/>
          <w:szCs w:val="24"/>
          <w:highlight w:val="none"/>
        </w:rPr>
      </w:pPr>
      <w:bookmarkStart w:id="1578" w:name="_Toc152042532"/>
      <w:bookmarkStart w:id="1579" w:name="_Toc26645"/>
      <w:bookmarkStart w:id="1580" w:name="_Toc24608"/>
      <w:bookmarkStart w:id="1581" w:name="_Toc5949"/>
      <w:bookmarkStart w:id="1582" w:name="_Toc23939"/>
      <w:bookmarkStart w:id="1583" w:name="_Toc16184"/>
      <w:bookmarkStart w:id="1584" w:name="_Toc23603"/>
      <w:bookmarkStart w:id="1585" w:name="_Toc179632771"/>
      <w:bookmarkStart w:id="1586" w:name="_Toc152045753"/>
      <w:bookmarkStart w:id="1587" w:name="_Toc144974724"/>
      <w:bookmarkStart w:id="1588" w:name="_Toc7786"/>
      <w:bookmarkStart w:id="1589" w:name="_Toc8814"/>
      <w:bookmarkStart w:id="1590" w:name="_Toc28379"/>
      <w:bookmarkStart w:id="1591" w:name="_Toc10003"/>
      <w:bookmarkStart w:id="1592" w:name="_Toc7459"/>
      <w:bookmarkStart w:id="1593" w:name="_Toc25162"/>
      <w:bookmarkStart w:id="1594" w:name="_Toc17563"/>
      <w:bookmarkStart w:id="1595" w:name="_Toc513794056"/>
      <w:bookmarkStart w:id="1596" w:name="_Toc24198"/>
      <w:r>
        <w:rPr>
          <w:rFonts w:hint="eastAsia"/>
          <w:b/>
          <w:bCs/>
          <w:color w:val="auto"/>
          <w:sz w:val="24"/>
          <w:szCs w:val="24"/>
          <w:highlight w:val="none"/>
        </w:rPr>
        <w:t>22. 违约</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pPr>
        <w:adjustRightInd w:val="0"/>
        <w:snapToGrid w:val="0"/>
        <w:spacing w:line="360" w:lineRule="auto"/>
        <w:rPr>
          <w:b/>
          <w:bCs/>
          <w:color w:val="auto"/>
          <w:sz w:val="24"/>
          <w:szCs w:val="24"/>
          <w:highlight w:val="none"/>
        </w:rPr>
      </w:pPr>
      <w:bookmarkStart w:id="1597" w:name="_Toc179632772"/>
      <w:bookmarkStart w:id="1598" w:name="_Toc152045754"/>
      <w:bookmarkStart w:id="1599" w:name="_Toc144974725"/>
      <w:bookmarkStart w:id="1600" w:name="_Toc152042533"/>
      <w:bookmarkStart w:id="1601" w:name="_Toc513794057"/>
      <w:r>
        <w:rPr>
          <w:rFonts w:hint="eastAsia"/>
          <w:b/>
          <w:bCs/>
          <w:color w:val="auto"/>
          <w:sz w:val="24"/>
          <w:szCs w:val="24"/>
          <w:highlight w:val="none"/>
        </w:rPr>
        <w:t>22.1 承包人违约</w:t>
      </w:r>
      <w:bookmarkEnd w:id="1597"/>
      <w:bookmarkEnd w:id="1598"/>
      <w:bookmarkEnd w:id="1599"/>
      <w:bookmarkEnd w:id="1600"/>
      <w:bookmarkEnd w:id="1601"/>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22.1.1承包人违约的情形</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在履行合同过程中发生的下列情况属承包人违约：</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（1）承包人违反第1.8款或第4.3款的约定，私自将合同的全部或部分权利转让给其他人，或私自将合同的全部或部分义务转移给其他人；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（2）承包人违反第5.3款或第6.4款的约定，未经监理人批准，私自将已按合同约定进入施工场地的施工设备、临时设施或材料撤离施工场地；</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（3）承包人违反第5.4款的约定使用了不合格材料或工程设备，工程质量达不到标准要求，又拒绝清除不合格工程；</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（4）承包人未能按合同进度计划及时完成合同约定的工作，已造成或预期造成工期延误；</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（5）承包人在缺陷责任期内，未能对工程接收证书所列的缺陷清单的内容或缺陷责任期内发生的缺陷进行修复，而又拒绝按监理人指示再进行修补；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（6）承包人无法继续履行或明确表示不履行或实质上已停止履行合同；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（7）承包人不按合同约定履行义务的其他情况。</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22.1.2对承包人违约的处理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（1）承包人发生第22.1.1（6）目约定的违约情况时，发包人可通知承包人立即解除合同，并按有关法律处理。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（2）承包人发生除第22.1.1（6）目约定以外的其他违约情况时，监理人可向承包人发出整改通知，要求其在指定的期限内改正。承包人应承担其违约所引起的费用增加和（或）工期延误。</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（3）经检查证明承包人已采取了有效措施纠正违约行为，具备复工条件的，可由监理人签发复工通知复工。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22.1.3承包人违约解除合同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22.1.4合同解除后的估价、付款和结清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（1）合同解除后，监理人按第3.5款商定或确定承包人实际完成工作的价值，以及承包人已提供的材料、施工设备、工程设备和临时工程等的价值。</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（2）合同解除后，发包人应暂停对承包人的一切付款，查清各项付款和已扣款金额，包括承包人应支付的违约金。</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（3）合同解除后，发包人应按第23.4款的约定向承包人索赔由于解除合同给发包人造成的损失。</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（4）合同双方确认上述往来款项后，出具最终结清付款证书，结清全部合同款项。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（5）发包人和承包人未能就解除合同后的结清达成一致而形成争议的，按第24条的约定办理。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22.1.5协议利益的转让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因承包人违约解除合同的，发包人有权要求承包人将其为实施合同而签订的材料和设备的订货协议或任何服务协议利益转让给发包人，并在解除合同后的14天内，依法办理转让手续。</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22.1.6紧急情况下无能力或不愿进行抢救</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60" w:lineRule="auto"/>
        <w:rPr>
          <w:b/>
          <w:bCs/>
          <w:color w:val="auto"/>
          <w:sz w:val="24"/>
          <w:szCs w:val="24"/>
          <w:highlight w:val="none"/>
        </w:rPr>
      </w:pPr>
      <w:bookmarkStart w:id="1602" w:name="_Toc144974726"/>
      <w:bookmarkStart w:id="1603" w:name="_Toc152042534"/>
      <w:bookmarkStart w:id="1604" w:name="_Toc152045755"/>
      <w:bookmarkStart w:id="1605" w:name="_Toc513794058"/>
      <w:bookmarkStart w:id="1606" w:name="_Toc179632773"/>
      <w:r>
        <w:rPr>
          <w:rFonts w:hint="eastAsia"/>
          <w:b/>
          <w:bCs/>
          <w:color w:val="auto"/>
          <w:sz w:val="24"/>
          <w:szCs w:val="24"/>
          <w:highlight w:val="none"/>
        </w:rPr>
        <w:t>22.2 发包人违约</w:t>
      </w:r>
      <w:bookmarkEnd w:id="1602"/>
      <w:bookmarkEnd w:id="1603"/>
      <w:bookmarkEnd w:id="1604"/>
      <w:bookmarkEnd w:id="1605"/>
      <w:bookmarkEnd w:id="1606"/>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22.2.1 发包人违约的情形</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在履行合同过程中发生的下列情形，属发包人违约：</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（1）发包人未能按合同约定支付预付款或合同价款，或拖延、拒绝批准付款申请和支付凭证，导致付款延误的；</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（2）发包人原因造成停工的；</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（3）监理人无正当理由没有在约定期限内发出复工指示，导致承包人无法复工的；</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（4）发包人无法继续履行或明确表示不履行或实质上已停止履行合同的；</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（5）发包人不履行合同约定其他义务的。</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22.2.2承包人有权暂停施工</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22.2.3发包人违约解除合同</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（1）发生第22.2.1（4）目的违约情况时，承包人可书面通知发包人解除合同。</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22.2.4解除合同后的付款</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因发包人违约解除合同的，发包人应在解除合同后28天内向承包人支付下列金额，承包人应在此期限内及时向发包人提交要求支付下列金额的有关资料和凭证：</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（1）合同解除日以前所完成工作的价款；</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（2）承包人为该工程施工订购并已付款的材料、工程设备和其他物品的金额。发包人付还后，该材料、工程设备和其他物品归发包人所有；</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（3）承包人为完成工程所发生的，而发包人未支付的金额；</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（4）承包人撤离施工场地以及遣散承包人人员的金额；</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（5）由于解除合同应赔偿的承包人损失；</w:t>
      </w:r>
    </w:p>
    <w:p>
      <w:pPr>
        <w:adjustRightInd w:val="0"/>
        <w:snapToGrid w:val="0"/>
        <w:spacing w:line="360" w:lineRule="auto"/>
        <w:ind w:firstLine="820" w:firstLineChars="342"/>
        <w:rPr>
          <w:color w:val="auto"/>
          <w:sz w:val="24"/>
          <w:szCs w:val="24"/>
          <w:highlight w:val="none"/>
        </w:rPr>
      </w:pPr>
      <w:r>
        <w:rPr>
          <w:rFonts w:hint="eastAsia"/>
          <w:color w:val="auto"/>
          <w:sz w:val="24"/>
          <w:szCs w:val="24"/>
          <w:highlight w:val="none"/>
        </w:rPr>
        <w:t>（6）按合同约定在合同解除日前应支付给承包人的其他金额。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发包人应按本项约定支付上述金额并退还质量保证金和履约担保，但有权要求承包人支付应偿还给发包人的各项金额。</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22.2.5解除合同后的承包人撤离</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adjustRightInd w:val="0"/>
        <w:snapToGrid w:val="0"/>
        <w:spacing w:line="360" w:lineRule="auto"/>
        <w:rPr>
          <w:b/>
          <w:bCs/>
          <w:color w:val="auto"/>
          <w:sz w:val="24"/>
          <w:szCs w:val="24"/>
          <w:highlight w:val="none"/>
        </w:rPr>
      </w:pPr>
      <w:bookmarkStart w:id="1607" w:name="_Toc152042535"/>
      <w:bookmarkStart w:id="1608" w:name="_Toc179632774"/>
      <w:bookmarkStart w:id="1609" w:name="_Toc152045756"/>
      <w:bookmarkStart w:id="1610" w:name="_Toc513794059"/>
      <w:r>
        <w:rPr>
          <w:rFonts w:hint="eastAsia"/>
          <w:b/>
          <w:bCs/>
          <w:color w:val="auto"/>
          <w:sz w:val="24"/>
          <w:szCs w:val="24"/>
          <w:highlight w:val="none"/>
        </w:rPr>
        <w:t>22.3 第三人造成的违约</w:t>
      </w:r>
      <w:bookmarkEnd w:id="1607"/>
      <w:bookmarkEnd w:id="1608"/>
      <w:bookmarkEnd w:id="1609"/>
      <w:bookmarkEnd w:id="1610"/>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pPr>
        <w:adjustRightInd w:val="0"/>
        <w:snapToGrid w:val="0"/>
        <w:spacing w:line="360" w:lineRule="auto"/>
        <w:outlineLvl w:val="2"/>
        <w:rPr>
          <w:b/>
          <w:bCs/>
          <w:color w:val="auto"/>
          <w:sz w:val="24"/>
          <w:szCs w:val="24"/>
          <w:highlight w:val="none"/>
        </w:rPr>
      </w:pPr>
      <w:bookmarkStart w:id="1611" w:name="_Toc152045757"/>
      <w:bookmarkStart w:id="1612" w:name="_Toc3794"/>
      <w:bookmarkStart w:id="1613" w:name="_Toc22210"/>
      <w:bookmarkStart w:id="1614" w:name="_Toc179632775"/>
      <w:bookmarkStart w:id="1615" w:name="_Toc15561"/>
      <w:bookmarkStart w:id="1616" w:name="_Toc21771"/>
      <w:bookmarkStart w:id="1617" w:name="_Toc22405"/>
      <w:bookmarkStart w:id="1618" w:name="_Toc16296"/>
      <w:bookmarkStart w:id="1619" w:name="_Toc8209"/>
      <w:bookmarkStart w:id="1620" w:name="_Toc324"/>
      <w:bookmarkStart w:id="1621" w:name="_Toc16288"/>
      <w:bookmarkStart w:id="1622" w:name="_Toc22796"/>
      <w:bookmarkStart w:id="1623" w:name="_Toc152042536"/>
      <w:bookmarkStart w:id="1624" w:name="_Toc513794060"/>
      <w:bookmarkStart w:id="1625" w:name="_Toc144974727"/>
      <w:bookmarkStart w:id="1626" w:name="_Toc29208"/>
      <w:bookmarkStart w:id="1627" w:name="_Toc16631"/>
      <w:bookmarkStart w:id="1628" w:name="_Toc6984"/>
      <w:bookmarkStart w:id="1629" w:name="_Toc26852"/>
      <w:r>
        <w:rPr>
          <w:rFonts w:hint="eastAsia"/>
          <w:b/>
          <w:bCs/>
          <w:color w:val="auto"/>
          <w:sz w:val="24"/>
          <w:szCs w:val="24"/>
          <w:highlight w:val="none"/>
        </w:rPr>
        <w:t>23. 索赔</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pPr>
        <w:adjustRightInd w:val="0"/>
        <w:snapToGrid w:val="0"/>
        <w:spacing w:line="360" w:lineRule="auto"/>
        <w:rPr>
          <w:b/>
          <w:bCs/>
          <w:color w:val="auto"/>
          <w:sz w:val="24"/>
          <w:szCs w:val="24"/>
          <w:highlight w:val="none"/>
        </w:rPr>
      </w:pPr>
      <w:bookmarkStart w:id="1630" w:name="_Toc152045758"/>
      <w:bookmarkStart w:id="1631" w:name="_Toc513794061"/>
      <w:bookmarkStart w:id="1632" w:name="_Toc144974728"/>
      <w:bookmarkStart w:id="1633" w:name="_Toc152042537"/>
      <w:bookmarkStart w:id="1634" w:name="_Toc179632776"/>
      <w:r>
        <w:rPr>
          <w:rFonts w:hint="eastAsia"/>
          <w:b/>
          <w:bCs/>
          <w:color w:val="auto"/>
          <w:sz w:val="24"/>
          <w:szCs w:val="24"/>
          <w:highlight w:val="none"/>
        </w:rPr>
        <w:t>23.1 承包人索赔的提出</w:t>
      </w:r>
      <w:bookmarkEnd w:id="1630"/>
      <w:bookmarkEnd w:id="1631"/>
      <w:bookmarkEnd w:id="1632"/>
      <w:bookmarkEnd w:id="1633"/>
      <w:bookmarkEnd w:id="163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根据合同约定，承包人认为有权得到追加付款和（或）延长工期的，应按以下程序向发包人提出索赔：</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（3）索赔事件具有连续影响的，承包人应按合理时间间隔继续递交延续索赔通知，说明连续影响的实际情况和记录，列出累计的追加付款金额和（或）工期延长天数；</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（4）在索赔事件影响结束后的28天内，承包人应向监理人递交最终索赔通知书，说明最终要求索赔的追加付款金额和延长的工期，并附必要的记录和证明材料。</w:t>
      </w:r>
    </w:p>
    <w:p>
      <w:pPr>
        <w:adjustRightInd w:val="0"/>
        <w:snapToGrid w:val="0"/>
        <w:spacing w:line="360" w:lineRule="auto"/>
        <w:rPr>
          <w:b/>
          <w:bCs/>
          <w:color w:val="auto"/>
          <w:sz w:val="24"/>
          <w:szCs w:val="24"/>
          <w:highlight w:val="none"/>
        </w:rPr>
      </w:pPr>
      <w:bookmarkStart w:id="1635" w:name="_Toc152045759"/>
      <w:bookmarkStart w:id="1636" w:name="_Toc179632777"/>
      <w:bookmarkStart w:id="1637" w:name="_Toc144974729"/>
      <w:bookmarkStart w:id="1638" w:name="_Toc513794062"/>
      <w:bookmarkStart w:id="1639" w:name="_Toc152042538"/>
      <w:r>
        <w:rPr>
          <w:rFonts w:hint="eastAsia"/>
          <w:b/>
          <w:bCs/>
          <w:color w:val="auto"/>
          <w:sz w:val="24"/>
          <w:szCs w:val="24"/>
          <w:highlight w:val="none"/>
        </w:rPr>
        <w:t>23.2 承包人索赔处理程序</w:t>
      </w:r>
      <w:bookmarkEnd w:id="1635"/>
      <w:bookmarkEnd w:id="1636"/>
      <w:bookmarkEnd w:id="1637"/>
      <w:bookmarkEnd w:id="1638"/>
      <w:bookmarkEnd w:id="1639"/>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（1）监理人收到承包人提交的索赔通知书后，应及时审查索赔通知书的内容、查验承包人的记录和证明材料，必要时监理人可要求承包人提交全部原始记录副本。</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（2）监理人应按第3.5款商定或确定追加的付款和（或）延长的工期，并在收到上述索赔通知书或有关索赔的进一步证明材料后的42天内，将索赔处理结果答复承包人。</w:t>
      </w:r>
    </w:p>
    <w:p>
      <w:pPr>
        <w:adjustRightInd w:val="0"/>
        <w:snapToGrid w:val="0"/>
        <w:spacing w:line="360" w:lineRule="auto"/>
        <w:ind w:firstLine="410" w:firstLineChars="171"/>
        <w:rPr>
          <w:color w:val="auto"/>
          <w:sz w:val="24"/>
          <w:szCs w:val="24"/>
          <w:highlight w:val="none"/>
        </w:rPr>
      </w:pPr>
      <w:r>
        <w:rPr>
          <w:rFonts w:hint="eastAsia"/>
          <w:color w:val="auto"/>
          <w:sz w:val="24"/>
          <w:szCs w:val="24"/>
          <w:highlight w:val="none"/>
        </w:rPr>
        <w:t>（3）承包人接受索赔处理结果的，发包人应在作出索赔处理结果答复后28天内完成赔付。承包人不接受索赔处理结果的，按第24条的约定办理。</w:t>
      </w:r>
    </w:p>
    <w:p>
      <w:pPr>
        <w:adjustRightInd w:val="0"/>
        <w:snapToGrid w:val="0"/>
        <w:spacing w:line="360" w:lineRule="auto"/>
        <w:rPr>
          <w:b/>
          <w:bCs/>
          <w:color w:val="auto"/>
          <w:sz w:val="24"/>
          <w:szCs w:val="24"/>
          <w:highlight w:val="none"/>
        </w:rPr>
      </w:pPr>
      <w:bookmarkStart w:id="1640" w:name="_Toc179632778"/>
      <w:bookmarkStart w:id="1641" w:name="_Toc513794063"/>
      <w:bookmarkStart w:id="1642" w:name="_Toc152045760"/>
      <w:bookmarkStart w:id="1643" w:name="_Toc152042539"/>
      <w:bookmarkStart w:id="1644" w:name="_Toc144974730"/>
      <w:r>
        <w:rPr>
          <w:rFonts w:hint="eastAsia"/>
          <w:b/>
          <w:bCs/>
          <w:color w:val="auto"/>
          <w:sz w:val="24"/>
          <w:szCs w:val="24"/>
          <w:highlight w:val="none"/>
        </w:rPr>
        <w:t>23.3 承包人提出索赔的期限</w:t>
      </w:r>
      <w:bookmarkEnd w:id="1640"/>
      <w:bookmarkEnd w:id="1641"/>
      <w:bookmarkEnd w:id="1642"/>
      <w:bookmarkEnd w:id="1643"/>
      <w:bookmarkEnd w:id="1644"/>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23.3.1 承包人按第17.5款的约定接受了竣工付款证书后，应被认为已无权再提出在合同工程接收证书颁发前所发生的任何索赔。</w:t>
      </w:r>
    </w:p>
    <w:p>
      <w:pPr>
        <w:adjustRightInd w:val="0"/>
        <w:snapToGrid w:val="0"/>
        <w:spacing w:line="360" w:lineRule="auto"/>
        <w:ind w:firstLine="480" w:firstLineChars="200"/>
        <w:rPr>
          <w:color w:val="auto"/>
          <w:sz w:val="24"/>
          <w:szCs w:val="24"/>
          <w:highlight w:val="none"/>
          <w:shd w:val="pct10" w:color="auto" w:fill="FFFFFF"/>
        </w:rPr>
      </w:pPr>
      <w:r>
        <w:rPr>
          <w:rFonts w:hint="eastAsia"/>
          <w:color w:val="auto"/>
          <w:sz w:val="24"/>
          <w:szCs w:val="24"/>
          <w:highlight w:val="none"/>
        </w:rPr>
        <w:t>23.3.2 承包人按第17.6款的约定提交的最终结清申请单中，只限于提出工程接收证书颁发后发生的索赔。提出索赔的期限自接受最终结清证书时终止。</w:t>
      </w:r>
    </w:p>
    <w:p>
      <w:pPr>
        <w:adjustRightInd w:val="0"/>
        <w:snapToGrid w:val="0"/>
        <w:spacing w:line="360" w:lineRule="auto"/>
        <w:rPr>
          <w:b/>
          <w:bCs/>
          <w:color w:val="auto"/>
          <w:sz w:val="24"/>
          <w:szCs w:val="24"/>
          <w:highlight w:val="none"/>
        </w:rPr>
      </w:pPr>
      <w:bookmarkStart w:id="1645" w:name="_Toc144974731"/>
      <w:bookmarkStart w:id="1646" w:name="_Toc179632779"/>
      <w:bookmarkStart w:id="1647" w:name="_Toc152042540"/>
      <w:bookmarkStart w:id="1648" w:name="_Toc152045761"/>
      <w:bookmarkStart w:id="1649" w:name="_Toc513794064"/>
      <w:r>
        <w:rPr>
          <w:rFonts w:hint="eastAsia"/>
          <w:b/>
          <w:bCs/>
          <w:color w:val="auto"/>
          <w:sz w:val="24"/>
          <w:szCs w:val="24"/>
          <w:highlight w:val="none"/>
        </w:rPr>
        <w:t>23.4 发包人的索赔</w:t>
      </w:r>
      <w:bookmarkEnd w:id="1645"/>
      <w:bookmarkEnd w:id="1646"/>
      <w:bookmarkEnd w:id="1647"/>
      <w:bookmarkEnd w:id="1648"/>
      <w:bookmarkEnd w:id="1649"/>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60" w:lineRule="auto"/>
        <w:outlineLvl w:val="2"/>
        <w:rPr>
          <w:b/>
          <w:bCs/>
          <w:color w:val="auto"/>
          <w:sz w:val="24"/>
          <w:szCs w:val="24"/>
          <w:highlight w:val="none"/>
        </w:rPr>
      </w:pPr>
      <w:bookmarkStart w:id="1650" w:name="_Toc20471"/>
      <w:bookmarkStart w:id="1651" w:name="_Toc17545"/>
      <w:bookmarkStart w:id="1652" w:name="_Toc179632780"/>
      <w:bookmarkStart w:id="1653" w:name="_Toc30859"/>
      <w:bookmarkStart w:id="1654" w:name="_Toc30052"/>
      <w:bookmarkStart w:id="1655" w:name="_Toc27819"/>
      <w:bookmarkStart w:id="1656" w:name="_Toc32186"/>
      <w:bookmarkStart w:id="1657" w:name="_Toc21914"/>
      <w:bookmarkStart w:id="1658" w:name="_Toc28306"/>
      <w:bookmarkStart w:id="1659" w:name="_Toc152042541"/>
      <w:bookmarkStart w:id="1660" w:name="_Toc19926"/>
      <w:bookmarkStart w:id="1661" w:name="_Toc7270"/>
      <w:bookmarkStart w:id="1662" w:name="_Toc144974732"/>
      <w:bookmarkStart w:id="1663" w:name="_Toc152045762"/>
      <w:bookmarkStart w:id="1664" w:name="_Toc513794065"/>
      <w:bookmarkStart w:id="1665" w:name="_Toc3928"/>
      <w:bookmarkStart w:id="1666" w:name="_Toc19582"/>
      <w:bookmarkStart w:id="1667" w:name="_Toc28575"/>
      <w:bookmarkStart w:id="1668" w:name="_Toc14291"/>
      <w:r>
        <w:rPr>
          <w:rFonts w:hint="eastAsia"/>
          <w:b/>
          <w:bCs/>
          <w:color w:val="auto"/>
          <w:sz w:val="24"/>
          <w:szCs w:val="24"/>
          <w:highlight w:val="none"/>
        </w:rPr>
        <w:t>24. 争议的解决</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pPr>
        <w:adjustRightInd w:val="0"/>
        <w:snapToGrid w:val="0"/>
        <w:spacing w:line="360" w:lineRule="auto"/>
        <w:rPr>
          <w:b/>
          <w:bCs/>
          <w:color w:val="auto"/>
          <w:sz w:val="24"/>
          <w:szCs w:val="24"/>
          <w:highlight w:val="none"/>
        </w:rPr>
      </w:pPr>
      <w:bookmarkStart w:id="1669" w:name="_Toc144974733"/>
      <w:bookmarkStart w:id="1670" w:name="_Toc152045763"/>
      <w:bookmarkStart w:id="1671" w:name="_Toc513794066"/>
      <w:bookmarkStart w:id="1672" w:name="_Toc179632781"/>
      <w:bookmarkStart w:id="1673" w:name="_Toc152042542"/>
      <w:r>
        <w:rPr>
          <w:rFonts w:hint="eastAsia"/>
          <w:b/>
          <w:bCs/>
          <w:color w:val="auto"/>
          <w:sz w:val="24"/>
          <w:szCs w:val="24"/>
          <w:highlight w:val="none"/>
        </w:rPr>
        <w:t>24.1 争议的解决方式</w:t>
      </w:r>
      <w:bookmarkEnd w:id="1669"/>
      <w:bookmarkEnd w:id="1670"/>
      <w:bookmarkEnd w:id="1671"/>
      <w:bookmarkEnd w:id="1672"/>
      <w:bookmarkEnd w:id="167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（1）向约定的仲裁委员会申请仲裁；</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（2）向有管辖权的人民法院提起诉讼。</w:t>
      </w:r>
    </w:p>
    <w:p>
      <w:pPr>
        <w:adjustRightInd w:val="0"/>
        <w:snapToGrid w:val="0"/>
        <w:spacing w:line="360" w:lineRule="auto"/>
        <w:rPr>
          <w:b/>
          <w:bCs/>
          <w:color w:val="auto"/>
          <w:sz w:val="24"/>
          <w:szCs w:val="24"/>
          <w:highlight w:val="none"/>
        </w:rPr>
      </w:pPr>
      <w:bookmarkStart w:id="1674" w:name="_Toc152042543"/>
      <w:bookmarkStart w:id="1675" w:name="_Toc179632782"/>
      <w:bookmarkStart w:id="1676" w:name="_Toc144974734"/>
      <w:bookmarkStart w:id="1677" w:name="_Toc513794067"/>
      <w:bookmarkStart w:id="1678" w:name="_Toc152045764"/>
      <w:r>
        <w:rPr>
          <w:rFonts w:hint="eastAsia"/>
          <w:b/>
          <w:bCs/>
          <w:color w:val="auto"/>
          <w:sz w:val="24"/>
          <w:szCs w:val="24"/>
          <w:highlight w:val="none"/>
        </w:rPr>
        <w:t>24.2 友好解决</w:t>
      </w:r>
      <w:bookmarkEnd w:id="1674"/>
      <w:bookmarkEnd w:id="1675"/>
      <w:bookmarkEnd w:id="1676"/>
      <w:bookmarkEnd w:id="1677"/>
      <w:bookmarkEnd w:id="1678"/>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在提请争议评审、仲裁或者诉讼前，以及在争议评审、仲裁或诉讼过程中，发包人和承包人均可共同努力友好协商解决争议。</w:t>
      </w:r>
    </w:p>
    <w:p>
      <w:pPr>
        <w:adjustRightInd w:val="0"/>
        <w:snapToGrid w:val="0"/>
        <w:spacing w:line="360" w:lineRule="auto"/>
        <w:rPr>
          <w:b/>
          <w:bCs/>
          <w:color w:val="auto"/>
          <w:sz w:val="24"/>
          <w:szCs w:val="24"/>
          <w:highlight w:val="none"/>
        </w:rPr>
      </w:pPr>
      <w:bookmarkStart w:id="1679" w:name="_Toc144974735"/>
      <w:bookmarkStart w:id="1680" w:name="_Toc152045765"/>
      <w:bookmarkStart w:id="1681" w:name="_Toc179632783"/>
      <w:bookmarkStart w:id="1682" w:name="_Toc513794068"/>
      <w:bookmarkStart w:id="1683" w:name="_Toc152042544"/>
      <w:r>
        <w:rPr>
          <w:rFonts w:hint="eastAsia"/>
          <w:b/>
          <w:bCs/>
          <w:color w:val="auto"/>
          <w:sz w:val="24"/>
          <w:szCs w:val="24"/>
          <w:highlight w:val="none"/>
        </w:rPr>
        <w:t>24.3 争议评审</w:t>
      </w:r>
      <w:bookmarkEnd w:id="1679"/>
      <w:bookmarkEnd w:id="1680"/>
      <w:bookmarkEnd w:id="1681"/>
      <w:bookmarkEnd w:id="1682"/>
      <w:bookmarkEnd w:id="1683"/>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24.3.1 采用争议评审的，发包人和承包人应在开工日后的28天内或在争议发生后，协商成立争议评审组。争议评审组由有合同管理和工程实践经验的专家组成。</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24.3.3 被申请人在收到申请人评审申请报告副本后的28天内，向争议评审组提交一份答辩报告，并附证明材料。被申请人应将答辩报告的副本同时提交给申请人和监理人。</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24.3.6 发包人和承包人接受评审意见的，由监理人根据评审意见拟定执行协议，经争议双方签字后作为合同的补充文件，并遵照执行。</w:t>
      </w:r>
    </w:p>
    <w:p>
      <w:pPr>
        <w:adjustRightInd w:val="0"/>
        <w:snapToGrid w:val="0"/>
        <w:spacing w:line="360" w:lineRule="auto"/>
        <w:ind w:firstLine="480" w:firstLineChars="200"/>
        <w:rPr>
          <w:color w:val="auto"/>
          <w:sz w:val="24"/>
          <w:szCs w:val="24"/>
          <w:highlight w:val="none"/>
        </w:rPr>
        <w:sectPr>
          <w:footerReference r:id="rId32" w:type="default"/>
          <w:pgSz w:w="11910" w:h="16850"/>
          <w:pgMar w:top="1418" w:right="1191" w:bottom="1418" w:left="1191" w:header="883" w:footer="884" w:gutter="0"/>
          <w:cols w:space="720" w:num="1"/>
        </w:sectPr>
      </w:pPr>
      <w:r>
        <w:rPr>
          <w:rFonts w:hint="eastAsia"/>
          <w:color w:val="auto"/>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Style w:val="4"/>
        <w:tabs>
          <w:tab w:val="left" w:pos="4341"/>
        </w:tabs>
        <w:spacing w:before="108"/>
        <w:rPr>
          <w:color w:val="auto"/>
          <w:highlight w:val="none"/>
        </w:rPr>
      </w:pPr>
      <w:bookmarkStart w:id="1684" w:name="_bookmark157"/>
      <w:bookmarkEnd w:id="1684"/>
      <w:bookmarkStart w:id="1685" w:name="_Toc19950"/>
      <w:bookmarkStart w:id="1686" w:name="_Toc16025"/>
      <w:bookmarkStart w:id="1687" w:name="_Toc28168"/>
      <w:bookmarkStart w:id="1688" w:name="_Toc21652"/>
      <w:bookmarkStart w:id="1689" w:name="_Toc515102392"/>
      <w:bookmarkStart w:id="1690" w:name="_Toc19073"/>
      <w:bookmarkStart w:id="1691" w:name="_Toc21270"/>
      <w:bookmarkStart w:id="1692" w:name="_Toc5774"/>
      <w:bookmarkStart w:id="1693" w:name="_Toc14461"/>
      <w:bookmarkStart w:id="1694" w:name="_Toc18981"/>
      <w:bookmarkStart w:id="1695" w:name="_Toc10316"/>
      <w:bookmarkStart w:id="1696" w:name="_Toc515102164"/>
      <w:bookmarkStart w:id="1697" w:name="_Toc12647"/>
      <w:bookmarkStart w:id="1698" w:name="_Toc26005"/>
      <w:bookmarkStart w:id="1699" w:name="_Toc23428"/>
      <w:bookmarkStart w:id="1700" w:name="_Toc3834"/>
      <w:bookmarkStart w:id="1701" w:name="_Toc7221"/>
      <w:bookmarkStart w:id="1702" w:name="_Toc7470"/>
      <w:bookmarkStart w:id="1703" w:name="_Toc16404"/>
    </w:p>
    <w:p>
      <w:pPr>
        <w:pStyle w:val="4"/>
        <w:tabs>
          <w:tab w:val="left" w:pos="4341"/>
        </w:tabs>
        <w:spacing w:before="108"/>
        <w:rPr>
          <w:color w:val="auto"/>
          <w:highlight w:val="none"/>
        </w:rPr>
      </w:pPr>
    </w:p>
    <w:p>
      <w:pPr>
        <w:pStyle w:val="4"/>
        <w:tabs>
          <w:tab w:val="left" w:pos="4341"/>
        </w:tabs>
        <w:spacing w:before="108"/>
        <w:rPr>
          <w:color w:val="auto"/>
          <w:highlight w:val="none"/>
        </w:rPr>
      </w:pPr>
    </w:p>
    <w:p>
      <w:pPr>
        <w:pStyle w:val="4"/>
        <w:tabs>
          <w:tab w:val="left" w:pos="4341"/>
        </w:tabs>
        <w:spacing w:before="108"/>
        <w:rPr>
          <w:color w:val="auto"/>
          <w:highlight w:val="none"/>
        </w:rPr>
      </w:pPr>
    </w:p>
    <w:p>
      <w:pPr>
        <w:pStyle w:val="4"/>
        <w:tabs>
          <w:tab w:val="left" w:pos="4341"/>
        </w:tabs>
        <w:spacing w:before="108"/>
        <w:rPr>
          <w:color w:val="auto"/>
          <w:highlight w:val="none"/>
        </w:rPr>
      </w:pPr>
    </w:p>
    <w:p>
      <w:pPr>
        <w:pStyle w:val="4"/>
        <w:tabs>
          <w:tab w:val="left" w:pos="4341"/>
        </w:tabs>
        <w:spacing w:before="108"/>
        <w:rPr>
          <w:color w:val="auto"/>
          <w:highlight w:val="none"/>
        </w:rPr>
      </w:pPr>
    </w:p>
    <w:p>
      <w:pPr>
        <w:pStyle w:val="4"/>
        <w:tabs>
          <w:tab w:val="left" w:pos="4341"/>
        </w:tabs>
        <w:spacing w:before="108"/>
        <w:rPr>
          <w:color w:val="auto"/>
          <w:highlight w:val="none"/>
        </w:rPr>
      </w:pPr>
    </w:p>
    <w:p>
      <w:pPr>
        <w:pStyle w:val="4"/>
        <w:tabs>
          <w:tab w:val="left" w:pos="4341"/>
        </w:tabs>
        <w:spacing w:before="108"/>
        <w:rPr>
          <w:color w:val="auto"/>
          <w:highlight w:val="none"/>
        </w:rPr>
      </w:pPr>
    </w:p>
    <w:p>
      <w:pPr>
        <w:pStyle w:val="4"/>
        <w:tabs>
          <w:tab w:val="left" w:pos="4341"/>
        </w:tabs>
        <w:spacing w:before="108"/>
        <w:rPr>
          <w:color w:val="auto"/>
          <w:highlight w:val="none"/>
        </w:rPr>
      </w:pPr>
      <w:bookmarkStart w:id="1704" w:name="_Toc10911"/>
      <w:r>
        <w:rPr>
          <w:color w:val="auto"/>
          <w:highlight w:val="none"/>
        </w:rPr>
        <w:t>第二节</w:t>
      </w:r>
      <w:r>
        <w:rPr>
          <w:color w:val="auto"/>
          <w:highlight w:val="none"/>
        </w:rPr>
        <w:tab/>
      </w:r>
      <w:r>
        <w:rPr>
          <w:color w:val="auto"/>
          <w:highlight w:val="none"/>
        </w:rPr>
        <w:t>专用合同条款</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pPr>
        <w:rPr>
          <w:color w:val="auto"/>
          <w:highlight w:val="none"/>
        </w:rPr>
        <w:sectPr>
          <w:pgSz w:w="11910" w:h="16850"/>
          <w:pgMar w:top="1418" w:right="1191" w:bottom="1418" w:left="1191" w:header="876" w:footer="853" w:gutter="0"/>
          <w:cols w:space="720" w:num="1"/>
        </w:sectPr>
      </w:pPr>
    </w:p>
    <w:p>
      <w:pPr>
        <w:pStyle w:val="4"/>
        <w:numPr>
          <w:ilvl w:val="3"/>
          <w:numId w:val="14"/>
        </w:numPr>
        <w:tabs>
          <w:tab w:val="left" w:pos="3397"/>
        </w:tabs>
        <w:spacing w:before="107"/>
        <w:rPr>
          <w:color w:val="auto"/>
          <w:highlight w:val="none"/>
        </w:rPr>
      </w:pPr>
      <w:bookmarkStart w:id="1705" w:name="_bookmark158"/>
      <w:bookmarkEnd w:id="1705"/>
      <w:bookmarkStart w:id="1706" w:name="_Toc25185"/>
      <w:bookmarkStart w:id="1707" w:name="_Toc7359"/>
      <w:bookmarkStart w:id="1708" w:name="_Toc12960"/>
      <w:bookmarkStart w:id="1709" w:name="_Toc31872"/>
      <w:bookmarkStart w:id="1710" w:name="_Toc12261"/>
      <w:bookmarkStart w:id="1711" w:name="_Toc32035"/>
      <w:bookmarkStart w:id="1712" w:name="_Toc30738"/>
      <w:bookmarkStart w:id="1713" w:name="_Toc15441"/>
      <w:bookmarkStart w:id="1714" w:name="_Toc4149"/>
      <w:bookmarkStart w:id="1715" w:name="_Toc5593"/>
      <w:bookmarkStart w:id="1716" w:name="_Toc13218"/>
      <w:bookmarkStart w:id="1717" w:name="_Toc7418"/>
      <w:bookmarkStart w:id="1718" w:name="_Toc24771"/>
      <w:bookmarkStart w:id="1719" w:name="_Toc13352"/>
      <w:bookmarkStart w:id="1720" w:name="_Toc27526"/>
      <w:bookmarkStart w:id="1721" w:name="_Toc17311"/>
      <w:bookmarkStart w:id="1722" w:name="_Toc31587"/>
      <w:r>
        <w:rPr>
          <w:rFonts w:hint="eastAsia"/>
          <w:color w:val="auto"/>
          <w:highlight w:val="none"/>
        </w:rPr>
        <w:t>公路工程专用合同条款</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pPr>
        <w:pStyle w:val="20"/>
        <w:snapToGrid w:val="0"/>
        <w:rPr>
          <w:color w:val="auto"/>
          <w:highlight w:val="none"/>
        </w:rPr>
      </w:pPr>
    </w:p>
    <w:p>
      <w:pPr>
        <w:pStyle w:val="20"/>
        <w:snapToGrid w:val="0"/>
        <w:ind w:left="2220" w:hanging="460"/>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1723" w:name="_bookmark159"/>
      <w:bookmarkEnd w:id="1723"/>
      <w:bookmarkStart w:id="1724" w:name="_Toc8644"/>
      <w:bookmarkStart w:id="1725" w:name="_Toc31735"/>
      <w:bookmarkStart w:id="1726" w:name="_Toc25148"/>
      <w:bookmarkStart w:id="1727" w:name="_Toc11690"/>
      <w:bookmarkStart w:id="1728" w:name="_Toc21088"/>
      <w:bookmarkStart w:id="1729" w:name="_Toc27355"/>
      <w:bookmarkStart w:id="1730" w:name="_Toc14180"/>
      <w:bookmarkStart w:id="1731" w:name="_Toc21830"/>
      <w:bookmarkStart w:id="1732" w:name="_Toc18819"/>
      <w:bookmarkStart w:id="1733" w:name="_Toc7532"/>
      <w:bookmarkStart w:id="1734" w:name="_Toc23657"/>
      <w:bookmarkStart w:id="1735" w:name="_Toc348"/>
      <w:bookmarkStart w:id="1736" w:name="_Toc19597"/>
      <w:bookmarkStart w:id="1737" w:name="_Toc6621"/>
      <w:bookmarkStart w:id="1738" w:name="_Toc416"/>
      <w:bookmarkStart w:id="1739" w:name="_Toc31120"/>
      <w:bookmarkStart w:id="1740" w:name="_Toc32487"/>
      <w:r>
        <w:rPr>
          <w:rFonts w:hint="eastAsia" w:ascii="黑体" w:hAnsi="黑体" w:eastAsia="黑体" w:cs="黑体"/>
          <w:color w:val="auto"/>
          <w:sz w:val="24"/>
          <w:szCs w:val="24"/>
          <w:highlight w:val="none"/>
        </w:rPr>
        <w:t>一般约定</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pPr>
        <w:pStyle w:val="86"/>
        <w:numPr>
          <w:ilvl w:val="1"/>
          <w:numId w:val="15"/>
        </w:numPr>
        <w:tabs>
          <w:tab w:val="left" w:pos="845"/>
        </w:tabs>
        <w:spacing w:line="400" w:lineRule="exact"/>
        <w:rPr>
          <w:rFonts w:ascii="黑体" w:hAnsi="黑体" w:eastAsia="黑体" w:cs="黑体"/>
          <w:color w:val="auto"/>
          <w:sz w:val="24"/>
          <w:szCs w:val="24"/>
          <w:highlight w:val="none"/>
        </w:rPr>
      </w:pPr>
      <w:bookmarkStart w:id="1741" w:name="_bookmark160"/>
      <w:bookmarkEnd w:id="1741"/>
      <w:bookmarkStart w:id="1742" w:name="_Toc13296"/>
      <w:bookmarkStart w:id="1743" w:name="_Toc17798"/>
      <w:bookmarkStart w:id="1744" w:name="_Toc5814"/>
      <w:bookmarkStart w:id="1745" w:name="_Toc30046"/>
      <w:bookmarkStart w:id="1746" w:name="_Toc25233"/>
      <w:bookmarkStart w:id="1747" w:name="_Toc3105"/>
      <w:bookmarkStart w:id="1748" w:name="_Toc31220"/>
      <w:bookmarkStart w:id="1749" w:name="_Toc26307"/>
      <w:bookmarkStart w:id="1750" w:name="_Toc19508"/>
      <w:r>
        <w:rPr>
          <w:rFonts w:hint="eastAsia" w:ascii="黑体" w:hAnsi="黑体" w:eastAsia="黑体" w:cs="黑体"/>
          <w:color w:val="auto"/>
          <w:sz w:val="24"/>
          <w:szCs w:val="24"/>
          <w:highlight w:val="none"/>
        </w:rPr>
        <w:t>词语定义</w:t>
      </w:r>
      <w:bookmarkEnd w:id="1742"/>
      <w:bookmarkEnd w:id="1743"/>
      <w:bookmarkEnd w:id="1744"/>
      <w:bookmarkEnd w:id="1745"/>
      <w:bookmarkEnd w:id="1746"/>
      <w:bookmarkEnd w:id="1747"/>
      <w:bookmarkEnd w:id="1748"/>
      <w:bookmarkEnd w:id="1749"/>
      <w:bookmarkEnd w:id="1750"/>
    </w:p>
    <w:p>
      <w:pPr>
        <w:pStyle w:val="20"/>
        <w:spacing w:line="400" w:lineRule="exact"/>
        <w:ind w:left="424"/>
        <w:rPr>
          <w:color w:val="auto"/>
          <w:highlight w:val="none"/>
        </w:rPr>
      </w:pPr>
      <w:r>
        <w:rPr>
          <w:color w:val="auto"/>
          <w:highlight w:val="none"/>
        </w:rPr>
        <w:t xml:space="preserve">1.1.1 </w:t>
      </w:r>
      <w:r>
        <w:rPr>
          <w:rFonts w:hint="eastAsia"/>
          <w:color w:val="auto"/>
          <w:highlight w:val="none"/>
        </w:rPr>
        <w:t>合同</w:t>
      </w:r>
    </w:p>
    <w:p>
      <w:pPr>
        <w:pStyle w:val="20"/>
        <w:spacing w:line="400" w:lineRule="exact"/>
        <w:ind w:left="1144"/>
        <w:rPr>
          <w:color w:val="auto"/>
          <w:highlight w:val="none"/>
        </w:rPr>
      </w:pPr>
      <w:r>
        <w:rPr>
          <w:rFonts w:hint="eastAsia"/>
          <w:color w:val="auto"/>
          <w:highlight w:val="none"/>
        </w:rPr>
        <w:t xml:space="preserve">第 </w:t>
      </w:r>
      <w:r>
        <w:rPr>
          <w:color w:val="auto"/>
          <w:highlight w:val="none"/>
        </w:rPr>
        <w:t xml:space="preserve">1.1.1.6 </w:t>
      </w:r>
      <w:r>
        <w:rPr>
          <w:rFonts w:hint="eastAsia"/>
          <w:color w:val="auto"/>
          <w:highlight w:val="none"/>
        </w:rPr>
        <w:t>目细化为：</w:t>
      </w:r>
    </w:p>
    <w:p>
      <w:pPr>
        <w:pStyle w:val="20"/>
        <w:spacing w:line="400" w:lineRule="exact"/>
        <w:ind w:left="424" w:right="384" w:firstLine="719"/>
        <w:rPr>
          <w:color w:val="auto"/>
          <w:highlight w:val="none"/>
        </w:rPr>
      </w:pPr>
      <w:r>
        <w:rPr>
          <w:rFonts w:hint="eastAsia"/>
          <w:color w:val="auto"/>
          <w:highlight w:val="none"/>
        </w:rPr>
        <w:t>技术规范：指本合同所约定的技术标准和要求，是合同文件的组成部分。通用合同条款中</w:t>
      </w:r>
      <w:r>
        <w:rPr>
          <w:color w:val="auto"/>
          <w:highlight w:val="none"/>
        </w:rPr>
        <w:t>“</w:t>
      </w:r>
      <w:r>
        <w:rPr>
          <w:rFonts w:hint="eastAsia"/>
          <w:color w:val="auto"/>
          <w:highlight w:val="none"/>
        </w:rPr>
        <w:t>技术标准和要求</w:t>
      </w:r>
      <w:r>
        <w:rPr>
          <w:color w:val="auto"/>
          <w:highlight w:val="none"/>
        </w:rPr>
        <w:t>”</w:t>
      </w:r>
      <w:r>
        <w:rPr>
          <w:rFonts w:hint="eastAsia"/>
          <w:color w:val="auto"/>
          <w:highlight w:val="none"/>
        </w:rPr>
        <w:t>一词具有相同含义。</w:t>
      </w:r>
    </w:p>
    <w:p>
      <w:pPr>
        <w:pStyle w:val="20"/>
        <w:spacing w:line="400" w:lineRule="exact"/>
        <w:ind w:left="1144"/>
        <w:rPr>
          <w:color w:val="auto"/>
          <w:highlight w:val="none"/>
        </w:rPr>
      </w:pPr>
      <w:r>
        <w:rPr>
          <w:rFonts w:hint="eastAsia"/>
          <w:color w:val="auto"/>
          <w:highlight w:val="none"/>
        </w:rPr>
        <w:t xml:space="preserve">第 </w:t>
      </w:r>
      <w:r>
        <w:rPr>
          <w:color w:val="auto"/>
          <w:highlight w:val="none"/>
        </w:rPr>
        <w:t xml:space="preserve">1.1.1.8 </w:t>
      </w:r>
      <w:r>
        <w:rPr>
          <w:rFonts w:hint="eastAsia"/>
          <w:color w:val="auto"/>
          <w:highlight w:val="none"/>
        </w:rPr>
        <w:t>目细化为：</w:t>
      </w:r>
    </w:p>
    <w:p>
      <w:pPr>
        <w:pStyle w:val="20"/>
        <w:spacing w:line="400" w:lineRule="exact"/>
        <w:ind w:left="424" w:right="382" w:firstLine="719"/>
        <w:rPr>
          <w:color w:val="auto"/>
          <w:highlight w:val="none"/>
        </w:rPr>
      </w:pPr>
      <w:r>
        <w:rPr>
          <w:rFonts w:hint="eastAsia"/>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w:t>
      </w:r>
      <w:r>
        <w:rPr>
          <w:rFonts w:hint="eastAsia"/>
          <w:color w:val="auto"/>
          <w:spacing w:val="-21"/>
          <w:highlight w:val="none"/>
        </w:rPr>
        <w:t xml:space="preserve">单表 </w:t>
      </w:r>
      <w:r>
        <w:rPr>
          <w:color w:val="auto"/>
          <w:highlight w:val="none"/>
        </w:rPr>
        <w:t>5.1</w:t>
      </w:r>
      <w:r>
        <w:rPr>
          <w:rFonts w:hint="eastAsia"/>
          <w:color w:val="auto"/>
          <w:highlight w:val="none"/>
        </w:rPr>
        <w:t>～</w:t>
      </w:r>
      <w:r>
        <w:rPr>
          <w:rFonts w:hint="eastAsia"/>
          <w:color w:val="auto"/>
          <w:spacing w:val="-30"/>
          <w:highlight w:val="none"/>
        </w:rPr>
        <w:t xml:space="preserve">表 </w:t>
      </w:r>
      <w:r>
        <w:rPr>
          <w:color w:val="auto"/>
          <w:highlight w:val="none"/>
        </w:rPr>
        <w:t>5.5</w:t>
      </w:r>
      <w:r>
        <w:rPr>
          <w:rFonts w:hint="eastAsia"/>
          <w:color w:val="auto"/>
          <w:spacing w:val="-120"/>
          <w:highlight w:val="none"/>
        </w:rPr>
        <w:t>）</w:t>
      </w:r>
      <w:r>
        <w:rPr>
          <w:rFonts w:hint="eastAsia"/>
          <w:color w:val="auto"/>
          <w:highlight w:val="none"/>
        </w:rPr>
        <w:t>。</w:t>
      </w:r>
    </w:p>
    <w:p>
      <w:pPr>
        <w:pStyle w:val="20"/>
        <w:spacing w:line="400" w:lineRule="exact"/>
        <w:ind w:left="1144"/>
        <w:rPr>
          <w:color w:val="auto"/>
          <w:highlight w:val="none"/>
        </w:rPr>
      </w:pPr>
      <w:r>
        <w:rPr>
          <w:rFonts w:hint="eastAsia"/>
          <w:color w:val="auto"/>
          <w:highlight w:val="none"/>
        </w:rPr>
        <w:t xml:space="preserve">本项补充第 </w:t>
      </w:r>
      <w:r>
        <w:rPr>
          <w:color w:val="auto"/>
          <w:highlight w:val="none"/>
        </w:rPr>
        <w:t xml:space="preserve">1.1.1.10 </w:t>
      </w:r>
      <w:r>
        <w:rPr>
          <w:rFonts w:hint="eastAsia"/>
          <w:color w:val="auto"/>
          <w:highlight w:val="none"/>
        </w:rPr>
        <w:t>目：</w:t>
      </w:r>
    </w:p>
    <w:p>
      <w:pPr>
        <w:pStyle w:val="20"/>
        <w:spacing w:line="400" w:lineRule="exact"/>
        <w:ind w:left="424" w:right="390" w:firstLine="719"/>
        <w:rPr>
          <w:color w:val="auto"/>
          <w:highlight w:val="none"/>
        </w:rPr>
      </w:pPr>
      <w:r>
        <w:rPr>
          <w:color w:val="auto"/>
          <w:highlight w:val="none"/>
        </w:rPr>
        <w:t xml:space="preserve">1.1.1.10 </w:t>
      </w:r>
      <w:r>
        <w:rPr>
          <w:rFonts w:hint="eastAsia"/>
          <w:color w:val="auto"/>
          <w:highlight w:val="none"/>
        </w:rPr>
        <w:t>补遗书：指发出招标文件之后由招标人向已取得招标文件的投标人发出的、编号的对招标文件所作的澄清、修改书。</w:t>
      </w:r>
    </w:p>
    <w:p>
      <w:pPr>
        <w:pStyle w:val="86"/>
        <w:numPr>
          <w:ilvl w:val="2"/>
          <w:numId w:val="15"/>
        </w:numPr>
        <w:tabs>
          <w:tab w:val="left" w:pos="1505"/>
        </w:tabs>
        <w:spacing w:line="400" w:lineRule="exact"/>
        <w:rPr>
          <w:color w:val="auto"/>
          <w:sz w:val="24"/>
          <w:szCs w:val="24"/>
          <w:highlight w:val="none"/>
        </w:rPr>
      </w:pPr>
      <w:r>
        <w:rPr>
          <w:rFonts w:hint="eastAsia"/>
          <w:color w:val="auto"/>
          <w:sz w:val="24"/>
          <w:szCs w:val="24"/>
          <w:highlight w:val="none"/>
        </w:rPr>
        <w:t>合同当事人和人员</w:t>
      </w:r>
    </w:p>
    <w:p>
      <w:pPr>
        <w:pStyle w:val="20"/>
        <w:spacing w:line="400" w:lineRule="exact"/>
        <w:ind w:left="1144"/>
        <w:rPr>
          <w:color w:val="auto"/>
          <w:highlight w:val="none"/>
        </w:rPr>
      </w:pPr>
      <w:r>
        <w:rPr>
          <w:rFonts w:hint="eastAsia"/>
          <w:color w:val="auto"/>
          <w:highlight w:val="none"/>
        </w:rPr>
        <w:t xml:space="preserve">本项补充第 </w:t>
      </w:r>
      <w:r>
        <w:rPr>
          <w:color w:val="auto"/>
          <w:highlight w:val="none"/>
        </w:rPr>
        <w:t xml:space="preserve">1.1.2.8 </w:t>
      </w:r>
      <w:r>
        <w:rPr>
          <w:rFonts w:hint="eastAsia"/>
          <w:color w:val="auto"/>
          <w:highlight w:val="none"/>
        </w:rPr>
        <w:t>目：</w:t>
      </w:r>
    </w:p>
    <w:p>
      <w:pPr>
        <w:pStyle w:val="20"/>
        <w:spacing w:line="400" w:lineRule="exact"/>
        <w:ind w:left="424" w:right="383" w:firstLine="719"/>
        <w:rPr>
          <w:color w:val="auto"/>
          <w:highlight w:val="none"/>
        </w:rPr>
      </w:pPr>
      <w:r>
        <w:rPr>
          <w:color w:val="auto"/>
          <w:highlight w:val="none"/>
        </w:rPr>
        <w:t xml:space="preserve">1.1.2.8 </w:t>
      </w:r>
      <w:r>
        <w:rPr>
          <w:rFonts w:hint="eastAsia"/>
          <w:color w:val="auto"/>
          <w:highlight w:val="none"/>
        </w:rPr>
        <w:t>承包人项目总工：指由承包人书面委派常驻现场负责管理本合同工程的总工程师或技术总负责人。</w:t>
      </w:r>
    </w:p>
    <w:p>
      <w:pPr>
        <w:pStyle w:val="86"/>
        <w:numPr>
          <w:ilvl w:val="2"/>
          <w:numId w:val="15"/>
        </w:numPr>
        <w:tabs>
          <w:tab w:val="left" w:pos="1505"/>
        </w:tabs>
        <w:spacing w:line="400" w:lineRule="exact"/>
        <w:rPr>
          <w:color w:val="auto"/>
          <w:sz w:val="24"/>
          <w:szCs w:val="24"/>
          <w:highlight w:val="none"/>
        </w:rPr>
      </w:pPr>
      <w:r>
        <w:rPr>
          <w:rFonts w:hint="eastAsia"/>
          <w:color w:val="auto"/>
          <w:sz w:val="24"/>
          <w:szCs w:val="24"/>
          <w:highlight w:val="none"/>
        </w:rPr>
        <w:t>工程和设备</w:t>
      </w:r>
    </w:p>
    <w:p>
      <w:pPr>
        <w:pStyle w:val="20"/>
        <w:spacing w:line="400" w:lineRule="exact"/>
        <w:ind w:left="1144"/>
        <w:rPr>
          <w:color w:val="auto"/>
          <w:highlight w:val="none"/>
        </w:rPr>
      </w:pPr>
      <w:r>
        <w:rPr>
          <w:rFonts w:hint="eastAsia"/>
          <w:color w:val="auto"/>
          <w:highlight w:val="none"/>
        </w:rPr>
        <w:t xml:space="preserve">第 </w:t>
      </w:r>
      <w:r>
        <w:rPr>
          <w:color w:val="auto"/>
          <w:highlight w:val="none"/>
        </w:rPr>
        <w:t xml:space="preserve">1.1.3.4 </w:t>
      </w:r>
      <w:r>
        <w:rPr>
          <w:rFonts w:hint="eastAsia"/>
          <w:color w:val="auto"/>
          <w:highlight w:val="none"/>
        </w:rPr>
        <w:t>目细化为：</w:t>
      </w:r>
    </w:p>
    <w:p>
      <w:pPr>
        <w:pStyle w:val="20"/>
        <w:spacing w:line="400" w:lineRule="exact"/>
        <w:ind w:left="1144" w:right="418"/>
        <w:rPr>
          <w:color w:val="auto"/>
          <w:highlight w:val="none"/>
        </w:rPr>
      </w:pPr>
      <w:r>
        <w:rPr>
          <w:rFonts w:hint="eastAsia"/>
          <w:color w:val="auto"/>
          <w:highlight w:val="none"/>
        </w:rPr>
        <w:t xml:space="preserve">单位工程：指在建设项目中，根据签订的合同，具有独立施工条件的工程。第 </w:t>
      </w:r>
      <w:r>
        <w:rPr>
          <w:color w:val="auto"/>
          <w:highlight w:val="none"/>
        </w:rPr>
        <w:t xml:space="preserve">1.1.3.10 </w:t>
      </w:r>
      <w:r>
        <w:rPr>
          <w:rFonts w:hint="eastAsia"/>
          <w:color w:val="auto"/>
          <w:highlight w:val="none"/>
        </w:rPr>
        <w:t>目细化为：</w:t>
      </w:r>
    </w:p>
    <w:p>
      <w:pPr>
        <w:pStyle w:val="20"/>
        <w:spacing w:line="400" w:lineRule="exact"/>
        <w:ind w:left="424" w:right="384" w:firstLine="719"/>
        <w:rPr>
          <w:color w:val="auto"/>
          <w:highlight w:val="none"/>
        </w:rPr>
      </w:pPr>
      <w:r>
        <w:rPr>
          <w:rFonts w:hint="eastAsia"/>
          <w:color w:val="auto"/>
          <w:highlight w:val="none"/>
        </w:rPr>
        <w:t>永久占地：指为实施本合同工程而需要的一切永久占用的土地，包括公路两侧路权范围内的用地。</w:t>
      </w:r>
    </w:p>
    <w:p>
      <w:pPr>
        <w:pStyle w:val="20"/>
        <w:spacing w:line="400" w:lineRule="exact"/>
        <w:ind w:left="1144"/>
        <w:rPr>
          <w:color w:val="auto"/>
          <w:highlight w:val="none"/>
        </w:rPr>
      </w:pPr>
      <w:r>
        <w:rPr>
          <w:rFonts w:hint="eastAsia"/>
          <w:color w:val="auto"/>
          <w:highlight w:val="none"/>
        </w:rPr>
        <w:t xml:space="preserve">第 </w:t>
      </w:r>
      <w:r>
        <w:rPr>
          <w:color w:val="auto"/>
          <w:highlight w:val="none"/>
        </w:rPr>
        <w:t xml:space="preserve">1.1.3.11 </w:t>
      </w:r>
      <w:r>
        <w:rPr>
          <w:rFonts w:hint="eastAsia"/>
          <w:color w:val="auto"/>
          <w:highlight w:val="none"/>
        </w:rPr>
        <w:t>目细化为：</w:t>
      </w:r>
    </w:p>
    <w:p>
      <w:pPr>
        <w:pStyle w:val="20"/>
        <w:spacing w:line="400" w:lineRule="exact"/>
        <w:ind w:left="424" w:right="382" w:firstLine="719"/>
        <w:rPr>
          <w:color w:val="auto"/>
          <w:highlight w:val="none"/>
        </w:rPr>
      </w:pPr>
      <w:r>
        <w:rPr>
          <w:rFonts w:hint="eastAsia"/>
          <w:color w:val="auto"/>
          <w:highlight w:val="none"/>
        </w:rPr>
        <w:t>临时占地：指为实施本合同工程而需要的一切临时占用的土地，包括施工所</w:t>
      </w:r>
      <w:r>
        <w:rPr>
          <w:rFonts w:hint="eastAsia"/>
          <w:color w:val="auto"/>
          <w:spacing w:val="-7"/>
          <w:highlight w:val="none"/>
        </w:rPr>
        <w:t>用的临时支线、便道、便桥和现场的临时出入通道，以及生产</w:t>
      </w:r>
      <w:r>
        <w:rPr>
          <w:rFonts w:hint="eastAsia"/>
          <w:color w:val="auto"/>
          <w:highlight w:val="none"/>
        </w:rPr>
        <w:t>（办公</w:t>
      </w:r>
      <w:r>
        <w:rPr>
          <w:rFonts w:hint="eastAsia"/>
          <w:color w:val="auto"/>
          <w:spacing w:val="-120"/>
          <w:highlight w:val="none"/>
        </w:rPr>
        <w:t>）</w:t>
      </w:r>
      <w:r>
        <w:rPr>
          <w:rFonts w:hint="eastAsia"/>
          <w:color w:val="auto"/>
          <w:spacing w:val="-4"/>
          <w:highlight w:val="none"/>
        </w:rPr>
        <w:t>、生活等临时设施用地等。</w:t>
      </w:r>
    </w:p>
    <w:p>
      <w:pPr>
        <w:pStyle w:val="20"/>
        <w:spacing w:line="400" w:lineRule="exact"/>
        <w:ind w:left="1144"/>
        <w:rPr>
          <w:color w:val="auto"/>
          <w:highlight w:val="none"/>
        </w:rPr>
      </w:pPr>
      <w:r>
        <w:rPr>
          <w:rFonts w:hint="eastAsia"/>
          <w:color w:val="auto"/>
          <w:highlight w:val="none"/>
        </w:rPr>
        <w:t xml:space="preserve">本项补充第 </w:t>
      </w:r>
      <w:r>
        <w:rPr>
          <w:color w:val="auto"/>
          <w:highlight w:val="none"/>
        </w:rPr>
        <w:t xml:space="preserve">1.1.3.12 </w:t>
      </w:r>
      <w:r>
        <w:rPr>
          <w:rFonts w:hint="eastAsia"/>
          <w:color w:val="auto"/>
          <w:highlight w:val="none"/>
        </w:rPr>
        <w:t xml:space="preserve">目、第 </w:t>
      </w:r>
      <w:r>
        <w:rPr>
          <w:color w:val="auto"/>
          <w:highlight w:val="none"/>
        </w:rPr>
        <w:t xml:space="preserve">1.1.3.13 </w:t>
      </w:r>
      <w:r>
        <w:rPr>
          <w:rFonts w:hint="eastAsia"/>
          <w:color w:val="auto"/>
          <w:highlight w:val="none"/>
        </w:rPr>
        <w:t>目：</w:t>
      </w:r>
    </w:p>
    <w:p>
      <w:pPr>
        <w:pStyle w:val="86"/>
        <w:widowControl/>
        <w:numPr>
          <w:ilvl w:val="3"/>
          <w:numId w:val="15"/>
        </w:numPr>
        <w:tabs>
          <w:tab w:val="left" w:pos="2047"/>
        </w:tabs>
        <w:spacing w:line="400" w:lineRule="exact"/>
        <w:ind w:firstLine="720"/>
        <w:rPr>
          <w:color w:val="auto"/>
          <w:sz w:val="24"/>
          <w:szCs w:val="24"/>
          <w:highlight w:val="none"/>
        </w:rPr>
      </w:pPr>
      <w:r>
        <w:rPr>
          <w:rFonts w:hint="eastAsia"/>
          <w:color w:val="auto"/>
          <w:sz w:val="24"/>
          <w:szCs w:val="24"/>
          <w:highlight w:val="none"/>
        </w:rPr>
        <w:t>分部工程：指在单位工程中，按结构部位、路段长度及施工特点或</w:t>
      </w:r>
    </w:p>
    <w:p>
      <w:pPr>
        <w:pStyle w:val="20"/>
        <w:spacing w:line="400" w:lineRule="exact"/>
        <w:ind w:left="424"/>
        <w:rPr>
          <w:color w:val="auto"/>
          <w:highlight w:val="none"/>
        </w:rPr>
      </w:pPr>
      <w:r>
        <w:rPr>
          <w:rFonts w:hint="eastAsia"/>
          <w:color w:val="auto"/>
          <w:highlight w:val="none"/>
        </w:rPr>
        <w:t>施工任务划分的若干个工程。</w:t>
      </w:r>
    </w:p>
    <w:p>
      <w:pPr>
        <w:pStyle w:val="86"/>
        <w:numPr>
          <w:ilvl w:val="3"/>
          <w:numId w:val="15"/>
        </w:numPr>
        <w:tabs>
          <w:tab w:val="left" w:pos="2047"/>
        </w:tabs>
        <w:spacing w:line="400" w:lineRule="exact"/>
        <w:ind w:right="390" w:firstLine="720"/>
        <w:rPr>
          <w:color w:val="auto"/>
          <w:sz w:val="24"/>
          <w:szCs w:val="24"/>
          <w:highlight w:val="none"/>
        </w:rPr>
      </w:pPr>
      <w:r>
        <w:rPr>
          <w:rFonts w:hint="eastAsia"/>
          <w:color w:val="auto"/>
          <w:sz w:val="24"/>
          <w:szCs w:val="24"/>
          <w:highlight w:val="none"/>
        </w:rPr>
        <w:t>分项工程：指在分部工程中，按不同的施工方法、材料、工序及路段长度等划分的若干个工程。</w:t>
      </w:r>
    </w:p>
    <w:p>
      <w:pPr>
        <w:pStyle w:val="86"/>
        <w:numPr>
          <w:ilvl w:val="2"/>
          <w:numId w:val="16"/>
        </w:numPr>
        <w:tabs>
          <w:tab w:val="left" w:pos="1495"/>
        </w:tabs>
        <w:spacing w:line="400" w:lineRule="exact"/>
        <w:rPr>
          <w:color w:val="auto"/>
          <w:sz w:val="24"/>
          <w:szCs w:val="24"/>
          <w:highlight w:val="none"/>
        </w:rPr>
      </w:pPr>
      <w:r>
        <w:rPr>
          <w:rFonts w:hint="eastAsia"/>
          <w:color w:val="auto"/>
          <w:sz w:val="24"/>
          <w:szCs w:val="24"/>
          <w:highlight w:val="none"/>
        </w:rPr>
        <w:t>其他</w:t>
      </w:r>
    </w:p>
    <w:p>
      <w:pPr>
        <w:pStyle w:val="20"/>
        <w:spacing w:line="400" w:lineRule="exact"/>
        <w:ind w:left="1144"/>
        <w:rPr>
          <w:color w:val="auto"/>
          <w:highlight w:val="none"/>
        </w:rPr>
      </w:pPr>
      <w:r>
        <w:rPr>
          <w:rFonts w:hint="eastAsia"/>
          <w:color w:val="auto"/>
          <w:highlight w:val="none"/>
        </w:rPr>
        <w:t xml:space="preserve">本项补充第 </w:t>
      </w:r>
      <w:r>
        <w:rPr>
          <w:color w:val="auto"/>
          <w:highlight w:val="none"/>
        </w:rPr>
        <w:t xml:space="preserve">1.1.6.2 </w:t>
      </w:r>
      <w:r>
        <w:rPr>
          <w:rFonts w:hint="eastAsia"/>
          <w:color w:val="auto"/>
          <w:highlight w:val="none"/>
        </w:rPr>
        <w:t xml:space="preserve">目～第 </w:t>
      </w:r>
      <w:r>
        <w:rPr>
          <w:color w:val="auto"/>
          <w:highlight w:val="none"/>
        </w:rPr>
        <w:t xml:space="preserve">1.1.6.9 </w:t>
      </w:r>
      <w:r>
        <w:rPr>
          <w:rFonts w:hint="eastAsia"/>
          <w:color w:val="auto"/>
          <w:highlight w:val="none"/>
        </w:rPr>
        <w:t>目：</w:t>
      </w:r>
    </w:p>
    <w:p>
      <w:pPr>
        <w:pStyle w:val="86"/>
        <w:numPr>
          <w:ilvl w:val="3"/>
          <w:numId w:val="16"/>
        </w:numPr>
        <w:tabs>
          <w:tab w:val="left" w:pos="1925"/>
        </w:tabs>
        <w:spacing w:line="400" w:lineRule="exact"/>
        <w:ind w:right="383" w:firstLine="720"/>
        <w:rPr>
          <w:color w:val="auto"/>
          <w:sz w:val="24"/>
          <w:szCs w:val="24"/>
          <w:highlight w:val="none"/>
        </w:rPr>
      </w:pPr>
      <w:r>
        <w:rPr>
          <w:rFonts w:hint="eastAsia"/>
          <w:color w:val="auto"/>
          <w:spacing w:val="-3"/>
          <w:sz w:val="24"/>
          <w:szCs w:val="24"/>
          <w:highlight w:val="none"/>
        </w:rPr>
        <w:t>竣工验收：指《公路工程竣</w:t>
      </w:r>
      <w:r>
        <w:rPr>
          <w:rFonts w:hint="eastAsia"/>
          <w:color w:val="auto"/>
          <w:sz w:val="24"/>
          <w:szCs w:val="24"/>
          <w:highlight w:val="none"/>
        </w:rPr>
        <w:t>（交</w:t>
      </w:r>
      <w:r>
        <w:rPr>
          <w:rFonts w:hint="eastAsia"/>
          <w:color w:val="auto"/>
          <w:spacing w:val="-5"/>
          <w:sz w:val="24"/>
          <w:szCs w:val="24"/>
          <w:highlight w:val="none"/>
        </w:rPr>
        <w:t>）</w:t>
      </w:r>
      <w:r>
        <w:rPr>
          <w:rFonts w:hint="eastAsia"/>
          <w:color w:val="auto"/>
          <w:spacing w:val="-2"/>
          <w:sz w:val="24"/>
          <w:szCs w:val="24"/>
          <w:highlight w:val="none"/>
        </w:rPr>
        <w:t>工验收办法》中的竣工验收。通用合同条款中</w:t>
      </w:r>
      <w:r>
        <w:rPr>
          <w:color w:val="auto"/>
          <w:spacing w:val="-2"/>
          <w:sz w:val="24"/>
          <w:szCs w:val="24"/>
          <w:highlight w:val="none"/>
        </w:rPr>
        <w:t>“</w:t>
      </w:r>
      <w:r>
        <w:rPr>
          <w:rFonts w:hint="eastAsia"/>
          <w:color w:val="auto"/>
          <w:spacing w:val="-2"/>
          <w:sz w:val="24"/>
          <w:szCs w:val="24"/>
          <w:highlight w:val="none"/>
        </w:rPr>
        <w:t>国家验收</w:t>
      </w:r>
      <w:r>
        <w:rPr>
          <w:color w:val="auto"/>
          <w:spacing w:val="-2"/>
          <w:sz w:val="24"/>
          <w:szCs w:val="24"/>
          <w:highlight w:val="none"/>
        </w:rPr>
        <w:t>”</w:t>
      </w:r>
      <w:r>
        <w:rPr>
          <w:rFonts w:hint="eastAsia"/>
          <w:color w:val="auto"/>
          <w:spacing w:val="-2"/>
          <w:sz w:val="24"/>
          <w:szCs w:val="24"/>
          <w:highlight w:val="none"/>
        </w:rPr>
        <w:t>一词具有相同含义。</w:t>
      </w:r>
    </w:p>
    <w:p>
      <w:pPr>
        <w:pStyle w:val="86"/>
        <w:numPr>
          <w:ilvl w:val="3"/>
          <w:numId w:val="16"/>
        </w:numPr>
        <w:tabs>
          <w:tab w:val="left" w:pos="1901"/>
        </w:tabs>
        <w:spacing w:line="400" w:lineRule="exact"/>
        <w:ind w:right="382" w:firstLine="720"/>
        <w:rPr>
          <w:color w:val="auto"/>
          <w:sz w:val="24"/>
          <w:szCs w:val="24"/>
          <w:highlight w:val="none"/>
        </w:rPr>
      </w:pPr>
      <w:r>
        <w:rPr>
          <w:rFonts w:hint="eastAsia"/>
          <w:color w:val="auto"/>
          <w:sz w:val="24"/>
          <w:szCs w:val="24"/>
          <w:highlight w:val="none"/>
        </w:rPr>
        <w:t>交工：指《公路工程竣（交）工验收办法》中的交工。通用合同条款中</w:t>
      </w:r>
      <w:r>
        <w:rPr>
          <w:color w:val="auto"/>
          <w:sz w:val="24"/>
          <w:szCs w:val="24"/>
          <w:highlight w:val="none"/>
        </w:rPr>
        <w:t>“</w:t>
      </w:r>
      <w:r>
        <w:rPr>
          <w:rFonts w:hint="eastAsia"/>
          <w:color w:val="auto"/>
          <w:sz w:val="24"/>
          <w:szCs w:val="24"/>
          <w:highlight w:val="none"/>
        </w:rPr>
        <w:t>竣工</w:t>
      </w:r>
      <w:r>
        <w:rPr>
          <w:color w:val="auto"/>
          <w:sz w:val="24"/>
          <w:szCs w:val="24"/>
          <w:highlight w:val="none"/>
        </w:rPr>
        <w:t>”</w:t>
      </w:r>
      <w:r>
        <w:rPr>
          <w:rFonts w:hint="eastAsia"/>
          <w:color w:val="auto"/>
          <w:sz w:val="24"/>
          <w:szCs w:val="24"/>
          <w:highlight w:val="none"/>
        </w:rPr>
        <w:t>一词具有相同含义。</w:t>
      </w:r>
    </w:p>
    <w:p>
      <w:pPr>
        <w:pStyle w:val="86"/>
        <w:numPr>
          <w:ilvl w:val="3"/>
          <w:numId w:val="16"/>
        </w:numPr>
        <w:tabs>
          <w:tab w:val="left" w:pos="1901"/>
        </w:tabs>
        <w:spacing w:line="400" w:lineRule="exact"/>
        <w:ind w:right="384" w:firstLine="720"/>
        <w:rPr>
          <w:color w:val="auto"/>
          <w:sz w:val="24"/>
          <w:szCs w:val="24"/>
          <w:highlight w:val="none"/>
        </w:rPr>
      </w:pPr>
      <w:r>
        <w:rPr>
          <w:rFonts w:hint="eastAsia"/>
          <w:color w:val="auto"/>
          <w:sz w:val="24"/>
          <w:szCs w:val="24"/>
          <w:highlight w:val="none"/>
        </w:rPr>
        <w:t>交工验收：指《公路工程竣（交）工验收办法》中的交工验收。通用合同条款中</w:t>
      </w:r>
      <w:r>
        <w:rPr>
          <w:color w:val="auto"/>
          <w:sz w:val="24"/>
          <w:szCs w:val="24"/>
          <w:highlight w:val="none"/>
        </w:rPr>
        <w:t>“</w:t>
      </w:r>
      <w:r>
        <w:rPr>
          <w:rFonts w:hint="eastAsia"/>
          <w:color w:val="auto"/>
          <w:sz w:val="24"/>
          <w:szCs w:val="24"/>
          <w:highlight w:val="none"/>
        </w:rPr>
        <w:t>竣工验收</w:t>
      </w:r>
      <w:r>
        <w:rPr>
          <w:color w:val="auto"/>
          <w:sz w:val="24"/>
          <w:szCs w:val="24"/>
          <w:highlight w:val="none"/>
        </w:rPr>
        <w:t>”</w:t>
      </w:r>
      <w:r>
        <w:rPr>
          <w:rFonts w:hint="eastAsia"/>
          <w:color w:val="auto"/>
          <w:sz w:val="24"/>
          <w:szCs w:val="24"/>
          <w:highlight w:val="none"/>
        </w:rPr>
        <w:t>一词具有相同含义。</w:t>
      </w:r>
    </w:p>
    <w:p>
      <w:pPr>
        <w:pStyle w:val="86"/>
        <w:numPr>
          <w:ilvl w:val="3"/>
          <w:numId w:val="16"/>
        </w:numPr>
        <w:tabs>
          <w:tab w:val="left" w:pos="1901"/>
        </w:tabs>
        <w:spacing w:line="400" w:lineRule="exact"/>
        <w:ind w:right="384" w:firstLine="720"/>
        <w:rPr>
          <w:color w:val="auto"/>
          <w:sz w:val="24"/>
          <w:szCs w:val="24"/>
          <w:highlight w:val="none"/>
        </w:rPr>
      </w:pPr>
      <w:r>
        <w:rPr>
          <w:rFonts w:hint="eastAsia"/>
          <w:color w:val="auto"/>
          <w:sz w:val="24"/>
          <w:szCs w:val="24"/>
          <w:highlight w:val="none"/>
        </w:rPr>
        <w:t>交工验收证书：指《公路工程竣（交）工验收办法》中的交工验收证书。通用合同条款中</w:t>
      </w:r>
      <w:r>
        <w:rPr>
          <w:color w:val="auto"/>
          <w:sz w:val="24"/>
          <w:szCs w:val="24"/>
          <w:highlight w:val="none"/>
        </w:rPr>
        <w:t>“</w:t>
      </w:r>
      <w:r>
        <w:rPr>
          <w:rFonts w:hint="eastAsia"/>
          <w:color w:val="auto"/>
          <w:sz w:val="24"/>
          <w:szCs w:val="24"/>
          <w:highlight w:val="none"/>
        </w:rPr>
        <w:t>工程接收证书</w:t>
      </w:r>
      <w:r>
        <w:rPr>
          <w:color w:val="auto"/>
          <w:sz w:val="24"/>
          <w:szCs w:val="24"/>
          <w:highlight w:val="none"/>
        </w:rPr>
        <w:t>”</w:t>
      </w:r>
      <w:r>
        <w:rPr>
          <w:rFonts w:hint="eastAsia"/>
          <w:color w:val="auto"/>
          <w:sz w:val="24"/>
          <w:szCs w:val="24"/>
          <w:highlight w:val="none"/>
        </w:rPr>
        <w:t>一词具有相同含义。</w:t>
      </w:r>
    </w:p>
    <w:p>
      <w:pPr>
        <w:pStyle w:val="86"/>
        <w:numPr>
          <w:ilvl w:val="3"/>
          <w:numId w:val="16"/>
        </w:numPr>
        <w:tabs>
          <w:tab w:val="left" w:pos="1901"/>
        </w:tabs>
        <w:spacing w:line="400" w:lineRule="exact"/>
        <w:ind w:right="383" w:firstLine="720"/>
        <w:rPr>
          <w:color w:val="auto"/>
          <w:sz w:val="24"/>
          <w:szCs w:val="24"/>
          <w:highlight w:val="none"/>
        </w:rPr>
      </w:pPr>
      <w:r>
        <w:rPr>
          <w:rFonts w:hint="eastAsia"/>
          <w:color w:val="auto"/>
          <w:sz w:val="24"/>
          <w:szCs w:val="24"/>
          <w:highlight w:val="none"/>
        </w:rPr>
        <w:t>转包：指承包人违反法律和不履行合同规定的责任和义务，将中标工程全部委托或以专业分包的名义将中标工程肢解后全部委托给其他施工企业施工的行为。</w:t>
      </w:r>
    </w:p>
    <w:p>
      <w:pPr>
        <w:pStyle w:val="86"/>
        <w:numPr>
          <w:ilvl w:val="3"/>
          <w:numId w:val="16"/>
        </w:numPr>
        <w:tabs>
          <w:tab w:val="left" w:pos="1901"/>
        </w:tabs>
        <w:spacing w:line="400" w:lineRule="exact"/>
        <w:ind w:right="262" w:firstLine="720"/>
        <w:rPr>
          <w:color w:val="auto"/>
          <w:sz w:val="24"/>
          <w:szCs w:val="24"/>
          <w:highlight w:val="none"/>
        </w:rPr>
      </w:pPr>
      <w:r>
        <w:rPr>
          <w:rFonts w:hint="eastAsia"/>
          <w:color w:val="auto"/>
          <w:sz w:val="24"/>
          <w:szCs w:val="24"/>
          <w:highlight w:val="none"/>
        </w:rPr>
        <w:t xml:space="preserve">专业分包：指承包人与具有相应资格的施工企业签订专业分包合同， </w:t>
      </w:r>
      <w:r>
        <w:rPr>
          <w:rFonts w:hint="eastAsia"/>
          <w:color w:val="auto"/>
          <w:spacing w:val="-5"/>
          <w:sz w:val="24"/>
          <w:szCs w:val="24"/>
          <w:highlight w:val="none"/>
        </w:rPr>
        <w:t>由分包人承担承包人委托的分部工程、分项工程或适合专业化队伍施工的其他工程， 整体结算，并能独立控制工程质量、施工进度、材料采购、生产安全的施工行为。</w:t>
      </w:r>
    </w:p>
    <w:p>
      <w:pPr>
        <w:pStyle w:val="86"/>
        <w:numPr>
          <w:ilvl w:val="3"/>
          <w:numId w:val="16"/>
        </w:numPr>
        <w:tabs>
          <w:tab w:val="left" w:pos="1901"/>
        </w:tabs>
        <w:spacing w:line="400" w:lineRule="exact"/>
        <w:ind w:right="265" w:firstLine="720"/>
        <w:rPr>
          <w:color w:val="auto"/>
          <w:sz w:val="24"/>
          <w:szCs w:val="24"/>
          <w:highlight w:val="none"/>
        </w:rPr>
      </w:pPr>
      <w:r>
        <w:rPr>
          <w:rFonts w:hint="eastAsia"/>
          <w:color w:val="auto"/>
          <w:sz w:val="24"/>
          <w:szCs w:val="24"/>
          <w:highlight w:val="none"/>
        </w:rPr>
        <w:t>劳务分包：指承包人与具有施工劳务资质的劳务企业签订劳务分包合</w:t>
      </w:r>
      <w:r>
        <w:rPr>
          <w:rFonts w:hint="eastAsia"/>
          <w:color w:val="auto"/>
          <w:spacing w:val="-9"/>
          <w:sz w:val="24"/>
          <w:szCs w:val="24"/>
          <w:highlight w:val="none"/>
        </w:rPr>
        <w:t>同，由劳务企业提供劳务人员及机具，由承包人统一组织施工、统一控制工程质量、施工进度、材料采购、生产安全的施工行为。</w:t>
      </w:r>
    </w:p>
    <w:p>
      <w:pPr>
        <w:pStyle w:val="86"/>
        <w:numPr>
          <w:ilvl w:val="3"/>
          <w:numId w:val="16"/>
        </w:numPr>
        <w:tabs>
          <w:tab w:val="left" w:pos="1901"/>
        </w:tabs>
        <w:spacing w:line="400" w:lineRule="exact"/>
        <w:ind w:right="383" w:firstLine="720"/>
        <w:rPr>
          <w:color w:val="auto"/>
          <w:sz w:val="24"/>
          <w:szCs w:val="24"/>
          <w:highlight w:val="none"/>
        </w:rPr>
      </w:pPr>
      <w:r>
        <w:rPr>
          <w:rFonts w:hint="eastAsia"/>
          <w:color w:val="auto"/>
          <w:sz w:val="24"/>
          <w:szCs w:val="24"/>
          <w:highlight w:val="none"/>
        </w:rPr>
        <w:t>雇用民工：指承包人与具有相应劳动能力的自然人签订劳动合同，由承包人统一组织管理，从事分项工程施工或配套工程施工的行为。</w:t>
      </w:r>
    </w:p>
    <w:p>
      <w:pPr>
        <w:pStyle w:val="20"/>
        <w:spacing w:line="400" w:lineRule="exact"/>
        <w:rPr>
          <w:color w:val="auto"/>
          <w:highlight w:val="none"/>
        </w:rPr>
      </w:pPr>
    </w:p>
    <w:p>
      <w:pPr>
        <w:pStyle w:val="86"/>
        <w:numPr>
          <w:ilvl w:val="1"/>
          <w:numId w:val="17"/>
        </w:numPr>
        <w:tabs>
          <w:tab w:val="left" w:pos="845"/>
        </w:tabs>
        <w:spacing w:line="400" w:lineRule="exact"/>
        <w:rPr>
          <w:rFonts w:ascii="黑体" w:hAnsi="黑体" w:eastAsia="黑体" w:cs="黑体"/>
          <w:color w:val="auto"/>
          <w:sz w:val="24"/>
          <w:szCs w:val="24"/>
          <w:highlight w:val="none"/>
        </w:rPr>
      </w:pPr>
      <w:bookmarkStart w:id="1751" w:name="_bookmark161"/>
      <w:bookmarkEnd w:id="1751"/>
      <w:bookmarkStart w:id="1752" w:name="_Toc10510"/>
      <w:bookmarkStart w:id="1753" w:name="_Toc11662"/>
      <w:bookmarkStart w:id="1754" w:name="_Toc6870"/>
      <w:bookmarkStart w:id="1755" w:name="_Toc23934"/>
      <w:bookmarkStart w:id="1756" w:name="_Toc11348"/>
      <w:bookmarkStart w:id="1757" w:name="_Toc25165"/>
      <w:bookmarkStart w:id="1758" w:name="_Toc22118"/>
      <w:bookmarkStart w:id="1759" w:name="_Toc15384"/>
      <w:bookmarkStart w:id="1760" w:name="_Toc25453"/>
      <w:r>
        <w:rPr>
          <w:rFonts w:hint="eastAsia" w:ascii="黑体" w:hAnsi="黑体" w:eastAsia="黑体" w:cs="黑体"/>
          <w:color w:val="auto"/>
          <w:sz w:val="24"/>
          <w:szCs w:val="24"/>
          <w:highlight w:val="none"/>
        </w:rPr>
        <w:t>合同文件的优先顺序</w:t>
      </w:r>
      <w:bookmarkEnd w:id="1752"/>
      <w:bookmarkEnd w:id="1753"/>
      <w:bookmarkEnd w:id="1754"/>
      <w:bookmarkEnd w:id="1755"/>
      <w:bookmarkEnd w:id="1756"/>
      <w:bookmarkEnd w:id="1757"/>
      <w:bookmarkEnd w:id="1758"/>
      <w:bookmarkEnd w:id="1759"/>
      <w:bookmarkEnd w:id="1760"/>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本款约定为：</w:t>
      </w:r>
    </w:p>
    <w:p>
      <w:pPr>
        <w:pStyle w:val="20"/>
        <w:spacing w:line="400" w:lineRule="exact"/>
        <w:ind w:left="424" w:right="267" w:firstLine="391"/>
        <w:rPr>
          <w:color w:val="auto"/>
          <w:highlight w:val="none"/>
        </w:rPr>
      </w:pPr>
      <w:r>
        <w:rPr>
          <w:rFonts w:hint="eastAsia"/>
          <w:color w:val="auto"/>
          <w:highlight w:val="none"/>
        </w:rPr>
        <w:t>组成合同的各项文件应互相解释，互为说明。除项目专用合同条款另有约定外， 解释合同文件的优先顺序如下：</w:t>
      </w:r>
    </w:p>
    <w:p>
      <w:pPr>
        <w:pStyle w:val="20"/>
        <w:spacing w:line="400" w:lineRule="exact"/>
        <w:ind w:left="424" w:right="338" w:firstLine="440" w:firstLineChars="200"/>
        <w:rPr>
          <w:color w:val="auto"/>
          <w:highlight w:val="none"/>
        </w:rPr>
      </w:pPr>
      <w:r>
        <w:rPr>
          <w:rFonts w:hint="eastAsia"/>
          <w:color w:val="auto"/>
          <w:spacing w:val="-10"/>
          <w:highlight w:val="none"/>
        </w:rPr>
        <w:t>（</w:t>
      </w:r>
      <w:r>
        <w:rPr>
          <w:color w:val="auto"/>
          <w:spacing w:val="-10"/>
          <w:highlight w:val="none"/>
        </w:rPr>
        <w:t>1</w:t>
      </w:r>
      <w:r>
        <w:rPr>
          <w:rFonts w:hint="eastAsia"/>
          <w:color w:val="auto"/>
          <w:spacing w:val="-10"/>
          <w:highlight w:val="none"/>
        </w:rPr>
        <w:t>）</w:t>
      </w:r>
      <w:r>
        <w:rPr>
          <w:rFonts w:hint="eastAsia"/>
          <w:color w:val="auto"/>
          <w:spacing w:val="-3"/>
          <w:highlight w:val="none"/>
        </w:rPr>
        <w:t>合同协议书及各种合同附件</w:t>
      </w:r>
      <w:r>
        <w:rPr>
          <w:rFonts w:hint="eastAsia"/>
          <w:color w:val="auto"/>
          <w:highlight w:val="none"/>
        </w:rPr>
        <w:t>（含评标期间和合同谈判过程中的澄清文件和</w:t>
      </w:r>
      <w:r>
        <w:rPr>
          <w:rFonts w:hint="eastAsia"/>
          <w:color w:val="auto"/>
          <w:spacing w:val="-1"/>
          <w:highlight w:val="none"/>
        </w:rPr>
        <w:t>补充资料</w:t>
      </w:r>
      <w:r>
        <w:rPr>
          <w:rFonts w:hint="eastAsia"/>
          <w:color w:val="auto"/>
          <w:spacing w:val="-120"/>
          <w:highlight w:val="none"/>
        </w:rPr>
        <w:t>）</w:t>
      </w:r>
      <w:r>
        <w:rPr>
          <w:rFonts w:hint="eastAsia"/>
          <w:color w:val="auto"/>
          <w:highlight w:val="none"/>
        </w:rPr>
        <w:t>；</w:t>
      </w:r>
    </w:p>
    <w:p>
      <w:pPr>
        <w:pStyle w:val="20"/>
        <w:spacing w:line="400" w:lineRule="exact"/>
        <w:ind w:left="424"/>
        <w:rPr>
          <w:color w:val="auto"/>
          <w:highlight w:val="none"/>
        </w:rPr>
      </w:pPr>
      <w:r>
        <w:rPr>
          <w:rFonts w:hint="eastAsia"/>
          <w:color w:val="auto"/>
          <w:highlight w:val="none"/>
        </w:rPr>
        <w:t xml:space="preserve">    （</w:t>
      </w:r>
      <w:r>
        <w:rPr>
          <w:color w:val="auto"/>
          <w:highlight w:val="none"/>
        </w:rPr>
        <w:t>2</w:t>
      </w:r>
      <w:r>
        <w:rPr>
          <w:rFonts w:hint="eastAsia"/>
          <w:color w:val="auto"/>
          <w:highlight w:val="none"/>
        </w:rPr>
        <w:t>）中标通知书；</w:t>
      </w:r>
    </w:p>
    <w:p>
      <w:pPr>
        <w:pStyle w:val="20"/>
        <w:spacing w:line="400" w:lineRule="exact"/>
        <w:ind w:left="424"/>
        <w:rPr>
          <w:color w:val="auto"/>
          <w:highlight w:val="none"/>
        </w:rPr>
      </w:pPr>
      <w:r>
        <w:rPr>
          <w:rFonts w:hint="eastAsia"/>
          <w:color w:val="auto"/>
          <w:highlight w:val="none"/>
        </w:rPr>
        <w:t xml:space="preserve">    （</w:t>
      </w:r>
      <w:r>
        <w:rPr>
          <w:color w:val="auto"/>
          <w:highlight w:val="none"/>
        </w:rPr>
        <w:t>3</w:t>
      </w:r>
      <w:r>
        <w:rPr>
          <w:rFonts w:hint="eastAsia"/>
          <w:color w:val="auto"/>
          <w:highlight w:val="none"/>
        </w:rPr>
        <w:t>）投标函及投标函附录；</w:t>
      </w:r>
    </w:p>
    <w:p>
      <w:pPr>
        <w:pStyle w:val="20"/>
        <w:spacing w:line="400" w:lineRule="exact"/>
        <w:ind w:left="424"/>
        <w:rPr>
          <w:color w:val="auto"/>
          <w:highlight w:val="none"/>
        </w:rPr>
      </w:pPr>
      <w:r>
        <w:rPr>
          <w:rFonts w:hint="eastAsia"/>
          <w:color w:val="auto"/>
          <w:highlight w:val="none"/>
        </w:rPr>
        <w:t xml:space="preserve">    （</w:t>
      </w:r>
      <w:r>
        <w:rPr>
          <w:color w:val="auto"/>
          <w:highlight w:val="none"/>
        </w:rPr>
        <w:t>4</w:t>
      </w:r>
      <w:r>
        <w:rPr>
          <w:rFonts w:hint="eastAsia"/>
          <w:color w:val="auto"/>
          <w:highlight w:val="none"/>
        </w:rPr>
        <w:t>）项目专用合同条款；</w:t>
      </w:r>
    </w:p>
    <w:p>
      <w:pPr>
        <w:pStyle w:val="20"/>
        <w:spacing w:line="400" w:lineRule="exact"/>
        <w:ind w:left="424"/>
        <w:rPr>
          <w:color w:val="auto"/>
          <w:highlight w:val="none"/>
        </w:rPr>
      </w:pPr>
      <w:r>
        <w:rPr>
          <w:rFonts w:hint="eastAsia"/>
          <w:color w:val="auto"/>
          <w:highlight w:val="none"/>
        </w:rPr>
        <w:t xml:space="preserve">    （</w:t>
      </w:r>
      <w:r>
        <w:rPr>
          <w:color w:val="auto"/>
          <w:highlight w:val="none"/>
        </w:rPr>
        <w:t>5</w:t>
      </w:r>
      <w:r>
        <w:rPr>
          <w:rFonts w:hint="eastAsia"/>
          <w:color w:val="auto"/>
          <w:highlight w:val="none"/>
        </w:rPr>
        <w:t>）公路工程专用合同条款；</w:t>
      </w:r>
    </w:p>
    <w:p>
      <w:pPr>
        <w:pStyle w:val="20"/>
        <w:spacing w:line="400" w:lineRule="exact"/>
        <w:ind w:left="904"/>
        <w:rPr>
          <w:color w:val="auto"/>
          <w:highlight w:val="none"/>
        </w:rPr>
      </w:pPr>
      <w:r>
        <w:rPr>
          <w:rFonts w:hint="eastAsia"/>
          <w:color w:val="auto"/>
          <w:highlight w:val="none"/>
        </w:rPr>
        <w:t>（</w:t>
      </w:r>
      <w:r>
        <w:rPr>
          <w:color w:val="auto"/>
          <w:highlight w:val="none"/>
        </w:rPr>
        <w:t>6</w:t>
      </w:r>
      <w:r>
        <w:rPr>
          <w:rFonts w:hint="eastAsia"/>
          <w:color w:val="auto"/>
          <w:highlight w:val="none"/>
        </w:rPr>
        <w:t>）通用合同条款；</w:t>
      </w:r>
    </w:p>
    <w:p>
      <w:pPr>
        <w:pStyle w:val="20"/>
        <w:spacing w:line="400" w:lineRule="exact"/>
        <w:ind w:left="904"/>
        <w:rPr>
          <w:color w:val="auto"/>
          <w:highlight w:val="none"/>
        </w:rPr>
      </w:pPr>
      <w:r>
        <w:rPr>
          <w:rFonts w:hint="eastAsia"/>
          <w:color w:val="auto"/>
          <w:highlight w:val="none"/>
        </w:rPr>
        <w:t>（</w:t>
      </w:r>
      <w:r>
        <w:rPr>
          <w:color w:val="auto"/>
          <w:highlight w:val="none"/>
        </w:rPr>
        <w:t>7</w:t>
      </w:r>
      <w:r>
        <w:rPr>
          <w:rFonts w:hint="eastAsia"/>
          <w:color w:val="auto"/>
          <w:highlight w:val="none"/>
        </w:rPr>
        <w:t>）工程量清单计量规则；</w:t>
      </w:r>
    </w:p>
    <w:p>
      <w:pPr>
        <w:pStyle w:val="20"/>
        <w:spacing w:line="400" w:lineRule="exact"/>
        <w:ind w:left="424"/>
        <w:rPr>
          <w:color w:val="auto"/>
          <w:highlight w:val="none"/>
        </w:rPr>
      </w:pPr>
      <w:r>
        <w:rPr>
          <w:rFonts w:hint="eastAsia"/>
          <w:color w:val="auto"/>
          <w:highlight w:val="none"/>
        </w:rPr>
        <w:t xml:space="preserve">    （</w:t>
      </w:r>
      <w:r>
        <w:rPr>
          <w:color w:val="auto"/>
          <w:highlight w:val="none"/>
        </w:rPr>
        <w:t>8</w:t>
      </w:r>
      <w:r>
        <w:rPr>
          <w:rFonts w:hint="eastAsia"/>
          <w:color w:val="auto"/>
          <w:highlight w:val="none"/>
        </w:rPr>
        <w:t>）技术规范；</w:t>
      </w:r>
    </w:p>
    <w:p>
      <w:pPr>
        <w:pStyle w:val="20"/>
        <w:spacing w:line="400" w:lineRule="exact"/>
        <w:ind w:left="424"/>
        <w:rPr>
          <w:color w:val="auto"/>
          <w:highlight w:val="none"/>
        </w:rPr>
      </w:pPr>
      <w:r>
        <w:rPr>
          <w:rFonts w:hint="eastAsia"/>
          <w:color w:val="auto"/>
          <w:highlight w:val="none"/>
        </w:rPr>
        <w:t xml:space="preserve">    （</w:t>
      </w:r>
      <w:r>
        <w:rPr>
          <w:color w:val="auto"/>
          <w:highlight w:val="none"/>
        </w:rPr>
        <w:t>9</w:t>
      </w:r>
      <w:r>
        <w:rPr>
          <w:rFonts w:hint="eastAsia"/>
          <w:color w:val="auto"/>
          <w:highlight w:val="none"/>
        </w:rPr>
        <w:t>）图纸；</w:t>
      </w:r>
    </w:p>
    <w:p>
      <w:pPr>
        <w:pStyle w:val="20"/>
        <w:spacing w:line="400" w:lineRule="exact"/>
        <w:ind w:left="424"/>
        <w:rPr>
          <w:color w:val="auto"/>
          <w:highlight w:val="none"/>
        </w:rPr>
      </w:pPr>
      <w:r>
        <w:rPr>
          <w:rFonts w:hint="eastAsia"/>
          <w:color w:val="auto"/>
          <w:highlight w:val="none"/>
        </w:rPr>
        <w:t xml:space="preserve">    （</w:t>
      </w:r>
      <w:r>
        <w:rPr>
          <w:color w:val="auto"/>
          <w:highlight w:val="none"/>
        </w:rPr>
        <w:t>10</w:t>
      </w:r>
      <w:r>
        <w:rPr>
          <w:rFonts w:hint="eastAsia"/>
          <w:color w:val="auto"/>
          <w:highlight w:val="none"/>
        </w:rPr>
        <w:t>）已标价工程量清单；</w:t>
      </w:r>
    </w:p>
    <w:p>
      <w:pPr>
        <w:pStyle w:val="20"/>
        <w:spacing w:line="400" w:lineRule="exact"/>
        <w:ind w:left="424"/>
        <w:rPr>
          <w:color w:val="auto"/>
          <w:highlight w:val="none"/>
        </w:rPr>
      </w:pPr>
      <w:r>
        <w:rPr>
          <w:rFonts w:hint="eastAsia"/>
          <w:color w:val="auto"/>
          <w:highlight w:val="none"/>
        </w:rPr>
        <w:t xml:space="preserve">    （</w:t>
      </w:r>
      <w:r>
        <w:rPr>
          <w:color w:val="auto"/>
          <w:highlight w:val="none"/>
        </w:rPr>
        <w:t>11</w:t>
      </w:r>
      <w:r>
        <w:rPr>
          <w:rFonts w:hint="eastAsia"/>
          <w:color w:val="auto"/>
          <w:highlight w:val="none"/>
        </w:rPr>
        <w:t>）承包人有关人员、设备投入的承诺及投标文件中的施工组织设计；</w:t>
      </w:r>
    </w:p>
    <w:p>
      <w:pPr>
        <w:pStyle w:val="20"/>
        <w:spacing w:line="400" w:lineRule="exact"/>
        <w:ind w:left="424"/>
        <w:rPr>
          <w:color w:val="auto"/>
          <w:highlight w:val="none"/>
        </w:rPr>
      </w:pPr>
      <w:r>
        <w:rPr>
          <w:rFonts w:hint="eastAsia"/>
          <w:color w:val="auto"/>
          <w:highlight w:val="none"/>
        </w:rPr>
        <w:t xml:space="preserve">    （</w:t>
      </w:r>
      <w:r>
        <w:rPr>
          <w:color w:val="auto"/>
          <w:highlight w:val="none"/>
        </w:rPr>
        <w:t>12</w:t>
      </w:r>
      <w:r>
        <w:rPr>
          <w:rFonts w:hint="eastAsia"/>
          <w:color w:val="auto"/>
          <w:highlight w:val="none"/>
        </w:rPr>
        <w:t>）其他合同文件。</w:t>
      </w:r>
    </w:p>
    <w:p>
      <w:pPr>
        <w:pStyle w:val="20"/>
        <w:spacing w:line="400" w:lineRule="exact"/>
        <w:rPr>
          <w:color w:val="auto"/>
          <w:highlight w:val="none"/>
        </w:rPr>
      </w:pPr>
    </w:p>
    <w:p>
      <w:pPr>
        <w:pStyle w:val="86"/>
        <w:numPr>
          <w:ilvl w:val="1"/>
          <w:numId w:val="17"/>
        </w:numPr>
        <w:tabs>
          <w:tab w:val="left" w:pos="845"/>
        </w:tabs>
        <w:spacing w:line="400" w:lineRule="exact"/>
        <w:rPr>
          <w:rFonts w:ascii="黑体" w:hAnsi="黑体" w:eastAsia="黑体" w:cs="黑体"/>
          <w:color w:val="auto"/>
          <w:sz w:val="24"/>
          <w:szCs w:val="24"/>
          <w:highlight w:val="none"/>
        </w:rPr>
      </w:pPr>
      <w:bookmarkStart w:id="1761" w:name="_bookmark162"/>
      <w:bookmarkEnd w:id="1761"/>
      <w:bookmarkStart w:id="1762" w:name="_Toc25905"/>
      <w:bookmarkStart w:id="1763" w:name="_Toc1482"/>
      <w:bookmarkStart w:id="1764" w:name="_Toc27947"/>
      <w:bookmarkStart w:id="1765" w:name="_Toc15213"/>
      <w:bookmarkStart w:id="1766" w:name="_Toc149"/>
      <w:bookmarkStart w:id="1767" w:name="_Toc6399"/>
      <w:bookmarkStart w:id="1768" w:name="_Toc3421"/>
      <w:bookmarkStart w:id="1769" w:name="_Toc18911"/>
      <w:bookmarkStart w:id="1770" w:name="_Toc22351"/>
      <w:r>
        <w:rPr>
          <w:rFonts w:hint="eastAsia" w:ascii="黑体" w:hAnsi="黑体" w:eastAsia="黑体" w:cs="黑体"/>
          <w:color w:val="auto"/>
          <w:sz w:val="24"/>
          <w:szCs w:val="24"/>
          <w:highlight w:val="none"/>
        </w:rPr>
        <w:t>合同协议书</w:t>
      </w:r>
      <w:bookmarkEnd w:id="1762"/>
      <w:bookmarkEnd w:id="1763"/>
      <w:bookmarkEnd w:id="1764"/>
      <w:bookmarkEnd w:id="1765"/>
      <w:bookmarkEnd w:id="1766"/>
      <w:bookmarkEnd w:id="1767"/>
      <w:bookmarkEnd w:id="1768"/>
      <w:bookmarkEnd w:id="1769"/>
      <w:bookmarkEnd w:id="1770"/>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本款补充：</w:t>
      </w:r>
    </w:p>
    <w:p>
      <w:pPr>
        <w:pStyle w:val="20"/>
        <w:spacing w:line="400" w:lineRule="exact"/>
        <w:ind w:left="424" w:right="385" w:firstLine="391"/>
        <w:rPr>
          <w:color w:val="auto"/>
          <w:highlight w:val="none"/>
        </w:rPr>
      </w:pPr>
      <w:r>
        <w:rPr>
          <w:rFonts w:hint="eastAsia"/>
          <w:color w:val="auto"/>
          <w:spacing w:val="-6"/>
          <w:highlight w:val="none"/>
        </w:rPr>
        <w:t>制备本合同文件的费用由发包人承担。在合同协议书签订并生效之前，投标函和中标通知书将对双方具有约束力。</w:t>
      </w:r>
    </w:p>
    <w:p>
      <w:pPr>
        <w:pStyle w:val="20"/>
        <w:spacing w:line="400" w:lineRule="exact"/>
        <w:rPr>
          <w:color w:val="auto"/>
          <w:highlight w:val="none"/>
        </w:rPr>
      </w:pPr>
    </w:p>
    <w:p>
      <w:pPr>
        <w:pStyle w:val="86"/>
        <w:numPr>
          <w:ilvl w:val="1"/>
          <w:numId w:val="17"/>
        </w:numPr>
        <w:tabs>
          <w:tab w:val="left" w:pos="845"/>
        </w:tabs>
        <w:spacing w:line="400" w:lineRule="exact"/>
        <w:rPr>
          <w:rFonts w:ascii="黑体" w:hAnsi="黑体" w:eastAsia="黑体" w:cs="黑体"/>
          <w:color w:val="auto"/>
          <w:sz w:val="24"/>
          <w:szCs w:val="24"/>
          <w:highlight w:val="none"/>
        </w:rPr>
      </w:pPr>
      <w:bookmarkStart w:id="1771" w:name="_bookmark163"/>
      <w:bookmarkEnd w:id="1771"/>
      <w:bookmarkStart w:id="1772" w:name="_Toc22003"/>
      <w:bookmarkStart w:id="1773" w:name="_Toc20912"/>
      <w:bookmarkStart w:id="1774" w:name="_Toc21530"/>
      <w:bookmarkStart w:id="1775" w:name="_Toc21698"/>
      <w:bookmarkStart w:id="1776" w:name="_Toc24886"/>
      <w:bookmarkStart w:id="1777" w:name="_Toc18131"/>
      <w:bookmarkStart w:id="1778" w:name="_Toc27393"/>
      <w:bookmarkStart w:id="1779" w:name="_Toc13169"/>
      <w:bookmarkStart w:id="1780" w:name="_Toc15198"/>
      <w:r>
        <w:rPr>
          <w:rFonts w:hint="eastAsia" w:ascii="黑体" w:hAnsi="黑体" w:eastAsia="黑体" w:cs="黑体"/>
          <w:color w:val="auto"/>
          <w:sz w:val="24"/>
          <w:szCs w:val="24"/>
          <w:highlight w:val="none"/>
        </w:rPr>
        <w:t>图纸和承包人文件</w:t>
      </w:r>
      <w:bookmarkEnd w:id="1772"/>
      <w:bookmarkEnd w:id="1773"/>
      <w:bookmarkEnd w:id="1774"/>
      <w:bookmarkEnd w:id="1775"/>
      <w:bookmarkEnd w:id="1776"/>
      <w:bookmarkEnd w:id="1777"/>
      <w:bookmarkEnd w:id="1778"/>
      <w:bookmarkEnd w:id="1779"/>
      <w:bookmarkEnd w:id="1780"/>
    </w:p>
    <w:p>
      <w:pPr>
        <w:pStyle w:val="20"/>
        <w:spacing w:line="400" w:lineRule="exact"/>
        <w:rPr>
          <w:color w:val="auto"/>
          <w:highlight w:val="none"/>
        </w:rPr>
      </w:pPr>
    </w:p>
    <w:p>
      <w:pPr>
        <w:pStyle w:val="86"/>
        <w:numPr>
          <w:ilvl w:val="2"/>
          <w:numId w:val="17"/>
        </w:numPr>
        <w:tabs>
          <w:tab w:val="left" w:pos="1505"/>
        </w:tabs>
        <w:spacing w:line="400" w:lineRule="exact"/>
        <w:rPr>
          <w:color w:val="auto"/>
          <w:sz w:val="24"/>
          <w:szCs w:val="24"/>
          <w:highlight w:val="none"/>
        </w:rPr>
      </w:pPr>
      <w:r>
        <w:rPr>
          <w:rFonts w:hint="eastAsia"/>
          <w:color w:val="auto"/>
          <w:sz w:val="24"/>
          <w:szCs w:val="24"/>
          <w:highlight w:val="none"/>
        </w:rPr>
        <w:t>图纸的提供</w:t>
      </w:r>
    </w:p>
    <w:p>
      <w:pPr>
        <w:pStyle w:val="20"/>
        <w:spacing w:line="400" w:lineRule="exact"/>
        <w:ind w:left="815"/>
        <w:rPr>
          <w:color w:val="auto"/>
          <w:highlight w:val="none"/>
        </w:rPr>
      </w:pPr>
      <w:r>
        <w:rPr>
          <w:rFonts w:hint="eastAsia"/>
          <w:color w:val="auto"/>
          <w:highlight w:val="none"/>
        </w:rPr>
        <w:t>本项细化为：</w:t>
      </w:r>
    </w:p>
    <w:p>
      <w:pPr>
        <w:pStyle w:val="20"/>
        <w:spacing w:line="400" w:lineRule="exact"/>
        <w:ind w:left="815"/>
        <w:rPr>
          <w:color w:val="auto"/>
          <w:highlight w:val="none"/>
        </w:rPr>
      </w:pPr>
      <w:r>
        <w:rPr>
          <w:rFonts w:hint="eastAsia"/>
          <w:color w:val="auto"/>
          <w:highlight w:val="none"/>
        </w:rPr>
        <w:t xml:space="preserve">监理人应在发出中标通知书之后 </w:t>
      </w:r>
      <w:r>
        <w:rPr>
          <w:color w:val="auto"/>
          <w:highlight w:val="none"/>
        </w:rPr>
        <w:t xml:space="preserve">42 </w:t>
      </w:r>
      <w:r>
        <w:rPr>
          <w:rFonts w:hint="eastAsia"/>
          <w:color w:val="auto"/>
          <w:highlight w:val="none"/>
        </w:rPr>
        <w:t>天内，向承包人免费提供由发包人或其委托</w:t>
      </w:r>
    </w:p>
    <w:p>
      <w:pPr>
        <w:pStyle w:val="20"/>
        <w:spacing w:line="400" w:lineRule="exact"/>
        <w:ind w:left="424" w:right="383"/>
        <w:rPr>
          <w:color w:val="auto"/>
          <w:highlight w:val="none"/>
        </w:rPr>
      </w:pPr>
      <w:r>
        <w:rPr>
          <w:rFonts w:hint="eastAsia"/>
          <w:color w:val="auto"/>
          <w:spacing w:val="-2"/>
          <w:highlight w:val="none"/>
        </w:rPr>
        <w:t xml:space="preserve">的设计单位设计的施工图纸、技术规范和其他技术资料 </w:t>
      </w:r>
      <w:r>
        <w:rPr>
          <w:color w:val="auto"/>
          <w:highlight w:val="none"/>
        </w:rPr>
        <w:t xml:space="preserve">2 </w:t>
      </w:r>
      <w:r>
        <w:rPr>
          <w:rFonts w:hint="eastAsia"/>
          <w:color w:val="auto"/>
          <w:highlight w:val="none"/>
        </w:rPr>
        <w:t>份，并向承包人进行技术交底。承包人需要更多份数时，应自费复制。由于发包人未按时提供图纸造成工期</w:t>
      </w:r>
      <w:r>
        <w:rPr>
          <w:rFonts w:hint="eastAsia"/>
          <w:color w:val="auto"/>
          <w:spacing w:val="-9"/>
          <w:highlight w:val="none"/>
        </w:rPr>
        <w:t xml:space="preserve">延误的，按第 </w:t>
      </w:r>
      <w:r>
        <w:rPr>
          <w:color w:val="auto"/>
          <w:spacing w:val="-3"/>
          <w:highlight w:val="none"/>
        </w:rPr>
        <w:t xml:space="preserve">11.3 </w:t>
      </w:r>
      <w:r>
        <w:rPr>
          <w:rFonts w:hint="eastAsia"/>
          <w:color w:val="auto"/>
          <w:spacing w:val="-3"/>
          <w:highlight w:val="none"/>
        </w:rPr>
        <w:t>款的约定办理。</w:t>
      </w:r>
    </w:p>
    <w:p>
      <w:pPr>
        <w:pStyle w:val="86"/>
        <w:numPr>
          <w:ilvl w:val="2"/>
          <w:numId w:val="17"/>
        </w:numPr>
        <w:tabs>
          <w:tab w:val="left" w:pos="1495"/>
        </w:tabs>
        <w:spacing w:line="400" w:lineRule="exact"/>
        <w:ind w:left="1494"/>
        <w:rPr>
          <w:color w:val="auto"/>
          <w:sz w:val="24"/>
          <w:szCs w:val="24"/>
          <w:highlight w:val="none"/>
        </w:rPr>
      </w:pPr>
      <w:r>
        <w:rPr>
          <w:rFonts w:hint="eastAsia"/>
          <w:color w:val="auto"/>
          <w:sz w:val="24"/>
          <w:szCs w:val="24"/>
          <w:highlight w:val="none"/>
        </w:rPr>
        <w:t>承包人提供的文件</w:t>
      </w:r>
    </w:p>
    <w:p>
      <w:pPr>
        <w:pStyle w:val="20"/>
        <w:spacing w:line="400" w:lineRule="exact"/>
        <w:ind w:left="815"/>
        <w:rPr>
          <w:color w:val="auto"/>
          <w:highlight w:val="none"/>
        </w:rPr>
      </w:pPr>
      <w:r>
        <w:rPr>
          <w:rFonts w:hint="eastAsia"/>
          <w:color w:val="auto"/>
          <w:highlight w:val="none"/>
        </w:rPr>
        <w:t>本项细化为：</w:t>
      </w:r>
    </w:p>
    <w:p>
      <w:pPr>
        <w:pStyle w:val="20"/>
        <w:spacing w:line="400" w:lineRule="exact"/>
        <w:ind w:left="424" w:right="206" w:firstLine="391"/>
        <w:rPr>
          <w:color w:val="auto"/>
          <w:highlight w:val="none"/>
        </w:rPr>
      </w:pPr>
      <w:r>
        <w:rPr>
          <w:rFonts w:hint="eastAsia"/>
          <w:color w:val="auto"/>
          <w:highlight w:val="none"/>
        </w:rPr>
        <w:t xml:space="preserve">有下列情形之一的，承包人应免费向监理人提交相关部分工程的施工图纸 </w:t>
      </w:r>
      <w:r>
        <w:rPr>
          <w:color w:val="auto"/>
          <w:highlight w:val="none"/>
        </w:rPr>
        <w:t xml:space="preserve">3 </w:t>
      </w:r>
      <w:r>
        <w:rPr>
          <w:rFonts w:hint="eastAsia"/>
          <w:color w:val="auto"/>
          <w:highlight w:val="none"/>
        </w:rPr>
        <w:t xml:space="preserve">份， 并附必要的计算书、技术资料，或施工工艺图、设备安装图及安装设备的使用和维护手册各 </w:t>
      </w:r>
      <w:r>
        <w:rPr>
          <w:color w:val="auto"/>
          <w:highlight w:val="none"/>
        </w:rPr>
        <w:t xml:space="preserve">2 </w:t>
      </w:r>
      <w:r>
        <w:rPr>
          <w:rFonts w:hint="eastAsia"/>
          <w:color w:val="auto"/>
          <w:highlight w:val="none"/>
        </w:rPr>
        <w:t>份供监理人批准。</w:t>
      </w:r>
    </w:p>
    <w:p>
      <w:pPr>
        <w:pStyle w:val="20"/>
        <w:spacing w:line="400" w:lineRule="exact"/>
        <w:ind w:left="815"/>
        <w:rPr>
          <w:color w:val="auto"/>
          <w:highlight w:val="none"/>
        </w:rPr>
      </w:pPr>
      <w:r>
        <w:rPr>
          <w:rFonts w:hint="eastAsia"/>
          <w:color w:val="auto"/>
          <w:highlight w:val="none"/>
        </w:rPr>
        <w:t>（</w:t>
      </w:r>
      <w:r>
        <w:rPr>
          <w:color w:val="auto"/>
          <w:highlight w:val="none"/>
        </w:rPr>
        <w:t>1</w:t>
      </w:r>
      <w:r>
        <w:rPr>
          <w:rFonts w:hint="eastAsia"/>
          <w:color w:val="auto"/>
          <w:highlight w:val="none"/>
        </w:rPr>
        <w:t xml:space="preserve">）为使第 </w:t>
      </w:r>
      <w:r>
        <w:rPr>
          <w:color w:val="auto"/>
          <w:highlight w:val="none"/>
        </w:rPr>
        <w:t xml:space="preserve">1.6.1 </w:t>
      </w:r>
      <w:r>
        <w:rPr>
          <w:rFonts w:hint="eastAsia"/>
          <w:color w:val="auto"/>
          <w:highlight w:val="none"/>
        </w:rPr>
        <w:t>项所述的施工图纸适合于经施工测量后的纵、横断面；</w:t>
      </w:r>
    </w:p>
    <w:p>
      <w:pPr>
        <w:pStyle w:val="20"/>
        <w:spacing w:line="400" w:lineRule="exact"/>
        <w:ind w:left="815"/>
        <w:rPr>
          <w:color w:val="auto"/>
          <w:highlight w:val="none"/>
        </w:rPr>
      </w:pPr>
      <w:r>
        <w:rPr>
          <w:rFonts w:hint="eastAsia"/>
          <w:color w:val="auto"/>
          <w:highlight w:val="none"/>
        </w:rPr>
        <w:t>（</w:t>
      </w:r>
      <w:r>
        <w:rPr>
          <w:color w:val="auto"/>
          <w:highlight w:val="none"/>
        </w:rPr>
        <w:t>2</w:t>
      </w:r>
      <w:r>
        <w:rPr>
          <w:rFonts w:hint="eastAsia"/>
          <w:color w:val="auto"/>
          <w:highlight w:val="none"/>
        </w:rPr>
        <w:t xml:space="preserve">）为使第 </w:t>
      </w:r>
      <w:r>
        <w:rPr>
          <w:color w:val="auto"/>
          <w:highlight w:val="none"/>
        </w:rPr>
        <w:t xml:space="preserve">1.6.1 </w:t>
      </w:r>
      <w:r>
        <w:rPr>
          <w:rFonts w:hint="eastAsia"/>
          <w:color w:val="auto"/>
          <w:highlight w:val="none"/>
        </w:rPr>
        <w:t>项所述的施工图纸适合于现场具体地形；</w:t>
      </w:r>
    </w:p>
    <w:p>
      <w:pPr>
        <w:pStyle w:val="20"/>
        <w:spacing w:line="400" w:lineRule="exact"/>
        <w:ind w:left="815"/>
        <w:rPr>
          <w:color w:val="auto"/>
          <w:highlight w:val="none"/>
        </w:rPr>
      </w:pPr>
      <w:r>
        <w:rPr>
          <w:rFonts w:hint="eastAsia"/>
          <w:color w:val="auto"/>
          <w:highlight w:val="none"/>
        </w:rPr>
        <w:t>（</w:t>
      </w:r>
      <w:r>
        <w:rPr>
          <w:color w:val="auto"/>
          <w:highlight w:val="none"/>
        </w:rPr>
        <w:t>3</w:t>
      </w:r>
      <w:r>
        <w:rPr>
          <w:rFonts w:hint="eastAsia"/>
          <w:color w:val="auto"/>
          <w:highlight w:val="none"/>
        </w:rPr>
        <w:t xml:space="preserve">）为使第 </w:t>
      </w:r>
      <w:r>
        <w:rPr>
          <w:color w:val="auto"/>
          <w:highlight w:val="none"/>
        </w:rPr>
        <w:t xml:space="preserve">1.6.1 </w:t>
      </w:r>
      <w:r>
        <w:rPr>
          <w:rFonts w:hint="eastAsia"/>
          <w:color w:val="auto"/>
          <w:highlight w:val="none"/>
        </w:rPr>
        <w:t>项所述的施工图纸适合于因尺寸与位置变化而引起局部变更；</w:t>
      </w:r>
    </w:p>
    <w:p>
      <w:pPr>
        <w:pStyle w:val="20"/>
        <w:spacing w:line="400" w:lineRule="exact"/>
        <w:ind w:left="815"/>
        <w:rPr>
          <w:color w:val="auto"/>
          <w:highlight w:val="none"/>
        </w:rPr>
      </w:pPr>
      <w:r>
        <w:rPr>
          <w:rFonts w:hint="eastAsia"/>
          <w:color w:val="auto"/>
          <w:highlight w:val="none"/>
        </w:rPr>
        <w:t>（</w:t>
      </w:r>
      <w:r>
        <w:rPr>
          <w:color w:val="auto"/>
          <w:highlight w:val="none"/>
        </w:rPr>
        <w:t>4</w:t>
      </w:r>
      <w:r>
        <w:rPr>
          <w:rFonts w:hint="eastAsia"/>
          <w:color w:val="auto"/>
          <w:highlight w:val="none"/>
        </w:rPr>
        <w:t>）由于合同要求与施工需要。</w:t>
      </w:r>
    </w:p>
    <w:p>
      <w:pPr>
        <w:pStyle w:val="20"/>
        <w:spacing w:line="400" w:lineRule="exact"/>
        <w:ind w:left="424" w:right="385" w:firstLine="391"/>
        <w:rPr>
          <w:color w:val="auto"/>
          <w:highlight w:val="none"/>
        </w:rPr>
      </w:pPr>
      <w:r>
        <w:rPr>
          <w:rFonts w:hint="eastAsia"/>
          <w:color w:val="auto"/>
          <w:spacing w:val="-6"/>
          <w:highlight w:val="none"/>
        </w:rPr>
        <w:t>此类图纸应按监理人规定的格式和图幅绘制。监理人在收到由承包人绘制的上述</w:t>
      </w:r>
      <w:r>
        <w:rPr>
          <w:rFonts w:hint="eastAsia"/>
          <w:color w:val="auto"/>
          <w:spacing w:val="-12"/>
          <w:highlight w:val="none"/>
        </w:rPr>
        <w:t xml:space="preserve">工程、工艺图纸、计算书和有关技术资料后 </w:t>
      </w:r>
      <w:r>
        <w:rPr>
          <w:color w:val="auto"/>
          <w:highlight w:val="none"/>
        </w:rPr>
        <w:t xml:space="preserve">14 </w:t>
      </w:r>
      <w:r>
        <w:rPr>
          <w:rFonts w:hint="eastAsia"/>
          <w:color w:val="auto"/>
          <w:spacing w:val="-3"/>
          <w:highlight w:val="none"/>
        </w:rPr>
        <w:t>天内应予批准或提出修改要求，承包</w:t>
      </w:r>
    </w:p>
    <w:p>
      <w:pPr>
        <w:pStyle w:val="20"/>
        <w:spacing w:line="400" w:lineRule="exact"/>
        <w:ind w:left="424" w:right="334"/>
        <w:rPr>
          <w:color w:val="auto"/>
          <w:highlight w:val="none"/>
        </w:rPr>
      </w:pPr>
      <w:r>
        <w:rPr>
          <w:rFonts w:hint="eastAsia"/>
          <w:color w:val="auto"/>
          <w:highlight w:val="none"/>
        </w:rPr>
        <w:t xml:space="preserve">人应按监理人提出的要求作出修改，重新向监理人提交，监理人应在 </w:t>
      </w:r>
      <w:r>
        <w:rPr>
          <w:color w:val="auto"/>
          <w:highlight w:val="none"/>
        </w:rPr>
        <w:t xml:space="preserve">7 </w:t>
      </w:r>
      <w:r>
        <w:rPr>
          <w:rFonts w:hint="eastAsia"/>
          <w:color w:val="auto"/>
          <w:highlight w:val="none"/>
        </w:rPr>
        <w:t>天内批准或提出进一步的修改意见。</w:t>
      </w:r>
    </w:p>
    <w:p>
      <w:pPr>
        <w:pStyle w:val="20"/>
        <w:spacing w:line="400" w:lineRule="exact"/>
        <w:ind w:left="894"/>
        <w:rPr>
          <w:color w:val="auto"/>
          <w:highlight w:val="none"/>
        </w:rPr>
      </w:pPr>
      <w:r>
        <w:rPr>
          <w:color w:val="auto"/>
          <w:highlight w:val="none"/>
        </w:rPr>
        <w:t xml:space="preserve">1.6.4 </w:t>
      </w:r>
      <w:r>
        <w:rPr>
          <w:rFonts w:hint="eastAsia"/>
          <w:color w:val="auto"/>
          <w:highlight w:val="none"/>
        </w:rPr>
        <w:t>图纸的错误</w:t>
      </w:r>
    </w:p>
    <w:p>
      <w:pPr>
        <w:pStyle w:val="20"/>
        <w:spacing w:line="400" w:lineRule="exact"/>
        <w:ind w:left="815"/>
        <w:rPr>
          <w:color w:val="auto"/>
          <w:highlight w:val="none"/>
        </w:rPr>
      </w:pPr>
      <w:r>
        <w:rPr>
          <w:rFonts w:hint="eastAsia"/>
          <w:color w:val="auto"/>
          <w:highlight w:val="none"/>
        </w:rPr>
        <w:t>本项细化为：</w:t>
      </w:r>
    </w:p>
    <w:p>
      <w:pPr>
        <w:pStyle w:val="20"/>
        <w:spacing w:line="400" w:lineRule="exact"/>
        <w:ind w:left="424" w:right="385" w:firstLine="391"/>
        <w:rPr>
          <w:color w:val="auto"/>
          <w:highlight w:val="none"/>
        </w:rPr>
      </w:pPr>
      <w:r>
        <w:rPr>
          <w:rFonts w:hint="eastAsia"/>
          <w:color w:val="auto"/>
          <w:spacing w:val="-5"/>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pPr>
        <w:pStyle w:val="20"/>
        <w:spacing w:line="400" w:lineRule="exact"/>
        <w:rPr>
          <w:color w:val="auto"/>
          <w:highlight w:val="none"/>
        </w:rPr>
      </w:pPr>
    </w:p>
    <w:p>
      <w:pPr>
        <w:pStyle w:val="20"/>
        <w:spacing w:line="400" w:lineRule="exact"/>
        <w:ind w:left="424"/>
        <w:rPr>
          <w:rFonts w:ascii="黑体" w:hAnsi="黑体" w:eastAsia="黑体" w:cs="黑体"/>
          <w:color w:val="auto"/>
          <w:highlight w:val="none"/>
        </w:rPr>
      </w:pPr>
      <w:bookmarkStart w:id="1781" w:name="_bookmark164"/>
      <w:bookmarkEnd w:id="1781"/>
      <w:bookmarkStart w:id="1782" w:name="_Toc20090"/>
      <w:bookmarkStart w:id="1783" w:name="_Toc26600"/>
      <w:bookmarkStart w:id="1784" w:name="_Toc18609"/>
      <w:bookmarkStart w:id="1785" w:name="_Toc25606"/>
      <w:bookmarkStart w:id="1786" w:name="_Toc26108"/>
      <w:bookmarkStart w:id="1787" w:name="_Toc4767"/>
      <w:bookmarkStart w:id="1788" w:name="_Toc4316"/>
      <w:bookmarkStart w:id="1789" w:name="_Toc14835"/>
      <w:bookmarkStart w:id="1790" w:name="_Toc4910"/>
      <w:r>
        <w:rPr>
          <w:rFonts w:hint="eastAsia" w:ascii="黑体" w:hAnsi="黑体" w:eastAsia="黑体" w:cs="黑体"/>
          <w:color w:val="auto"/>
          <w:highlight w:val="none"/>
        </w:rPr>
        <w:t>1.9严禁贿赂</w:t>
      </w:r>
      <w:bookmarkEnd w:id="1782"/>
      <w:bookmarkEnd w:id="1783"/>
      <w:bookmarkEnd w:id="1784"/>
      <w:bookmarkEnd w:id="1785"/>
      <w:bookmarkEnd w:id="1786"/>
      <w:bookmarkEnd w:id="1787"/>
      <w:bookmarkEnd w:id="1788"/>
      <w:bookmarkEnd w:id="1789"/>
      <w:bookmarkEnd w:id="1790"/>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本款补充：</w:t>
      </w:r>
    </w:p>
    <w:p>
      <w:pPr>
        <w:pStyle w:val="20"/>
        <w:spacing w:line="400" w:lineRule="exact"/>
        <w:ind w:left="424" w:right="385" w:firstLine="391"/>
        <w:rPr>
          <w:color w:val="auto"/>
          <w:highlight w:val="none"/>
        </w:rPr>
      </w:pPr>
      <w:r>
        <w:rPr>
          <w:rFonts w:hint="eastAsia"/>
          <w:color w:val="auto"/>
          <w:spacing w:val="-9"/>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pPr>
        <w:pStyle w:val="20"/>
        <w:spacing w:line="400" w:lineRule="exact"/>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1791" w:name="_bookmark165"/>
      <w:bookmarkEnd w:id="1791"/>
      <w:bookmarkStart w:id="1792" w:name="_Toc32625"/>
      <w:bookmarkStart w:id="1793" w:name="_Toc17381"/>
      <w:bookmarkStart w:id="1794" w:name="_Toc19830"/>
      <w:bookmarkStart w:id="1795" w:name="_Toc21947"/>
      <w:bookmarkStart w:id="1796" w:name="_Toc10319"/>
      <w:bookmarkStart w:id="1797" w:name="_Toc31087"/>
      <w:bookmarkStart w:id="1798" w:name="_Toc17329"/>
      <w:bookmarkStart w:id="1799" w:name="_Toc19182"/>
      <w:bookmarkStart w:id="1800" w:name="_Toc28623"/>
      <w:bookmarkStart w:id="1801" w:name="_Toc22678"/>
      <w:bookmarkStart w:id="1802" w:name="_Toc20344"/>
      <w:bookmarkStart w:id="1803" w:name="_Toc56"/>
      <w:bookmarkStart w:id="1804" w:name="_Toc23325"/>
      <w:bookmarkStart w:id="1805" w:name="_Toc2322"/>
      <w:bookmarkStart w:id="1806" w:name="_Toc28478"/>
      <w:bookmarkStart w:id="1807" w:name="_Toc2834"/>
      <w:bookmarkStart w:id="1808" w:name="_Toc12779"/>
      <w:r>
        <w:rPr>
          <w:rFonts w:hint="eastAsia" w:ascii="黑体" w:hAnsi="黑体" w:eastAsia="黑体" w:cs="黑体"/>
          <w:color w:val="auto"/>
          <w:spacing w:val="-1"/>
          <w:sz w:val="24"/>
          <w:szCs w:val="24"/>
          <w:highlight w:val="none"/>
        </w:rPr>
        <w:t>发包人义务</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pPr>
        <w:pStyle w:val="20"/>
        <w:spacing w:line="400" w:lineRule="exact"/>
        <w:rPr>
          <w:rFonts w:ascii="黑体" w:hAnsi="黑体" w:eastAsia="黑体" w:cs="黑体"/>
          <w:color w:val="auto"/>
          <w:highlight w:val="none"/>
        </w:rPr>
      </w:pPr>
    </w:p>
    <w:p>
      <w:pPr>
        <w:pStyle w:val="20"/>
        <w:spacing w:line="400" w:lineRule="exact"/>
        <w:ind w:left="424"/>
        <w:rPr>
          <w:rFonts w:ascii="黑体" w:hAnsi="黑体" w:eastAsia="黑体" w:cs="黑体"/>
          <w:color w:val="auto"/>
          <w:highlight w:val="none"/>
        </w:rPr>
      </w:pPr>
      <w:bookmarkStart w:id="1809" w:name="_bookmark166"/>
      <w:bookmarkEnd w:id="1809"/>
      <w:bookmarkStart w:id="1810" w:name="_Toc30442"/>
      <w:bookmarkStart w:id="1811" w:name="_Toc2039"/>
      <w:bookmarkStart w:id="1812" w:name="_Toc3214"/>
      <w:bookmarkStart w:id="1813" w:name="_Toc2789"/>
      <w:bookmarkStart w:id="1814" w:name="_Toc24201"/>
      <w:bookmarkStart w:id="1815" w:name="_Toc4118"/>
      <w:bookmarkStart w:id="1816" w:name="_Toc19343"/>
      <w:bookmarkStart w:id="1817" w:name="_Toc32207"/>
      <w:bookmarkStart w:id="1818" w:name="_Toc7265"/>
      <w:r>
        <w:rPr>
          <w:rFonts w:hint="eastAsia" w:ascii="黑体" w:hAnsi="黑体" w:eastAsia="黑体" w:cs="黑体"/>
          <w:color w:val="auto"/>
          <w:highlight w:val="none"/>
        </w:rPr>
        <w:t>2.3提供施工场地</w:t>
      </w:r>
      <w:bookmarkEnd w:id="1810"/>
      <w:bookmarkEnd w:id="1811"/>
      <w:bookmarkEnd w:id="1812"/>
      <w:bookmarkEnd w:id="1813"/>
      <w:bookmarkEnd w:id="1814"/>
      <w:bookmarkEnd w:id="1815"/>
      <w:bookmarkEnd w:id="1816"/>
      <w:bookmarkEnd w:id="1817"/>
      <w:bookmarkEnd w:id="1818"/>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本款补充：</w:t>
      </w:r>
    </w:p>
    <w:p>
      <w:pPr>
        <w:pStyle w:val="20"/>
        <w:spacing w:line="400" w:lineRule="exact"/>
        <w:ind w:left="424" w:right="382" w:firstLine="391"/>
        <w:rPr>
          <w:color w:val="auto"/>
          <w:highlight w:val="none"/>
        </w:rPr>
      </w:pPr>
      <w:r>
        <w:rPr>
          <w:rFonts w:hint="eastAsia"/>
          <w:color w:val="auto"/>
          <w:spacing w:val="-4"/>
          <w:highlight w:val="none"/>
        </w:rPr>
        <w:t>发包人负责办理永久占地的征用及与之有关的拆迁赔偿手续并承担相关费用。承</w:t>
      </w:r>
      <w:r>
        <w:rPr>
          <w:rFonts w:hint="eastAsia"/>
          <w:color w:val="auto"/>
          <w:spacing w:val="-14"/>
          <w:highlight w:val="none"/>
        </w:rPr>
        <w:t xml:space="preserve">包人在按第 </w:t>
      </w:r>
      <w:r>
        <w:rPr>
          <w:color w:val="auto"/>
          <w:highlight w:val="none"/>
        </w:rPr>
        <w:t xml:space="preserve">10 </w:t>
      </w:r>
      <w:r>
        <w:rPr>
          <w:rFonts w:hint="eastAsia"/>
          <w:color w:val="auto"/>
          <w:spacing w:val="-6"/>
          <w:highlight w:val="none"/>
        </w:rPr>
        <w:t>条规定提交施工进度计划的同时，应向监理人提交一份按施工先后次</w:t>
      </w:r>
    </w:p>
    <w:p>
      <w:pPr>
        <w:pStyle w:val="20"/>
        <w:spacing w:line="400" w:lineRule="exact"/>
        <w:ind w:left="424" w:right="387"/>
        <w:rPr>
          <w:color w:val="auto"/>
          <w:highlight w:val="none"/>
        </w:rPr>
      </w:pPr>
      <w:r>
        <w:rPr>
          <w:rFonts w:hint="eastAsia"/>
          <w:color w:val="auto"/>
          <w:highlight w:val="none"/>
        </w:rPr>
        <w:t xml:space="preserve">序所需的永久占地计划。监理人应在收到此计划后的 </w:t>
      </w:r>
      <w:r>
        <w:rPr>
          <w:color w:val="auto"/>
          <w:highlight w:val="none"/>
        </w:rPr>
        <w:t xml:space="preserve">14 </w:t>
      </w:r>
      <w:r>
        <w:rPr>
          <w:rFonts w:hint="eastAsia"/>
          <w:color w:val="auto"/>
          <w:highlight w:val="none"/>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pPr>
        <w:pStyle w:val="20"/>
        <w:spacing w:line="400" w:lineRule="exact"/>
        <w:ind w:left="424" w:right="382" w:firstLine="391"/>
        <w:rPr>
          <w:color w:val="auto"/>
          <w:highlight w:val="none"/>
        </w:rPr>
      </w:pPr>
      <w:r>
        <w:rPr>
          <w:rFonts w:hint="eastAsia"/>
          <w:color w:val="auto"/>
          <w:spacing w:val="-5"/>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spacing w:line="400" w:lineRule="exact"/>
        <w:rPr>
          <w:color w:val="auto"/>
          <w:sz w:val="24"/>
          <w:szCs w:val="24"/>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1819" w:name="_bookmark167"/>
      <w:bookmarkEnd w:id="1819"/>
      <w:bookmarkStart w:id="1820" w:name="_Toc32597"/>
      <w:bookmarkStart w:id="1821" w:name="_Toc29061"/>
      <w:bookmarkStart w:id="1822" w:name="_Toc4086"/>
      <w:bookmarkStart w:id="1823" w:name="_Toc9633"/>
      <w:bookmarkStart w:id="1824" w:name="_Toc19174"/>
      <w:bookmarkStart w:id="1825" w:name="_Toc4819"/>
      <w:bookmarkStart w:id="1826" w:name="_Toc18766"/>
      <w:bookmarkStart w:id="1827" w:name="_Toc9870"/>
      <w:bookmarkStart w:id="1828" w:name="_Toc12409"/>
      <w:bookmarkStart w:id="1829" w:name="_Toc16247"/>
      <w:bookmarkStart w:id="1830" w:name="_Toc26933"/>
      <w:bookmarkStart w:id="1831" w:name="_Toc26502"/>
      <w:bookmarkStart w:id="1832" w:name="_Toc9461"/>
      <w:bookmarkStart w:id="1833" w:name="_Toc24113"/>
      <w:bookmarkStart w:id="1834" w:name="_Toc459"/>
      <w:bookmarkStart w:id="1835" w:name="_Toc28887"/>
      <w:bookmarkStart w:id="1836" w:name="_Toc17119"/>
      <w:r>
        <w:rPr>
          <w:rFonts w:hint="eastAsia" w:ascii="黑体" w:hAnsi="黑体" w:eastAsia="黑体" w:cs="黑体"/>
          <w:color w:val="auto"/>
          <w:sz w:val="24"/>
          <w:szCs w:val="24"/>
          <w:highlight w:val="none"/>
        </w:rPr>
        <w:t>监理人</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pPr>
        <w:pStyle w:val="20"/>
        <w:spacing w:line="400" w:lineRule="exact"/>
        <w:rPr>
          <w:rFonts w:ascii="黑体" w:hAnsi="黑体" w:eastAsia="黑体" w:cs="黑体"/>
          <w:color w:val="auto"/>
          <w:highlight w:val="none"/>
        </w:rPr>
      </w:pPr>
    </w:p>
    <w:p>
      <w:pPr>
        <w:pStyle w:val="86"/>
        <w:numPr>
          <w:ilvl w:val="1"/>
          <w:numId w:val="15"/>
        </w:numPr>
        <w:tabs>
          <w:tab w:val="left" w:pos="845"/>
        </w:tabs>
        <w:spacing w:line="400" w:lineRule="exact"/>
        <w:rPr>
          <w:color w:val="auto"/>
          <w:sz w:val="24"/>
          <w:szCs w:val="24"/>
          <w:highlight w:val="none"/>
        </w:rPr>
      </w:pPr>
      <w:bookmarkStart w:id="1837" w:name="_bookmark168"/>
      <w:bookmarkEnd w:id="1837"/>
      <w:bookmarkStart w:id="1838" w:name="_Toc29586"/>
      <w:bookmarkStart w:id="1839" w:name="_Toc1049"/>
      <w:bookmarkStart w:id="1840" w:name="_Toc10544"/>
      <w:bookmarkStart w:id="1841" w:name="_Toc25200"/>
      <w:bookmarkStart w:id="1842" w:name="_Toc19780"/>
      <w:bookmarkStart w:id="1843" w:name="_Toc23310"/>
      <w:bookmarkStart w:id="1844" w:name="_Toc17963"/>
      <w:bookmarkStart w:id="1845" w:name="_Toc1428"/>
      <w:bookmarkStart w:id="1846" w:name="_Toc31983"/>
      <w:r>
        <w:rPr>
          <w:rFonts w:hint="eastAsia" w:ascii="黑体" w:hAnsi="黑体" w:eastAsia="黑体" w:cs="黑体"/>
          <w:color w:val="auto"/>
          <w:sz w:val="24"/>
          <w:szCs w:val="24"/>
          <w:highlight w:val="none"/>
        </w:rPr>
        <w:t>监理人的职责和权力</w:t>
      </w:r>
      <w:bookmarkEnd w:id="1838"/>
      <w:bookmarkEnd w:id="1839"/>
      <w:bookmarkEnd w:id="1840"/>
      <w:bookmarkEnd w:id="1841"/>
      <w:bookmarkEnd w:id="1842"/>
      <w:bookmarkEnd w:id="1843"/>
      <w:bookmarkEnd w:id="1844"/>
      <w:bookmarkEnd w:id="1845"/>
      <w:bookmarkEnd w:id="1846"/>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3.1.1 </w:t>
      </w:r>
      <w:r>
        <w:rPr>
          <w:rFonts w:hint="eastAsia"/>
          <w:color w:val="auto"/>
          <w:highlight w:val="none"/>
        </w:rPr>
        <w:t>项补充：</w:t>
      </w:r>
    </w:p>
    <w:p>
      <w:pPr>
        <w:pStyle w:val="20"/>
        <w:spacing w:line="400" w:lineRule="exact"/>
        <w:ind w:left="904"/>
        <w:rPr>
          <w:color w:val="auto"/>
          <w:highlight w:val="none"/>
        </w:rPr>
      </w:pPr>
      <w:r>
        <w:rPr>
          <w:rFonts w:hint="eastAsia"/>
          <w:color w:val="auto"/>
          <w:highlight w:val="none"/>
        </w:rPr>
        <w:t>监理人在行使下列权力前需要经发包人事先批准：</w:t>
      </w:r>
    </w:p>
    <w:p>
      <w:pPr>
        <w:pStyle w:val="20"/>
        <w:spacing w:line="400" w:lineRule="exact"/>
        <w:ind w:left="424" w:right="304" w:firstLine="479"/>
        <w:rPr>
          <w:color w:val="auto"/>
          <w:highlight w:val="none"/>
        </w:rPr>
      </w:pPr>
      <w:r>
        <w:rPr>
          <w:rFonts w:hint="eastAsia"/>
          <w:color w:val="auto"/>
          <w:highlight w:val="none"/>
        </w:rPr>
        <w:t>（</w:t>
      </w:r>
      <w:r>
        <w:rPr>
          <w:color w:val="auto"/>
          <w:highlight w:val="none"/>
        </w:rPr>
        <w:t>1</w:t>
      </w:r>
      <w:r>
        <w:rPr>
          <w:rFonts w:hint="eastAsia"/>
          <w:color w:val="auto"/>
          <w:highlight w:val="none"/>
        </w:rPr>
        <w:t xml:space="preserve">）根据第 </w:t>
      </w:r>
      <w:r>
        <w:rPr>
          <w:color w:val="auto"/>
          <w:highlight w:val="none"/>
        </w:rPr>
        <w:t xml:space="preserve">4.3 </w:t>
      </w:r>
      <w:r>
        <w:rPr>
          <w:rFonts w:hint="eastAsia"/>
          <w:color w:val="auto"/>
          <w:highlight w:val="none"/>
        </w:rPr>
        <w:t>款，同意分包本工程的某些非关键性工作或者适合专业化队伍施工的专项工程；</w:t>
      </w:r>
    </w:p>
    <w:p>
      <w:pPr>
        <w:pStyle w:val="20"/>
        <w:spacing w:line="400" w:lineRule="exact"/>
        <w:ind w:left="904"/>
        <w:rPr>
          <w:color w:val="auto"/>
          <w:highlight w:val="none"/>
        </w:rPr>
      </w:pPr>
      <w:r>
        <w:rPr>
          <w:rFonts w:hint="eastAsia"/>
          <w:color w:val="auto"/>
          <w:highlight w:val="none"/>
        </w:rPr>
        <w:t>（</w:t>
      </w:r>
      <w:r>
        <w:rPr>
          <w:color w:val="auto"/>
          <w:highlight w:val="none"/>
        </w:rPr>
        <w:t>2</w:t>
      </w:r>
      <w:r>
        <w:rPr>
          <w:rFonts w:hint="eastAsia"/>
          <w:color w:val="auto"/>
          <w:highlight w:val="none"/>
        </w:rPr>
        <w:t xml:space="preserve">）确定第 </w:t>
      </w:r>
      <w:r>
        <w:rPr>
          <w:color w:val="auto"/>
          <w:highlight w:val="none"/>
        </w:rPr>
        <w:t xml:space="preserve">4.11 </w:t>
      </w:r>
      <w:r>
        <w:rPr>
          <w:rFonts w:hint="eastAsia"/>
          <w:color w:val="auto"/>
          <w:highlight w:val="none"/>
        </w:rPr>
        <w:t>款下产生的费用增加额；</w:t>
      </w:r>
    </w:p>
    <w:p>
      <w:pPr>
        <w:pStyle w:val="20"/>
        <w:spacing w:line="400" w:lineRule="exact"/>
        <w:ind w:left="424" w:right="385" w:firstLine="479"/>
        <w:rPr>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color w:val="auto"/>
          <w:spacing w:val="-16"/>
          <w:highlight w:val="none"/>
        </w:rPr>
        <w:t xml:space="preserve">根据第 </w:t>
      </w:r>
      <w:r>
        <w:rPr>
          <w:color w:val="auto"/>
          <w:spacing w:val="-3"/>
          <w:highlight w:val="none"/>
        </w:rPr>
        <w:t xml:space="preserve">11.1 </w:t>
      </w:r>
      <w:r>
        <w:rPr>
          <w:rFonts w:hint="eastAsia"/>
          <w:color w:val="auto"/>
          <w:spacing w:val="-17"/>
          <w:highlight w:val="none"/>
        </w:rPr>
        <w:t xml:space="preserve">款、第 </w:t>
      </w:r>
      <w:r>
        <w:rPr>
          <w:color w:val="auto"/>
          <w:highlight w:val="none"/>
        </w:rPr>
        <w:t xml:space="preserve">12.3 </w:t>
      </w:r>
      <w:r>
        <w:rPr>
          <w:rFonts w:hint="eastAsia"/>
          <w:color w:val="auto"/>
          <w:spacing w:val="-17"/>
          <w:highlight w:val="none"/>
        </w:rPr>
        <w:t xml:space="preserve">款、第 </w:t>
      </w:r>
      <w:r>
        <w:rPr>
          <w:color w:val="auto"/>
          <w:highlight w:val="none"/>
        </w:rPr>
        <w:t xml:space="preserve">12.4 </w:t>
      </w:r>
      <w:r>
        <w:rPr>
          <w:rFonts w:hint="eastAsia"/>
          <w:color w:val="auto"/>
          <w:spacing w:val="-1"/>
          <w:highlight w:val="none"/>
        </w:rPr>
        <w:t>款发布开工通知、暂停施工指示或复工通知；</w:t>
      </w:r>
    </w:p>
    <w:p>
      <w:pPr>
        <w:pStyle w:val="20"/>
        <w:spacing w:line="400" w:lineRule="exact"/>
        <w:ind w:left="904"/>
        <w:rPr>
          <w:color w:val="auto"/>
          <w:highlight w:val="none"/>
        </w:rPr>
      </w:pPr>
      <w:r>
        <w:rPr>
          <w:rFonts w:hint="eastAsia"/>
          <w:color w:val="auto"/>
          <w:highlight w:val="none"/>
        </w:rPr>
        <w:t>（</w:t>
      </w:r>
      <w:r>
        <w:rPr>
          <w:color w:val="auto"/>
          <w:highlight w:val="none"/>
        </w:rPr>
        <w:t>4</w:t>
      </w:r>
      <w:r>
        <w:rPr>
          <w:rFonts w:hint="eastAsia"/>
          <w:color w:val="auto"/>
          <w:highlight w:val="none"/>
        </w:rPr>
        <w:t xml:space="preserve">）决定第 </w:t>
      </w:r>
      <w:r>
        <w:rPr>
          <w:color w:val="auto"/>
          <w:highlight w:val="none"/>
        </w:rPr>
        <w:t xml:space="preserve">11.3 </w:t>
      </w:r>
      <w:r>
        <w:rPr>
          <w:rFonts w:hint="eastAsia"/>
          <w:color w:val="auto"/>
          <w:highlight w:val="none"/>
        </w:rPr>
        <w:t xml:space="preserve">款、第 </w:t>
      </w:r>
      <w:r>
        <w:rPr>
          <w:color w:val="auto"/>
          <w:highlight w:val="none"/>
        </w:rPr>
        <w:t xml:space="preserve">11.4 </w:t>
      </w:r>
      <w:r>
        <w:rPr>
          <w:rFonts w:hint="eastAsia"/>
          <w:color w:val="auto"/>
          <w:highlight w:val="none"/>
        </w:rPr>
        <w:t>款下的工期延长；</w:t>
      </w:r>
    </w:p>
    <w:p>
      <w:pPr>
        <w:pStyle w:val="20"/>
        <w:spacing w:line="400" w:lineRule="exact"/>
        <w:ind w:left="904"/>
        <w:rPr>
          <w:color w:val="auto"/>
          <w:highlight w:val="none"/>
        </w:rPr>
      </w:pPr>
      <w:r>
        <w:rPr>
          <w:rFonts w:hint="eastAsia"/>
          <w:color w:val="auto"/>
          <w:highlight w:val="none"/>
        </w:rPr>
        <w:t>（</w:t>
      </w:r>
      <w:r>
        <w:rPr>
          <w:color w:val="auto"/>
          <w:highlight w:val="none"/>
        </w:rPr>
        <w:t>5</w:t>
      </w:r>
      <w:r>
        <w:rPr>
          <w:rFonts w:hint="eastAsia"/>
          <w:color w:val="auto"/>
          <w:highlight w:val="none"/>
        </w:rPr>
        <w:t>）审查批准技术方案或设计的变更；</w:t>
      </w:r>
    </w:p>
    <w:p>
      <w:pPr>
        <w:pStyle w:val="20"/>
        <w:spacing w:line="400" w:lineRule="exact"/>
        <w:ind w:left="424" w:right="382" w:firstLine="479"/>
        <w:rPr>
          <w:color w:val="auto"/>
          <w:highlight w:val="none"/>
        </w:rPr>
      </w:pPr>
      <w:r>
        <w:rPr>
          <w:rFonts w:hint="eastAsia"/>
          <w:color w:val="auto"/>
          <w:highlight w:val="none"/>
        </w:rPr>
        <w:t>（</w:t>
      </w:r>
      <w:r>
        <w:rPr>
          <w:color w:val="auto"/>
          <w:highlight w:val="none"/>
        </w:rPr>
        <w:t>6</w:t>
      </w:r>
      <w:r>
        <w:rPr>
          <w:rFonts w:hint="eastAsia"/>
          <w:color w:val="auto"/>
          <w:highlight w:val="none"/>
        </w:rPr>
        <w:t xml:space="preserve">）根据第 </w:t>
      </w:r>
      <w:r>
        <w:rPr>
          <w:color w:val="auto"/>
          <w:highlight w:val="none"/>
        </w:rPr>
        <w:t xml:space="preserve">15.3 </w:t>
      </w:r>
      <w:r>
        <w:rPr>
          <w:rFonts w:hint="eastAsia"/>
          <w:color w:val="auto"/>
          <w:highlight w:val="none"/>
        </w:rPr>
        <w:t>款发出的变更指示，其单项工程变更或累计变更涉及的金额超过了项目专用合同条款数据表中规定的金额；</w:t>
      </w:r>
    </w:p>
    <w:p>
      <w:pPr>
        <w:pStyle w:val="20"/>
        <w:spacing w:line="400" w:lineRule="exact"/>
        <w:ind w:left="904"/>
        <w:rPr>
          <w:color w:val="auto"/>
          <w:highlight w:val="none"/>
        </w:rPr>
      </w:pPr>
      <w:r>
        <w:rPr>
          <w:rFonts w:hint="eastAsia"/>
          <w:color w:val="auto"/>
          <w:highlight w:val="none"/>
        </w:rPr>
        <w:t>（</w:t>
      </w:r>
      <w:r>
        <w:rPr>
          <w:color w:val="auto"/>
          <w:highlight w:val="none"/>
        </w:rPr>
        <w:t>7</w:t>
      </w:r>
      <w:r>
        <w:rPr>
          <w:rFonts w:hint="eastAsia"/>
          <w:color w:val="auto"/>
          <w:highlight w:val="none"/>
        </w:rPr>
        <w:t xml:space="preserve">）确定第 </w:t>
      </w:r>
      <w:r>
        <w:rPr>
          <w:color w:val="auto"/>
          <w:highlight w:val="none"/>
        </w:rPr>
        <w:t xml:space="preserve">15.4 </w:t>
      </w:r>
      <w:r>
        <w:rPr>
          <w:rFonts w:hint="eastAsia"/>
          <w:color w:val="auto"/>
          <w:highlight w:val="none"/>
        </w:rPr>
        <w:t>款下变更工作的单价；</w:t>
      </w:r>
    </w:p>
    <w:p>
      <w:pPr>
        <w:pStyle w:val="20"/>
        <w:spacing w:line="400" w:lineRule="exact"/>
        <w:ind w:left="904"/>
        <w:rPr>
          <w:color w:val="auto"/>
          <w:highlight w:val="none"/>
        </w:rPr>
      </w:pPr>
      <w:r>
        <w:rPr>
          <w:rFonts w:hint="eastAsia"/>
          <w:color w:val="auto"/>
          <w:highlight w:val="none"/>
        </w:rPr>
        <w:t>（</w:t>
      </w:r>
      <w:r>
        <w:rPr>
          <w:color w:val="auto"/>
          <w:highlight w:val="none"/>
        </w:rPr>
        <w:t>8</w:t>
      </w:r>
      <w:r>
        <w:rPr>
          <w:rFonts w:hint="eastAsia"/>
          <w:color w:val="auto"/>
          <w:highlight w:val="none"/>
        </w:rPr>
        <w:t xml:space="preserve">）按照第 </w:t>
      </w:r>
      <w:r>
        <w:rPr>
          <w:color w:val="auto"/>
          <w:highlight w:val="none"/>
        </w:rPr>
        <w:t xml:space="preserve">15.6 </w:t>
      </w:r>
      <w:r>
        <w:rPr>
          <w:rFonts w:hint="eastAsia"/>
          <w:color w:val="auto"/>
          <w:highlight w:val="none"/>
        </w:rPr>
        <w:t>款决定有关暂列金额的使用；</w:t>
      </w:r>
    </w:p>
    <w:p>
      <w:pPr>
        <w:pStyle w:val="20"/>
        <w:spacing w:line="400" w:lineRule="exact"/>
        <w:ind w:left="904"/>
        <w:rPr>
          <w:color w:val="auto"/>
          <w:highlight w:val="none"/>
        </w:rPr>
      </w:pPr>
      <w:r>
        <w:rPr>
          <w:rFonts w:hint="eastAsia"/>
          <w:color w:val="auto"/>
          <w:highlight w:val="none"/>
        </w:rPr>
        <w:t>（</w:t>
      </w:r>
      <w:r>
        <w:rPr>
          <w:color w:val="auto"/>
          <w:highlight w:val="none"/>
        </w:rPr>
        <w:t>9</w:t>
      </w:r>
      <w:r>
        <w:rPr>
          <w:rFonts w:hint="eastAsia"/>
          <w:color w:val="auto"/>
          <w:highlight w:val="none"/>
        </w:rPr>
        <w:t xml:space="preserve">）确定第 </w:t>
      </w:r>
      <w:r>
        <w:rPr>
          <w:color w:val="auto"/>
          <w:highlight w:val="none"/>
        </w:rPr>
        <w:t xml:space="preserve">15.8 </w:t>
      </w:r>
      <w:r>
        <w:rPr>
          <w:rFonts w:hint="eastAsia"/>
          <w:color w:val="auto"/>
          <w:highlight w:val="none"/>
        </w:rPr>
        <w:t>款下的暂估价金额；</w:t>
      </w:r>
    </w:p>
    <w:p>
      <w:pPr>
        <w:pStyle w:val="20"/>
        <w:spacing w:line="400" w:lineRule="exact"/>
        <w:ind w:left="904"/>
        <w:rPr>
          <w:color w:val="auto"/>
          <w:highlight w:val="none"/>
        </w:rPr>
      </w:pPr>
      <w:r>
        <w:rPr>
          <w:rFonts w:hint="eastAsia"/>
          <w:color w:val="auto"/>
          <w:highlight w:val="none"/>
        </w:rPr>
        <w:t>（</w:t>
      </w:r>
      <w:r>
        <w:rPr>
          <w:color w:val="auto"/>
          <w:highlight w:val="none"/>
        </w:rPr>
        <w:t>10</w:t>
      </w:r>
      <w:r>
        <w:rPr>
          <w:rFonts w:hint="eastAsia"/>
          <w:color w:val="auto"/>
          <w:highlight w:val="none"/>
        </w:rPr>
        <w:t xml:space="preserve">）确定第 </w:t>
      </w:r>
      <w:r>
        <w:rPr>
          <w:color w:val="auto"/>
          <w:highlight w:val="none"/>
        </w:rPr>
        <w:t xml:space="preserve">23.1 </w:t>
      </w:r>
      <w:r>
        <w:rPr>
          <w:rFonts w:hint="eastAsia"/>
          <w:color w:val="auto"/>
          <w:highlight w:val="none"/>
        </w:rPr>
        <w:t>款下的索赔额。</w:t>
      </w:r>
    </w:p>
    <w:p>
      <w:pPr>
        <w:pStyle w:val="20"/>
        <w:spacing w:line="400" w:lineRule="exact"/>
        <w:ind w:left="424" w:right="382" w:firstLine="479"/>
        <w:rPr>
          <w:color w:val="auto"/>
          <w:highlight w:val="none"/>
        </w:rPr>
      </w:pPr>
      <w:r>
        <w:rPr>
          <w:rFonts w:hint="eastAsia"/>
          <w:color w:val="auto"/>
          <w:highlight w:val="none"/>
        </w:rPr>
        <w:t xml:space="preserve">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w:t>
      </w:r>
      <w:r>
        <w:rPr>
          <w:color w:val="auto"/>
          <w:highlight w:val="none"/>
        </w:rPr>
        <w:t xml:space="preserve">3.5 </w:t>
      </w:r>
      <w:r>
        <w:rPr>
          <w:rFonts w:hint="eastAsia"/>
          <w:color w:val="auto"/>
          <w:highlight w:val="none"/>
        </w:rPr>
        <w:t>款商定或确定。</w:t>
      </w:r>
    </w:p>
    <w:p>
      <w:pPr>
        <w:pStyle w:val="20"/>
        <w:spacing w:line="400" w:lineRule="exact"/>
        <w:ind w:left="424"/>
        <w:rPr>
          <w:color w:val="auto"/>
          <w:highlight w:val="none"/>
        </w:rPr>
      </w:pPr>
      <w:bookmarkStart w:id="1847" w:name="_bookmark169"/>
      <w:bookmarkEnd w:id="1847"/>
      <w:bookmarkStart w:id="1848" w:name="_Toc26217"/>
      <w:bookmarkStart w:id="1849" w:name="_Toc15238"/>
      <w:bookmarkStart w:id="1850" w:name="_Toc6890"/>
      <w:bookmarkStart w:id="1851" w:name="_Toc30660"/>
      <w:bookmarkStart w:id="1852" w:name="_Toc31204"/>
      <w:bookmarkStart w:id="1853" w:name="_Toc5684"/>
      <w:bookmarkStart w:id="1854" w:name="_Toc1070"/>
      <w:bookmarkStart w:id="1855" w:name="_Toc3771"/>
      <w:bookmarkStart w:id="1856" w:name="_Toc7626"/>
      <w:r>
        <w:rPr>
          <w:rFonts w:hint="eastAsia" w:ascii="黑体" w:hAnsi="黑体" w:eastAsia="黑体" w:cs="黑体"/>
          <w:color w:val="auto"/>
          <w:highlight w:val="none"/>
        </w:rPr>
        <w:t>3.5商定或确定</w:t>
      </w:r>
      <w:bookmarkEnd w:id="1848"/>
      <w:bookmarkEnd w:id="1849"/>
      <w:bookmarkEnd w:id="1850"/>
      <w:bookmarkEnd w:id="1851"/>
      <w:bookmarkEnd w:id="1852"/>
      <w:bookmarkEnd w:id="1853"/>
      <w:bookmarkEnd w:id="1854"/>
      <w:bookmarkEnd w:id="1855"/>
      <w:bookmarkEnd w:id="1856"/>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3.5.1 </w:t>
      </w:r>
      <w:r>
        <w:rPr>
          <w:rFonts w:hint="eastAsia"/>
          <w:color w:val="auto"/>
          <w:highlight w:val="none"/>
        </w:rPr>
        <w:t>项补充：</w:t>
      </w:r>
    </w:p>
    <w:p>
      <w:pPr>
        <w:pStyle w:val="20"/>
        <w:spacing w:line="400" w:lineRule="exact"/>
        <w:ind w:left="424" w:right="390" w:firstLine="479"/>
        <w:rPr>
          <w:color w:val="auto"/>
          <w:highlight w:val="none"/>
        </w:rPr>
      </w:pPr>
      <w:r>
        <w:rPr>
          <w:rFonts w:hint="eastAsia"/>
          <w:color w:val="auto"/>
          <w:highlight w:val="none"/>
        </w:rPr>
        <w:t>如果这项商定或确定导致费用增加和（或）工期延长，或者涉及确定变更工程的价格，则总监理工程师在发出通知前，应征得发包人的同意。</w:t>
      </w:r>
    </w:p>
    <w:p>
      <w:pPr>
        <w:pStyle w:val="20"/>
        <w:spacing w:line="400" w:lineRule="exact"/>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1857" w:name="_bookmark170"/>
      <w:bookmarkEnd w:id="1857"/>
      <w:bookmarkStart w:id="1858" w:name="_Toc6135"/>
      <w:bookmarkStart w:id="1859" w:name="_Toc30836"/>
      <w:bookmarkStart w:id="1860" w:name="_Toc25855"/>
      <w:bookmarkStart w:id="1861" w:name="_Toc2577"/>
      <w:bookmarkStart w:id="1862" w:name="_Toc11739"/>
      <w:bookmarkStart w:id="1863" w:name="_Toc3189"/>
      <w:bookmarkStart w:id="1864" w:name="_Toc23322"/>
      <w:bookmarkStart w:id="1865" w:name="_Toc23375"/>
      <w:bookmarkStart w:id="1866" w:name="_Toc24954"/>
      <w:bookmarkStart w:id="1867" w:name="_Toc14667"/>
      <w:bookmarkStart w:id="1868" w:name="_Toc27867"/>
      <w:bookmarkStart w:id="1869" w:name="_Toc11219"/>
      <w:bookmarkStart w:id="1870" w:name="_Toc3627"/>
      <w:bookmarkStart w:id="1871" w:name="_Toc18906"/>
      <w:bookmarkStart w:id="1872" w:name="_Toc15528"/>
      <w:bookmarkStart w:id="1873" w:name="_Toc30092"/>
      <w:bookmarkStart w:id="1874" w:name="_Toc17899"/>
      <w:r>
        <w:rPr>
          <w:rFonts w:hint="eastAsia" w:ascii="黑体" w:hAnsi="黑体" w:eastAsia="黑体" w:cs="黑体"/>
          <w:color w:val="auto"/>
          <w:sz w:val="24"/>
          <w:szCs w:val="24"/>
          <w:highlight w:val="none"/>
        </w:rPr>
        <w:t>承包人</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pPr>
        <w:pStyle w:val="20"/>
        <w:spacing w:line="400" w:lineRule="exact"/>
        <w:rPr>
          <w:rFonts w:ascii="黑体" w:hAnsi="黑体" w:eastAsia="黑体" w:cs="黑体"/>
          <w:color w:val="auto"/>
          <w:highlight w:val="none"/>
        </w:rPr>
      </w:pPr>
    </w:p>
    <w:p>
      <w:pPr>
        <w:pStyle w:val="86"/>
        <w:numPr>
          <w:ilvl w:val="1"/>
          <w:numId w:val="15"/>
        </w:numPr>
        <w:tabs>
          <w:tab w:val="left" w:pos="845"/>
        </w:tabs>
        <w:spacing w:line="400" w:lineRule="exact"/>
        <w:rPr>
          <w:color w:val="auto"/>
          <w:sz w:val="24"/>
          <w:szCs w:val="24"/>
          <w:highlight w:val="none"/>
        </w:rPr>
      </w:pPr>
      <w:bookmarkStart w:id="1875" w:name="_bookmark171"/>
      <w:bookmarkEnd w:id="1875"/>
      <w:bookmarkStart w:id="1876" w:name="_Toc31843"/>
      <w:bookmarkStart w:id="1877" w:name="_Toc26509"/>
      <w:bookmarkStart w:id="1878" w:name="_Toc2942"/>
      <w:bookmarkStart w:id="1879" w:name="_Toc4273"/>
      <w:bookmarkStart w:id="1880" w:name="_Toc6862"/>
      <w:bookmarkStart w:id="1881" w:name="_Toc19139"/>
      <w:bookmarkStart w:id="1882" w:name="_Toc11775"/>
      <w:bookmarkStart w:id="1883" w:name="_Toc4310"/>
      <w:bookmarkStart w:id="1884" w:name="_Toc16632"/>
      <w:r>
        <w:rPr>
          <w:rFonts w:hint="eastAsia" w:ascii="黑体" w:hAnsi="黑体" w:eastAsia="黑体" w:cs="黑体"/>
          <w:color w:val="auto"/>
          <w:sz w:val="24"/>
          <w:szCs w:val="24"/>
          <w:highlight w:val="none"/>
        </w:rPr>
        <w:t>承包人的一般义务</w:t>
      </w:r>
      <w:bookmarkEnd w:id="1876"/>
      <w:bookmarkEnd w:id="1877"/>
      <w:bookmarkEnd w:id="1878"/>
      <w:bookmarkEnd w:id="1879"/>
      <w:bookmarkEnd w:id="1880"/>
      <w:bookmarkEnd w:id="1881"/>
      <w:bookmarkEnd w:id="1882"/>
      <w:bookmarkEnd w:id="1883"/>
      <w:bookmarkEnd w:id="1884"/>
    </w:p>
    <w:p>
      <w:pPr>
        <w:pStyle w:val="20"/>
        <w:spacing w:line="400" w:lineRule="exact"/>
        <w:rPr>
          <w:color w:val="auto"/>
          <w:highlight w:val="none"/>
        </w:rPr>
      </w:pPr>
    </w:p>
    <w:p>
      <w:pPr>
        <w:pStyle w:val="86"/>
        <w:numPr>
          <w:ilvl w:val="2"/>
          <w:numId w:val="18"/>
        </w:numPr>
        <w:tabs>
          <w:tab w:val="left" w:pos="1495"/>
        </w:tabs>
        <w:spacing w:line="400" w:lineRule="exact"/>
        <w:rPr>
          <w:color w:val="auto"/>
          <w:sz w:val="24"/>
          <w:szCs w:val="24"/>
          <w:highlight w:val="none"/>
        </w:rPr>
      </w:pPr>
      <w:r>
        <w:rPr>
          <w:rFonts w:hint="eastAsia"/>
          <w:color w:val="auto"/>
          <w:sz w:val="24"/>
          <w:szCs w:val="24"/>
          <w:highlight w:val="none"/>
        </w:rPr>
        <w:t>工程的维护和照管</w:t>
      </w:r>
    </w:p>
    <w:p>
      <w:pPr>
        <w:pStyle w:val="20"/>
        <w:spacing w:line="400" w:lineRule="exact"/>
        <w:ind w:left="815"/>
        <w:rPr>
          <w:color w:val="auto"/>
          <w:highlight w:val="none"/>
        </w:rPr>
      </w:pPr>
      <w:r>
        <w:rPr>
          <w:rFonts w:hint="eastAsia"/>
          <w:color w:val="auto"/>
          <w:highlight w:val="none"/>
        </w:rPr>
        <w:t>本项细化为：</w:t>
      </w:r>
    </w:p>
    <w:p>
      <w:pPr>
        <w:widowControl/>
        <w:spacing w:line="400" w:lineRule="exact"/>
        <w:rPr>
          <w:color w:val="auto"/>
          <w:sz w:val="24"/>
          <w:szCs w:val="24"/>
          <w:highlight w:val="none"/>
        </w:rPr>
        <w:sectPr>
          <w:pgSz w:w="11910" w:h="16850"/>
          <w:pgMar w:top="1418" w:right="1191" w:bottom="1418" w:left="1191" w:header="883" w:footer="884" w:gutter="0"/>
          <w:cols w:space="720" w:num="1"/>
        </w:sectPr>
      </w:pPr>
    </w:p>
    <w:p>
      <w:pPr>
        <w:pStyle w:val="20"/>
        <w:spacing w:line="400" w:lineRule="exact"/>
        <w:rPr>
          <w:color w:val="auto"/>
          <w:highlight w:val="none"/>
        </w:rPr>
      </w:pPr>
    </w:p>
    <w:p>
      <w:pPr>
        <w:pStyle w:val="20"/>
        <w:spacing w:line="400" w:lineRule="exact"/>
        <w:ind w:left="424" w:right="380" w:firstLine="391"/>
        <w:rPr>
          <w:color w:val="auto"/>
          <w:highlight w:val="none"/>
        </w:rPr>
      </w:pPr>
      <w:r>
        <w:rPr>
          <w:rFonts w:hint="eastAsia"/>
          <w:color w:val="auto"/>
          <w:highlight w:val="none"/>
        </w:rPr>
        <w:t>（</w:t>
      </w:r>
      <w:r>
        <w:rPr>
          <w:color w:val="auto"/>
          <w:highlight w:val="none"/>
        </w:rPr>
        <w:t>1</w:t>
      </w:r>
      <w:r>
        <w:rPr>
          <w:rFonts w:hint="eastAsia"/>
          <w:color w:val="auto"/>
          <w:highlight w:val="none"/>
        </w:rPr>
        <w: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pStyle w:val="20"/>
        <w:spacing w:line="400" w:lineRule="exact"/>
        <w:ind w:left="424" w:right="382" w:firstLine="391"/>
        <w:rPr>
          <w:color w:val="auto"/>
          <w:highlight w:val="none"/>
        </w:rPr>
      </w:pPr>
      <w:r>
        <w:rPr>
          <w:rFonts w:hint="eastAsia"/>
          <w:color w:val="auto"/>
          <w:highlight w:val="none"/>
        </w:rPr>
        <w:t>（</w:t>
      </w:r>
      <w:r>
        <w:rPr>
          <w:color w:val="auto"/>
          <w:highlight w:val="none"/>
        </w:rPr>
        <w:t>2</w:t>
      </w:r>
      <w:r>
        <w:rPr>
          <w:rFonts w:hint="eastAsia"/>
          <w:color w:val="auto"/>
          <w:highlight w:val="none"/>
        </w:rPr>
        <w:t xml:space="preserve">）在承包人负责照管与维护期间，如果本工程或材料、设备等发生损失或损害，除不可抗力原因之外，承包人均应自费弥补，并达到合同要求。承包人还应对按第 </w:t>
      </w:r>
      <w:r>
        <w:rPr>
          <w:color w:val="auto"/>
          <w:highlight w:val="none"/>
        </w:rPr>
        <w:t xml:space="preserve">19 </w:t>
      </w:r>
      <w:r>
        <w:rPr>
          <w:rFonts w:hint="eastAsia"/>
          <w:color w:val="auto"/>
          <w:highlight w:val="none"/>
        </w:rPr>
        <w:t>条规定而实施作业过程中由承包人造成的对工程的任何损失或损害负责。</w:t>
      </w:r>
    </w:p>
    <w:p>
      <w:pPr>
        <w:pStyle w:val="86"/>
        <w:numPr>
          <w:ilvl w:val="2"/>
          <w:numId w:val="18"/>
        </w:numPr>
        <w:tabs>
          <w:tab w:val="left" w:pos="1615"/>
        </w:tabs>
        <w:spacing w:line="400" w:lineRule="exact"/>
        <w:ind w:left="1614" w:hanging="720"/>
        <w:rPr>
          <w:color w:val="auto"/>
          <w:sz w:val="24"/>
          <w:szCs w:val="24"/>
          <w:highlight w:val="none"/>
        </w:rPr>
      </w:pPr>
      <w:r>
        <w:rPr>
          <w:rFonts w:hint="eastAsia"/>
          <w:color w:val="auto"/>
          <w:sz w:val="24"/>
          <w:szCs w:val="24"/>
          <w:highlight w:val="none"/>
        </w:rPr>
        <w:t>其他义务</w:t>
      </w:r>
    </w:p>
    <w:p>
      <w:pPr>
        <w:pStyle w:val="20"/>
        <w:spacing w:line="400" w:lineRule="exact"/>
        <w:ind w:left="815"/>
        <w:rPr>
          <w:color w:val="auto"/>
          <w:highlight w:val="none"/>
        </w:rPr>
      </w:pPr>
      <w:r>
        <w:rPr>
          <w:rFonts w:hint="eastAsia"/>
          <w:color w:val="auto"/>
          <w:highlight w:val="none"/>
        </w:rPr>
        <w:t>本项细化为：</w:t>
      </w:r>
    </w:p>
    <w:p>
      <w:pPr>
        <w:pStyle w:val="20"/>
        <w:spacing w:line="400" w:lineRule="exact"/>
        <w:ind w:left="424" w:right="385" w:firstLine="391"/>
        <w:rPr>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spacing w:val="-10"/>
          <w:highlight w:val="none"/>
        </w:rPr>
        <w:t xml:space="preserve"> 临时占地由承包人向当地政府土地管理部门申请，并办理租用手续，承包人按有关规定直接支付其费用，发包人对此将予以协调。</w:t>
      </w:r>
    </w:p>
    <w:p>
      <w:pPr>
        <w:pStyle w:val="20"/>
        <w:spacing w:line="400" w:lineRule="exact"/>
        <w:ind w:left="424" w:right="264" w:firstLine="391"/>
        <w:rPr>
          <w:color w:val="auto"/>
          <w:highlight w:val="none"/>
        </w:rPr>
      </w:pPr>
      <w:r>
        <w:rPr>
          <w:rFonts w:hint="eastAsia"/>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w:t>
      </w:r>
      <w:r>
        <w:rPr>
          <w:rFonts w:hint="eastAsia"/>
          <w:color w:val="auto"/>
          <w:spacing w:val="-7"/>
          <w:highlight w:val="none"/>
        </w:rPr>
        <w:t>临时占地数量、时间及因此而发生的协调、租用、复耕、地面附着物</w:t>
      </w:r>
      <w:r>
        <w:rPr>
          <w:rFonts w:hint="eastAsia"/>
          <w:color w:val="auto"/>
          <w:highlight w:val="none"/>
        </w:rPr>
        <w:t>（</w:t>
      </w:r>
      <w:r>
        <w:rPr>
          <w:rFonts w:hint="eastAsia"/>
          <w:color w:val="auto"/>
          <w:spacing w:val="-4"/>
          <w:highlight w:val="none"/>
        </w:rPr>
        <w:t>电力、电信、房屋、坟墓除外）的拆迁补偿等相关费用。除项目专用合同条款另有约定外，临时</w:t>
      </w:r>
      <w:r>
        <w:rPr>
          <w:rFonts w:hint="eastAsia"/>
          <w:color w:val="auto"/>
          <w:spacing w:val="-7"/>
          <w:highlight w:val="none"/>
        </w:rPr>
        <w:t xml:space="preserve">占地的租地费用实行总额包干，列入工程量清单第 </w:t>
      </w:r>
      <w:r>
        <w:rPr>
          <w:color w:val="auto"/>
          <w:highlight w:val="none"/>
        </w:rPr>
        <w:t xml:space="preserve">100 </w:t>
      </w:r>
      <w:r>
        <w:rPr>
          <w:rFonts w:hint="eastAsia"/>
          <w:color w:val="auto"/>
          <w:highlight w:val="none"/>
        </w:rPr>
        <w:t>章中由承包人按总额报价。</w:t>
      </w:r>
    </w:p>
    <w:p>
      <w:pPr>
        <w:pStyle w:val="20"/>
        <w:spacing w:line="400" w:lineRule="exact"/>
        <w:ind w:left="424" w:right="384" w:firstLine="391"/>
        <w:rPr>
          <w:color w:val="auto"/>
          <w:highlight w:val="none"/>
        </w:rPr>
      </w:pPr>
      <w:r>
        <w:rPr>
          <w:rFonts w:hint="eastAsia"/>
          <w:color w:val="auto"/>
          <w:spacing w:val="-10"/>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pPr>
        <w:pStyle w:val="20"/>
        <w:spacing w:line="400" w:lineRule="exact"/>
        <w:ind w:left="424" w:right="381" w:firstLine="391"/>
        <w:rPr>
          <w:color w:val="auto"/>
          <w:highlight w:val="none"/>
        </w:rPr>
      </w:pPr>
      <w:r>
        <w:rPr>
          <w:rFonts w:hint="eastAsia"/>
          <w:color w:val="auto"/>
          <w:highlight w:val="none"/>
        </w:rPr>
        <w:t>（</w:t>
      </w:r>
      <w:r>
        <w:rPr>
          <w:color w:val="auto"/>
          <w:highlight w:val="none"/>
        </w:rPr>
        <w:t>2</w:t>
      </w:r>
      <w:r>
        <w:rPr>
          <w:rFonts w:hint="eastAsia"/>
          <w:color w:val="auto"/>
          <w:highlight w:val="none"/>
        </w:rPr>
        <w:t>）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pPr>
        <w:pStyle w:val="20"/>
        <w:spacing w:line="400" w:lineRule="exact"/>
        <w:ind w:left="424" w:right="382" w:firstLine="391"/>
        <w:jc w:val="right"/>
        <w:rPr>
          <w:color w:val="auto"/>
          <w:highlight w:val="none"/>
        </w:rPr>
      </w:pPr>
      <w:r>
        <w:rPr>
          <w:rFonts w:hint="eastAsia"/>
          <w:color w:val="auto"/>
          <w:highlight w:val="none"/>
        </w:rPr>
        <w:t>（</w:t>
      </w:r>
      <w:r>
        <w:rPr>
          <w:color w:val="auto"/>
          <w:highlight w:val="none"/>
        </w:rPr>
        <w:t>3</w:t>
      </w:r>
      <w:r>
        <w:rPr>
          <w:rFonts w:hint="eastAsia"/>
          <w:color w:val="auto"/>
          <w:highlight w:val="non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w:t>
      </w:r>
    </w:p>
    <w:p>
      <w:pPr>
        <w:pStyle w:val="20"/>
        <w:spacing w:line="400" w:lineRule="exact"/>
        <w:ind w:left="424" w:right="381"/>
        <w:rPr>
          <w:color w:val="auto"/>
          <w:highlight w:val="none"/>
        </w:rPr>
      </w:pPr>
      <w:r>
        <w:rPr>
          <w:rFonts w:hint="eastAsia"/>
          <w:color w:val="auto"/>
          <w:highlight w:val="none"/>
        </w:rPr>
        <w:t>支付的责任人。项目经理部要建立全体民工花名册和工资支付表，确保将工资直接发放给民工本人，或委托银行发放民工工资，严禁发放给</w:t>
      </w:r>
      <w:r>
        <w:rPr>
          <w:color w:val="auto"/>
          <w:highlight w:val="none"/>
        </w:rPr>
        <w:t>“</w:t>
      </w:r>
      <w:r>
        <w:rPr>
          <w:rFonts w:hint="eastAsia"/>
          <w:color w:val="auto"/>
          <w:highlight w:val="none"/>
        </w:rPr>
        <w:t>包工头</w:t>
      </w:r>
      <w:r>
        <w:rPr>
          <w:color w:val="auto"/>
          <w:highlight w:val="none"/>
        </w:rPr>
        <w:t>”</w:t>
      </w:r>
      <w:r>
        <w:rPr>
          <w:rFonts w:hint="eastAsia"/>
          <w:color w:val="auto"/>
          <w:highlight w:val="none"/>
        </w:rPr>
        <w:t>或其他不具备用工主体资格的组织和个人。</w:t>
      </w:r>
    </w:p>
    <w:p>
      <w:pPr>
        <w:pStyle w:val="20"/>
        <w:spacing w:line="400" w:lineRule="exact"/>
        <w:ind w:left="815"/>
        <w:rPr>
          <w:color w:val="auto"/>
          <w:highlight w:val="none"/>
        </w:rPr>
      </w:pPr>
      <w:r>
        <w:rPr>
          <w:rFonts w:hint="eastAsia"/>
          <w:color w:val="auto"/>
          <w:highlight w:val="none"/>
        </w:rPr>
        <w:t>工资支付表应如实记录支付单位、支付时间、支付对象、支付数额、支付对象的</w:t>
      </w:r>
    </w:p>
    <w:p>
      <w:pPr>
        <w:pStyle w:val="20"/>
        <w:spacing w:line="400" w:lineRule="exact"/>
        <w:ind w:left="424"/>
        <w:rPr>
          <w:color w:val="auto"/>
          <w:highlight w:val="none"/>
        </w:rPr>
      </w:pPr>
      <w:r>
        <w:rPr>
          <w:rFonts w:hint="eastAsia"/>
          <w:color w:val="auto"/>
          <w:highlight w:val="none"/>
        </w:rPr>
        <w:t>身份证号和签字等信息。民工花名册和工资支付表应报监理人备查。</w:t>
      </w:r>
    </w:p>
    <w:p>
      <w:pPr>
        <w:pStyle w:val="20"/>
        <w:spacing w:line="400" w:lineRule="exact"/>
        <w:ind w:left="424" w:right="382" w:firstLine="391"/>
        <w:rPr>
          <w:color w:val="auto"/>
          <w:highlight w:val="none"/>
        </w:rPr>
      </w:pPr>
      <w:r>
        <w:rPr>
          <w:rFonts w:hint="eastAsia"/>
          <w:color w:val="auto"/>
          <w:highlight w:val="none"/>
        </w:rPr>
        <w:t>（</w:t>
      </w:r>
      <w:r>
        <w:rPr>
          <w:color w:val="auto"/>
          <w:highlight w:val="none"/>
        </w:rPr>
        <w:t>4</w:t>
      </w:r>
      <w:r>
        <w:rPr>
          <w:rFonts w:hint="eastAsia"/>
          <w:color w:val="auto"/>
          <w:highlight w:val="none"/>
        </w:rPr>
        <w:t>）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pPr>
        <w:pStyle w:val="20"/>
        <w:spacing w:line="400" w:lineRule="exact"/>
        <w:ind w:left="424" w:right="382" w:firstLine="391"/>
        <w:rPr>
          <w:color w:val="auto"/>
          <w:highlight w:val="none"/>
        </w:rPr>
      </w:pPr>
      <w:r>
        <w:rPr>
          <w:rFonts w:hint="eastAsia"/>
          <w:color w:val="auto"/>
          <w:highlight w:val="none"/>
        </w:rPr>
        <w:t>（</w:t>
      </w:r>
      <w:r>
        <w:rPr>
          <w:color w:val="auto"/>
          <w:highlight w:val="none"/>
        </w:rPr>
        <w:t>5</w:t>
      </w:r>
      <w:r>
        <w:rPr>
          <w:rFonts w:hint="eastAsia"/>
          <w:color w:val="auto"/>
          <w:highlight w:val="none"/>
        </w:rPr>
        <w:t>）承包人应严格执行招标文件技术规范对施工标准化提出的具体要求，结合本单位施工能力和技术优势，积极采取有利于标准化施工的组织方式和工艺流程，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w:t>
      </w:r>
      <w:r>
        <w:rPr>
          <w:rFonts w:hint="eastAsia"/>
          <w:color w:val="auto"/>
          <w:spacing w:val="-2"/>
          <w:highlight w:val="none"/>
        </w:rPr>
        <w:t xml:space="preserve">培训，改善职工生产生活条件，与此相关的费用承包人应列入工程量清单第 </w:t>
      </w:r>
      <w:r>
        <w:rPr>
          <w:color w:val="auto"/>
          <w:highlight w:val="none"/>
        </w:rPr>
        <w:t xml:space="preserve">100 </w:t>
      </w:r>
      <w:r>
        <w:rPr>
          <w:rFonts w:hint="eastAsia"/>
          <w:color w:val="auto"/>
          <w:highlight w:val="none"/>
        </w:rPr>
        <w:t>章中。</w:t>
      </w:r>
    </w:p>
    <w:p>
      <w:pPr>
        <w:pStyle w:val="20"/>
        <w:spacing w:line="400" w:lineRule="exact"/>
        <w:ind w:left="815"/>
        <w:rPr>
          <w:color w:val="auto"/>
          <w:highlight w:val="none"/>
        </w:rPr>
      </w:pPr>
      <w:r>
        <w:rPr>
          <w:rFonts w:hint="eastAsia"/>
          <w:color w:val="auto"/>
          <w:highlight w:val="none"/>
        </w:rPr>
        <w:t>（</w:t>
      </w:r>
      <w:r>
        <w:rPr>
          <w:color w:val="auto"/>
          <w:highlight w:val="none"/>
        </w:rPr>
        <w:t>6</w:t>
      </w:r>
      <w:r>
        <w:rPr>
          <w:rFonts w:hint="eastAsia"/>
          <w:color w:val="auto"/>
          <w:highlight w:val="none"/>
        </w:rPr>
        <w:t>）承包人应履行项目专用合同条款约定的其他义务。</w:t>
      </w:r>
    </w:p>
    <w:p>
      <w:pPr>
        <w:pStyle w:val="20"/>
        <w:spacing w:line="400" w:lineRule="exact"/>
        <w:rPr>
          <w:color w:val="auto"/>
          <w:highlight w:val="none"/>
        </w:rPr>
      </w:pPr>
    </w:p>
    <w:p>
      <w:pPr>
        <w:pStyle w:val="86"/>
        <w:numPr>
          <w:ilvl w:val="1"/>
          <w:numId w:val="18"/>
        </w:numPr>
        <w:tabs>
          <w:tab w:val="left" w:pos="845"/>
        </w:tabs>
        <w:spacing w:line="400" w:lineRule="exact"/>
        <w:ind w:left="844" w:hanging="420"/>
        <w:jc w:val="left"/>
        <w:rPr>
          <w:color w:val="auto"/>
          <w:sz w:val="24"/>
          <w:szCs w:val="24"/>
          <w:highlight w:val="none"/>
        </w:rPr>
      </w:pPr>
      <w:bookmarkStart w:id="1885" w:name="_bookmark172"/>
      <w:bookmarkEnd w:id="1885"/>
      <w:bookmarkStart w:id="1886" w:name="_Toc2162"/>
      <w:bookmarkStart w:id="1887" w:name="_Toc27382"/>
      <w:bookmarkStart w:id="1888" w:name="_Toc26549"/>
      <w:bookmarkStart w:id="1889" w:name="_Toc13994"/>
      <w:bookmarkStart w:id="1890" w:name="_Toc577"/>
      <w:bookmarkStart w:id="1891" w:name="_Toc9409"/>
      <w:bookmarkStart w:id="1892" w:name="_Toc12663"/>
      <w:bookmarkStart w:id="1893" w:name="_Toc30640"/>
      <w:bookmarkStart w:id="1894" w:name="_Toc31013"/>
      <w:r>
        <w:rPr>
          <w:rFonts w:hint="eastAsia" w:ascii="黑体" w:hAnsi="黑体" w:eastAsia="黑体" w:cs="黑体"/>
          <w:color w:val="auto"/>
          <w:sz w:val="24"/>
          <w:szCs w:val="24"/>
          <w:highlight w:val="none"/>
        </w:rPr>
        <w:t>履约保证金</w:t>
      </w:r>
      <w:bookmarkEnd w:id="1886"/>
      <w:bookmarkEnd w:id="1887"/>
      <w:bookmarkEnd w:id="1888"/>
      <w:bookmarkEnd w:id="1889"/>
      <w:bookmarkEnd w:id="1890"/>
      <w:bookmarkEnd w:id="1891"/>
      <w:bookmarkEnd w:id="1892"/>
      <w:bookmarkEnd w:id="1893"/>
      <w:bookmarkEnd w:id="189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424" w:right="382" w:firstLine="479"/>
        <w:rPr>
          <w:color w:val="auto"/>
          <w:highlight w:val="none"/>
        </w:rPr>
      </w:pPr>
      <w:r>
        <w:rPr>
          <w:rFonts w:hint="eastAsia"/>
          <w:color w:val="auto"/>
          <w:highlight w:val="none"/>
        </w:rPr>
        <w:t>承包人应保证其履约保证金在发包人签发交工验收证书且承包人按照合同约定</w:t>
      </w:r>
      <w:r>
        <w:rPr>
          <w:rFonts w:hint="eastAsia"/>
          <w:color w:val="auto"/>
          <w:spacing w:val="-9"/>
          <w:highlight w:val="none"/>
        </w:rPr>
        <w:t xml:space="preserve">缴纳质量保证金前一直有效。发包人应在收到承包人缴纳的质量保证金后 </w:t>
      </w:r>
      <w:r>
        <w:rPr>
          <w:color w:val="auto"/>
          <w:highlight w:val="none"/>
        </w:rPr>
        <w:t xml:space="preserve">28 </w:t>
      </w:r>
      <w:r>
        <w:rPr>
          <w:rFonts w:hint="eastAsia"/>
          <w:color w:val="auto"/>
          <w:highlight w:val="none"/>
        </w:rPr>
        <w:t>天内将履约保证金退还给承包人。</w:t>
      </w:r>
    </w:p>
    <w:p>
      <w:pPr>
        <w:pStyle w:val="20"/>
        <w:spacing w:line="400" w:lineRule="exact"/>
        <w:ind w:left="424" w:right="387" w:firstLine="479"/>
        <w:rPr>
          <w:color w:val="auto"/>
          <w:highlight w:val="none"/>
        </w:rPr>
      </w:pPr>
      <w:r>
        <w:rPr>
          <w:rFonts w:hint="eastAsia"/>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pPr>
        <w:pStyle w:val="20"/>
        <w:spacing w:line="400" w:lineRule="exact"/>
        <w:rPr>
          <w:color w:val="auto"/>
          <w:highlight w:val="none"/>
        </w:rPr>
      </w:pPr>
    </w:p>
    <w:p>
      <w:pPr>
        <w:pStyle w:val="86"/>
        <w:numPr>
          <w:ilvl w:val="1"/>
          <w:numId w:val="18"/>
        </w:numPr>
        <w:tabs>
          <w:tab w:val="left" w:pos="845"/>
        </w:tabs>
        <w:spacing w:line="400" w:lineRule="exact"/>
        <w:ind w:left="844" w:hanging="420"/>
        <w:jc w:val="left"/>
        <w:rPr>
          <w:rFonts w:ascii="黑体" w:hAnsi="黑体" w:eastAsia="黑体" w:cs="黑体"/>
          <w:color w:val="auto"/>
          <w:sz w:val="24"/>
          <w:szCs w:val="24"/>
          <w:highlight w:val="none"/>
        </w:rPr>
      </w:pPr>
      <w:bookmarkStart w:id="1895" w:name="_bookmark173"/>
      <w:bookmarkEnd w:id="1895"/>
      <w:bookmarkStart w:id="1896" w:name="_Toc16243"/>
      <w:bookmarkStart w:id="1897" w:name="_Toc15279"/>
      <w:bookmarkStart w:id="1898" w:name="_Toc2674"/>
      <w:bookmarkStart w:id="1899" w:name="_Toc15522"/>
      <w:bookmarkStart w:id="1900" w:name="_Toc5963"/>
      <w:bookmarkStart w:id="1901" w:name="_Toc25784"/>
      <w:bookmarkStart w:id="1902" w:name="_Toc5885"/>
      <w:bookmarkStart w:id="1903" w:name="_Toc24584"/>
      <w:bookmarkStart w:id="1904" w:name="_Toc21887"/>
      <w:r>
        <w:rPr>
          <w:rFonts w:hint="eastAsia" w:ascii="黑体" w:hAnsi="黑体" w:eastAsia="黑体" w:cs="黑体"/>
          <w:color w:val="auto"/>
          <w:sz w:val="24"/>
          <w:szCs w:val="24"/>
          <w:highlight w:val="none"/>
        </w:rPr>
        <w:t>分包</w:t>
      </w:r>
      <w:bookmarkEnd w:id="1896"/>
      <w:bookmarkEnd w:id="1897"/>
      <w:bookmarkEnd w:id="1898"/>
      <w:bookmarkEnd w:id="1899"/>
      <w:bookmarkEnd w:id="1900"/>
      <w:bookmarkEnd w:id="1901"/>
      <w:bookmarkEnd w:id="1902"/>
      <w:bookmarkEnd w:id="1903"/>
      <w:bookmarkEnd w:id="190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4.3.2 </w:t>
      </w:r>
      <w:r>
        <w:rPr>
          <w:rFonts w:hint="eastAsia"/>
          <w:color w:val="auto"/>
          <w:highlight w:val="none"/>
        </w:rPr>
        <w:t xml:space="preserve">项～第 </w:t>
      </w:r>
      <w:r>
        <w:rPr>
          <w:color w:val="auto"/>
          <w:highlight w:val="none"/>
        </w:rPr>
        <w:t xml:space="preserve">4.3.4 </w:t>
      </w:r>
      <w:r>
        <w:rPr>
          <w:rFonts w:hint="eastAsia"/>
          <w:color w:val="auto"/>
          <w:highlight w:val="none"/>
        </w:rPr>
        <w:t>项细化为：</w:t>
      </w:r>
    </w:p>
    <w:p>
      <w:pPr>
        <w:pStyle w:val="20"/>
        <w:spacing w:line="400" w:lineRule="exact"/>
        <w:ind w:left="424" w:right="387" w:firstLine="479"/>
        <w:rPr>
          <w:color w:val="auto"/>
          <w:highlight w:val="none"/>
        </w:rPr>
      </w:pPr>
      <w:r>
        <w:rPr>
          <w:rFonts w:hint="eastAsia"/>
          <w:color w:val="auto"/>
          <w:highlight w:val="none"/>
        </w:rPr>
        <w:t>4.3.2承包人不得将工程关键性工作分包给第三人。经发包人同意，承包人可将工程的其他部分或工作分包给第三人。分包包括专业分包和劳务分包。</w:t>
      </w:r>
    </w:p>
    <w:p>
      <w:pPr>
        <w:pStyle w:val="20"/>
        <w:spacing w:line="400" w:lineRule="exact"/>
        <w:ind w:left="424" w:right="387" w:firstLine="479"/>
        <w:rPr>
          <w:color w:val="auto"/>
          <w:highlight w:val="none"/>
        </w:rPr>
      </w:pPr>
      <w:r>
        <w:rPr>
          <w:rFonts w:hint="eastAsia"/>
          <w:color w:val="auto"/>
          <w:highlight w:val="none"/>
        </w:rPr>
        <w:t>4.3.3专业分包</w:t>
      </w:r>
    </w:p>
    <w:p>
      <w:pPr>
        <w:pStyle w:val="20"/>
        <w:spacing w:line="400" w:lineRule="exact"/>
        <w:ind w:left="424" w:right="387" w:firstLine="479"/>
        <w:rPr>
          <w:color w:val="auto"/>
          <w:highlight w:val="none"/>
        </w:rPr>
      </w:pPr>
      <w:r>
        <w:rPr>
          <w:rFonts w:hint="eastAsia"/>
          <w:color w:val="auto"/>
          <w:highlight w:val="none"/>
        </w:rPr>
        <w:t>在工程施工过程中，承包人进行专业分包必须遵守以下规定：</w:t>
      </w:r>
    </w:p>
    <w:p>
      <w:pPr>
        <w:pStyle w:val="20"/>
        <w:spacing w:line="400" w:lineRule="exact"/>
        <w:ind w:left="424" w:right="385" w:firstLine="479"/>
        <w:rPr>
          <w:color w:val="auto"/>
          <w:highlight w:val="none"/>
        </w:rPr>
      </w:pPr>
      <w:r>
        <w:rPr>
          <w:rFonts w:hint="eastAsia"/>
          <w:color w:val="auto"/>
          <w:spacing w:val="-28"/>
          <w:highlight w:val="none"/>
        </w:rPr>
        <w:t>（</w:t>
      </w:r>
      <w:r>
        <w:rPr>
          <w:color w:val="auto"/>
          <w:spacing w:val="-28"/>
          <w:highlight w:val="none"/>
        </w:rPr>
        <w:t>1</w:t>
      </w:r>
      <w:r>
        <w:rPr>
          <w:rFonts w:hint="eastAsia"/>
          <w:color w:val="auto"/>
          <w:spacing w:val="-28"/>
          <w:highlight w:val="none"/>
        </w:rPr>
        <w:t>）</w:t>
      </w:r>
      <w:r>
        <w:rPr>
          <w:rFonts w:hint="eastAsia"/>
          <w:color w:val="auto"/>
          <w:highlight w:val="none"/>
        </w:rPr>
        <w:t>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2</w:t>
      </w:r>
      <w:r>
        <w:rPr>
          <w:rFonts w:hint="eastAsia"/>
          <w:color w:val="auto"/>
          <w:highlight w:val="none"/>
        </w:rPr>
        <w:t>）专业分包人的资格能力（含安全生产能力）应与其分包工程的标准和规模相适应，且应当具备如下条件：</w:t>
      </w:r>
    </w:p>
    <w:p>
      <w:pPr>
        <w:pStyle w:val="86"/>
        <w:numPr>
          <w:ilvl w:val="0"/>
          <w:numId w:val="19"/>
        </w:numPr>
        <w:tabs>
          <w:tab w:val="left" w:pos="1190"/>
        </w:tabs>
        <w:spacing w:line="400" w:lineRule="exact"/>
        <w:rPr>
          <w:color w:val="auto"/>
          <w:sz w:val="24"/>
          <w:szCs w:val="24"/>
          <w:highlight w:val="none"/>
        </w:rPr>
      </w:pPr>
      <w:r>
        <w:rPr>
          <w:rFonts w:hint="eastAsia"/>
          <w:color w:val="auto"/>
          <w:sz w:val="24"/>
          <w:szCs w:val="24"/>
          <w:highlight w:val="none"/>
        </w:rPr>
        <w:t>具有经工商登记的法人资格；</w:t>
      </w:r>
    </w:p>
    <w:p>
      <w:pPr>
        <w:pStyle w:val="86"/>
        <w:numPr>
          <w:ilvl w:val="0"/>
          <w:numId w:val="19"/>
        </w:numPr>
        <w:tabs>
          <w:tab w:val="left" w:pos="1205"/>
        </w:tabs>
        <w:spacing w:line="400" w:lineRule="exact"/>
        <w:ind w:left="1204" w:hanging="300"/>
        <w:rPr>
          <w:color w:val="auto"/>
          <w:sz w:val="24"/>
          <w:szCs w:val="24"/>
          <w:highlight w:val="none"/>
        </w:rPr>
      </w:pPr>
      <w:r>
        <w:rPr>
          <w:rFonts w:hint="eastAsia"/>
          <w:color w:val="auto"/>
          <w:sz w:val="24"/>
          <w:szCs w:val="24"/>
          <w:highlight w:val="none"/>
        </w:rPr>
        <w:t>具有从事类似工程经验的管理与技术人员；</w:t>
      </w:r>
    </w:p>
    <w:p>
      <w:pPr>
        <w:pStyle w:val="86"/>
        <w:numPr>
          <w:ilvl w:val="0"/>
          <w:numId w:val="19"/>
        </w:numPr>
        <w:tabs>
          <w:tab w:val="left" w:pos="1190"/>
        </w:tabs>
        <w:spacing w:line="400" w:lineRule="exact"/>
        <w:rPr>
          <w:color w:val="auto"/>
          <w:sz w:val="24"/>
          <w:szCs w:val="24"/>
          <w:highlight w:val="none"/>
        </w:rPr>
      </w:pPr>
      <w:r>
        <w:rPr>
          <w:rFonts w:hint="eastAsia"/>
          <w:color w:val="auto"/>
          <w:sz w:val="24"/>
          <w:szCs w:val="24"/>
          <w:highlight w:val="none"/>
        </w:rPr>
        <w:t>具有（自有或租赁）分包工程所需的施工设备。</w:t>
      </w:r>
    </w:p>
    <w:p>
      <w:pPr>
        <w:pStyle w:val="20"/>
        <w:spacing w:line="400" w:lineRule="exact"/>
        <w:ind w:left="424" w:right="391" w:firstLine="479"/>
        <w:rPr>
          <w:color w:val="auto"/>
          <w:highlight w:val="none"/>
        </w:rPr>
      </w:pPr>
      <w:r>
        <w:rPr>
          <w:rFonts w:hint="eastAsia"/>
          <w:color w:val="auto"/>
          <w:highlight w:val="none"/>
        </w:rPr>
        <w:t>承包人应向监理人提交专业分包人的资格能力证明材料，经监理人审查并报发包人批准后，可以将相应专业工程分包给该专业分包人。</w:t>
      </w:r>
    </w:p>
    <w:p>
      <w:pPr>
        <w:pStyle w:val="20"/>
        <w:spacing w:line="400" w:lineRule="exact"/>
        <w:ind w:left="904"/>
        <w:rPr>
          <w:color w:val="auto"/>
          <w:highlight w:val="none"/>
        </w:rPr>
      </w:pPr>
      <w:r>
        <w:rPr>
          <w:rFonts w:hint="eastAsia"/>
          <w:color w:val="auto"/>
          <w:highlight w:val="none"/>
        </w:rPr>
        <w:t>（</w:t>
      </w:r>
      <w:r>
        <w:rPr>
          <w:color w:val="auto"/>
          <w:highlight w:val="none"/>
        </w:rPr>
        <w:t>3</w:t>
      </w:r>
      <w:r>
        <w:rPr>
          <w:rFonts w:hint="eastAsia"/>
          <w:color w:val="auto"/>
          <w:highlight w:val="none"/>
        </w:rPr>
        <w:t>）专业分包工程不得再次分包。</w:t>
      </w:r>
    </w:p>
    <w:p>
      <w:pPr>
        <w:pStyle w:val="20"/>
        <w:spacing w:line="400" w:lineRule="exact"/>
        <w:ind w:left="424" w:right="385" w:firstLine="479"/>
        <w:rPr>
          <w:color w:val="auto"/>
          <w:highlight w:val="none"/>
        </w:rPr>
      </w:pPr>
      <w:r>
        <w:rPr>
          <w:rFonts w:hint="eastAsia"/>
          <w:color w:val="auto"/>
          <w:highlight w:val="none"/>
        </w:rPr>
        <w:t>（</w:t>
      </w:r>
      <w:r>
        <w:rPr>
          <w:color w:val="auto"/>
          <w:highlight w:val="none"/>
        </w:rPr>
        <w:t>4</w:t>
      </w:r>
      <w:r>
        <w:rPr>
          <w:rFonts w:hint="eastAsia"/>
          <w:color w:val="auto"/>
          <w:highlight w:val="none"/>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 确保工程款的支付。承包人应在工程实施前，将经监理人审查同意后的分包合同报发包人备案。</w:t>
      </w:r>
    </w:p>
    <w:p>
      <w:pPr>
        <w:pStyle w:val="20"/>
        <w:spacing w:line="400" w:lineRule="exact"/>
        <w:ind w:left="424" w:right="301" w:firstLine="479"/>
        <w:rPr>
          <w:color w:val="auto"/>
          <w:highlight w:val="none"/>
        </w:rPr>
      </w:pPr>
      <w:r>
        <w:rPr>
          <w:rFonts w:hint="eastAsia"/>
          <w:color w:val="auto"/>
          <w:highlight w:val="none"/>
        </w:rPr>
        <w:t>（</w:t>
      </w:r>
      <w:r>
        <w:rPr>
          <w:color w:val="auto"/>
          <w:highlight w:val="none"/>
        </w:rPr>
        <w:t>5</w:t>
      </w:r>
      <w:r>
        <w:rPr>
          <w:rFonts w:hint="eastAsia"/>
          <w:color w:val="auto"/>
          <w:highlight w:val="none"/>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pPr>
        <w:pStyle w:val="20"/>
        <w:spacing w:line="400" w:lineRule="exact"/>
        <w:ind w:left="424" w:right="299" w:firstLine="479"/>
        <w:rPr>
          <w:color w:val="auto"/>
          <w:highlight w:val="none"/>
        </w:rPr>
      </w:pPr>
      <w:r>
        <w:rPr>
          <w:rFonts w:hint="eastAsia"/>
          <w:color w:val="auto"/>
          <w:highlight w:val="none"/>
        </w:rPr>
        <w:t>（</w:t>
      </w:r>
      <w:r>
        <w:rPr>
          <w:color w:val="auto"/>
          <w:highlight w:val="none"/>
        </w:rPr>
        <w:t>6</w:t>
      </w:r>
      <w:r>
        <w:rPr>
          <w:rFonts w:hint="eastAsia"/>
          <w:color w:val="auto"/>
          <w:highlight w:val="none"/>
        </w:rPr>
        <w:t>）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pPr>
        <w:pStyle w:val="20"/>
        <w:spacing w:line="400" w:lineRule="exact"/>
        <w:ind w:left="424" w:right="386" w:firstLine="479"/>
        <w:rPr>
          <w:color w:val="auto"/>
          <w:highlight w:val="none"/>
        </w:rPr>
      </w:pPr>
      <w:r>
        <w:rPr>
          <w:rFonts w:hint="eastAsia"/>
          <w:color w:val="auto"/>
          <w:spacing w:val="-10"/>
          <w:highlight w:val="none"/>
        </w:rPr>
        <w:t>（</w:t>
      </w:r>
      <w:r>
        <w:rPr>
          <w:color w:val="auto"/>
          <w:spacing w:val="-10"/>
          <w:highlight w:val="none"/>
        </w:rPr>
        <w:t>7</w:t>
      </w:r>
      <w:r>
        <w:rPr>
          <w:rFonts w:hint="eastAsia"/>
          <w:color w:val="auto"/>
          <w:spacing w:val="-10"/>
          <w:highlight w:val="none"/>
        </w:rPr>
        <w:t>）</w:t>
      </w:r>
      <w:r>
        <w:rPr>
          <w:rFonts w:hint="eastAsia"/>
          <w:color w:val="auto"/>
          <w:spacing w:val="-3"/>
          <w:highlight w:val="none"/>
        </w:rPr>
        <w:t>专业分包人应当依据专业分包合同的约定，组织分包工程的施工，并对分包工程的质量、安全和进度等实施有效控制。专业分包人对其分包的工程向承包人负责，并就所分包的工程向发包人承担连带责任。</w:t>
      </w:r>
    </w:p>
    <w:p>
      <w:pPr>
        <w:pStyle w:val="20"/>
        <w:spacing w:line="400" w:lineRule="exact"/>
        <w:ind w:left="424" w:right="262" w:firstLine="479"/>
        <w:rPr>
          <w:color w:val="auto"/>
          <w:highlight w:val="none"/>
        </w:rPr>
      </w:pPr>
      <w:r>
        <w:rPr>
          <w:rFonts w:hint="eastAsia"/>
          <w:color w:val="auto"/>
          <w:spacing w:val="-15"/>
          <w:highlight w:val="none"/>
        </w:rPr>
        <w:t>（</w:t>
      </w:r>
      <w:r>
        <w:rPr>
          <w:color w:val="auto"/>
          <w:spacing w:val="-15"/>
          <w:highlight w:val="none"/>
        </w:rPr>
        <w:t>8</w:t>
      </w:r>
      <w:r>
        <w:rPr>
          <w:rFonts w:hint="eastAsia"/>
          <w:color w:val="auto"/>
          <w:spacing w:val="-15"/>
          <w:highlight w:val="none"/>
        </w:rPr>
        <w:t>）</w:t>
      </w:r>
      <w:r>
        <w:rPr>
          <w:rFonts w:hint="eastAsia"/>
          <w:color w:val="auto"/>
          <w:spacing w:val="-4"/>
          <w:highlight w:val="none"/>
        </w:rPr>
        <w:t>承包人对施工现场安全负总责，并对专业分包人的安全生产进行培训和管</w:t>
      </w:r>
      <w:r>
        <w:rPr>
          <w:rFonts w:hint="eastAsia"/>
          <w:color w:val="auto"/>
          <w:spacing w:val="-10"/>
          <w:highlight w:val="none"/>
        </w:rPr>
        <w:t>理。专业分包人应将其专业分包工程的施工组织设计和施工安全方案报承包人备案。专业分包人对分包施工现场安全负责，发现事故隐患，应及时处理。</w:t>
      </w:r>
    </w:p>
    <w:p>
      <w:pPr>
        <w:pStyle w:val="20"/>
        <w:spacing w:line="400" w:lineRule="exact"/>
        <w:ind w:left="904"/>
        <w:rPr>
          <w:color w:val="auto"/>
          <w:highlight w:val="none"/>
        </w:rPr>
      </w:pPr>
      <w:r>
        <w:rPr>
          <w:rFonts w:hint="eastAsia"/>
          <w:color w:val="auto"/>
          <w:highlight w:val="none"/>
        </w:rPr>
        <w:t>违反上述规定之一者属违规分包。</w:t>
      </w:r>
    </w:p>
    <w:p>
      <w:pPr>
        <w:pStyle w:val="86"/>
        <w:tabs>
          <w:tab w:val="left" w:pos="1505"/>
        </w:tabs>
        <w:spacing w:line="400" w:lineRule="exact"/>
        <w:ind w:left="904"/>
        <w:rPr>
          <w:color w:val="auto"/>
          <w:sz w:val="24"/>
          <w:szCs w:val="24"/>
          <w:highlight w:val="none"/>
        </w:rPr>
      </w:pPr>
      <w:r>
        <w:rPr>
          <w:rFonts w:hint="eastAsia"/>
          <w:color w:val="auto"/>
          <w:sz w:val="24"/>
          <w:szCs w:val="24"/>
          <w:highlight w:val="none"/>
        </w:rPr>
        <w:t>4.3.4劳务分包</w:t>
      </w:r>
    </w:p>
    <w:p>
      <w:pPr>
        <w:pStyle w:val="20"/>
        <w:spacing w:line="400" w:lineRule="exact"/>
        <w:ind w:left="904"/>
        <w:rPr>
          <w:color w:val="auto"/>
          <w:highlight w:val="none"/>
        </w:rPr>
      </w:pPr>
      <w:r>
        <w:rPr>
          <w:rFonts w:hint="eastAsia"/>
          <w:color w:val="auto"/>
          <w:highlight w:val="none"/>
        </w:rPr>
        <w:t>在工程施工过程中，承包人进行劳务分包必须遵守以下规定：</w:t>
      </w:r>
    </w:p>
    <w:p>
      <w:pPr>
        <w:pStyle w:val="20"/>
        <w:spacing w:line="400" w:lineRule="exact"/>
        <w:ind w:left="904"/>
        <w:rPr>
          <w:color w:val="auto"/>
          <w:highlight w:val="none"/>
        </w:rPr>
      </w:pPr>
      <w:r>
        <w:rPr>
          <w:rFonts w:hint="eastAsia"/>
          <w:color w:val="auto"/>
          <w:highlight w:val="none"/>
        </w:rPr>
        <w:t>（</w:t>
      </w:r>
      <w:r>
        <w:rPr>
          <w:color w:val="auto"/>
          <w:highlight w:val="none"/>
        </w:rPr>
        <w:t>1</w:t>
      </w:r>
      <w:r>
        <w:rPr>
          <w:rFonts w:hint="eastAsia"/>
          <w:color w:val="auto"/>
          <w:highlight w:val="none"/>
        </w:rPr>
        <w:t>）劳务分包人应具有施工劳务资质。</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2</w:t>
      </w:r>
      <w:r>
        <w:rPr>
          <w:rFonts w:hint="eastAsia"/>
          <w:color w:val="auto"/>
          <w:highlight w:val="none"/>
        </w:rPr>
        <w:t>）劳务分包应当依法签订劳务分包合同，劳务分包合同必须由承包人的法定代表人或其委托代理人与劳务分包人直接签订，不得由他人代签。承包人的项目经</w:t>
      </w:r>
    </w:p>
    <w:p>
      <w:pPr>
        <w:pStyle w:val="20"/>
        <w:spacing w:line="400" w:lineRule="exact"/>
        <w:ind w:left="424" w:right="387"/>
        <w:rPr>
          <w:color w:val="auto"/>
          <w:highlight w:val="none"/>
        </w:rPr>
      </w:pPr>
      <w:r>
        <w:rPr>
          <w:rFonts w:hint="eastAsia"/>
          <w:color w:val="auto"/>
          <w:highlight w:val="none"/>
        </w:rPr>
        <w:t>理部、项目经理、施工班组等不具备用工主体资格，不能与劳务分包人签订劳务分包合同。承包人应向发包人和监理人提交劳务分包合同副本并报项目所在地劳动保障部门备案。</w:t>
      </w:r>
    </w:p>
    <w:p>
      <w:pPr>
        <w:pStyle w:val="20"/>
        <w:spacing w:line="400" w:lineRule="exact"/>
        <w:ind w:left="424" w:right="386" w:firstLine="479"/>
        <w:rPr>
          <w:color w:val="auto"/>
          <w:highlight w:val="none"/>
        </w:rPr>
      </w:pPr>
      <w:r>
        <w:rPr>
          <w:rFonts w:hint="eastAsia"/>
          <w:color w:val="auto"/>
          <w:spacing w:val="-15"/>
          <w:highlight w:val="none"/>
        </w:rPr>
        <w:t>（</w:t>
      </w:r>
      <w:r>
        <w:rPr>
          <w:color w:val="auto"/>
          <w:spacing w:val="-15"/>
          <w:highlight w:val="none"/>
        </w:rPr>
        <w:t>3</w:t>
      </w:r>
      <w:r>
        <w:rPr>
          <w:rFonts w:hint="eastAsia"/>
          <w:color w:val="auto"/>
          <w:spacing w:val="-15"/>
          <w:highlight w:val="none"/>
        </w:rPr>
        <w:t>）</w:t>
      </w:r>
      <w:r>
        <w:rPr>
          <w:rFonts w:hint="eastAsia"/>
          <w:color w:val="auto"/>
          <w:spacing w:val="-2"/>
          <w:highlight w:val="none"/>
        </w:rPr>
        <w:t>承包人雇用的劳务作业应加入到承包人的施工班组统一管理。有关施工质量、施工安全、施工进度、环境保护、技术方案、试验检测、材料保管与供应、机械设备等都必须由承包人管理与调配，不得以包代管。</w:t>
      </w:r>
    </w:p>
    <w:p>
      <w:pPr>
        <w:pStyle w:val="20"/>
        <w:spacing w:line="400" w:lineRule="exact"/>
        <w:ind w:left="424" w:right="386" w:firstLine="479"/>
        <w:rPr>
          <w:color w:val="auto"/>
          <w:highlight w:val="none"/>
        </w:rPr>
      </w:pPr>
      <w:r>
        <w:rPr>
          <w:rFonts w:hint="eastAsia"/>
          <w:color w:val="auto"/>
          <w:spacing w:val="-15"/>
          <w:highlight w:val="none"/>
        </w:rPr>
        <w:t>（</w:t>
      </w:r>
      <w:r>
        <w:rPr>
          <w:color w:val="auto"/>
          <w:spacing w:val="-15"/>
          <w:highlight w:val="none"/>
        </w:rPr>
        <w:t>4</w:t>
      </w:r>
      <w:r>
        <w:rPr>
          <w:rFonts w:hint="eastAsia"/>
          <w:color w:val="auto"/>
          <w:spacing w:val="-15"/>
          <w:highlight w:val="none"/>
        </w:rPr>
        <w:t>）</w:t>
      </w:r>
      <w:r>
        <w:rPr>
          <w:rFonts w:hint="eastAsia"/>
          <w:color w:val="auto"/>
          <w:spacing w:val="-2"/>
          <w:highlight w:val="none"/>
        </w:rPr>
        <w:t>承包人应当对劳务分包人员进行安全培训和管理，劳务分包人不得将其分包的劳务作业再次分包。</w:t>
      </w:r>
    </w:p>
    <w:p>
      <w:pPr>
        <w:pStyle w:val="20"/>
        <w:spacing w:line="400" w:lineRule="exact"/>
        <w:ind w:left="904" w:right="4979"/>
        <w:rPr>
          <w:color w:val="auto"/>
          <w:highlight w:val="none"/>
        </w:rPr>
      </w:pPr>
      <w:r>
        <w:rPr>
          <w:rFonts w:hint="eastAsia"/>
          <w:color w:val="auto"/>
          <w:highlight w:val="none"/>
        </w:rPr>
        <w:t>违反上述规定之一者属违规分包。</w:t>
      </w:r>
      <w:r>
        <w:rPr>
          <w:rFonts w:hint="eastAsia"/>
          <w:color w:val="auto"/>
          <w:spacing w:val="-10"/>
          <w:highlight w:val="none"/>
        </w:rPr>
        <w:t xml:space="preserve">本款补充第 </w:t>
      </w:r>
      <w:r>
        <w:rPr>
          <w:color w:val="auto"/>
          <w:highlight w:val="none"/>
        </w:rPr>
        <w:t xml:space="preserve">4.3.6 </w:t>
      </w:r>
      <w:r>
        <w:rPr>
          <w:rFonts w:hint="eastAsia"/>
          <w:color w:val="auto"/>
          <w:spacing w:val="-15"/>
          <w:highlight w:val="none"/>
        </w:rPr>
        <w:t xml:space="preserve">项、第 </w:t>
      </w:r>
      <w:r>
        <w:rPr>
          <w:color w:val="auto"/>
          <w:highlight w:val="none"/>
        </w:rPr>
        <w:t xml:space="preserve">4.3.7 </w:t>
      </w:r>
      <w:r>
        <w:rPr>
          <w:rFonts w:hint="eastAsia"/>
          <w:color w:val="auto"/>
          <w:highlight w:val="none"/>
        </w:rPr>
        <w:t>项：</w:t>
      </w:r>
    </w:p>
    <w:p>
      <w:pPr>
        <w:pStyle w:val="86"/>
        <w:numPr>
          <w:ilvl w:val="2"/>
          <w:numId w:val="20"/>
        </w:numPr>
        <w:tabs>
          <w:tab w:val="left" w:pos="1505"/>
        </w:tabs>
        <w:spacing w:line="400" w:lineRule="exact"/>
        <w:ind w:firstLine="480"/>
        <w:rPr>
          <w:color w:val="auto"/>
          <w:sz w:val="24"/>
          <w:szCs w:val="24"/>
          <w:highlight w:val="none"/>
        </w:rPr>
      </w:pPr>
      <w:r>
        <w:rPr>
          <w:rFonts w:hint="eastAsia"/>
          <w:color w:val="auto"/>
          <w:sz w:val="24"/>
          <w:szCs w:val="24"/>
          <w:highlight w:val="none"/>
        </w:rPr>
        <w:t>发包人对承包人与分包人之间的法律与经济纠纷不承担任何责任和义务。</w:t>
      </w:r>
    </w:p>
    <w:p>
      <w:pPr>
        <w:pStyle w:val="86"/>
        <w:numPr>
          <w:ilvl w:val="2"/>
          <w:numId w:val="20"/>
        </w:numPr>
        <w:tabs>
          <w:tab w:val="left" w:pos="1505"/>
        </w:tabs>
        <w:spacing w:line="400" w:lineRule="exact"/>
        <w:ind w:right="384" w:firstLine="480"/>
        <w:rPr>
          <w:color w:val="auto"/>
          <w:sz w:val="24"/>
          <w:szCs w:val="24"/>
          <w:highlight w:val="none"/>
        </w:rPr>
      </w:pPr>
      <w:r>
        <w:rPr>
          <w:rFonts w:hint="eastAsia"/>
          <w:color w:val="auto"/>
          <w:spacing w:val="-6"/>
          <w:sz w:val="24"/>
          <w:szCs w:val="24"/>
          <w:highlight w:val="none"/>
        </w:rPr>
        <w:t>本项目的各项分包工作均应遵守《公路工程施工分包管理办法》的有关规定。</w:t>
      </w:r>
    </w:p>
    <w:p>
      <w:pPr>
        <w:pStyle w:val="20"/>
        <w:spacing w:line="400" w:lineRule="exact"/>
        <w:rPr>
          <w:color w:val="auto"/>
          <w:highlight w:val="none"/>
        </w:rPr>
      </w:pPr>
    </w:p>
    <w:p>
      <w:pPr>
        <w:pStyle w:val="86"/>
        <w:numPr>
          <w:ilvl w:val="1"/>
          <w:numId w:val="20"/>
        </w:numPr>
        <w:tabs>
          <w:tab w:val="left" w:pos="845"/>
        </w:tabs>
        <w:spacing w:line="400" w:lineRule="exact"/>
        <w:ind w:left="844" w:hanging="420"/>
        <w:rPr>
          <w:color w:val="auto"/>
          <w:sz w:val="24"/>
          <w:szCs w:val="24"/>
          <w:highlight w:val="none"/>
        </w:rPr>
      </w:pPr>
      <w:bookmarkStart w:id="1905" w:name="_bookmark174"/>
      <w:bookmarkEnd w:id="1905"/>
      <w:bookmarkStart w:id="1906" w:name="_Toc24483"/>
      <w:bookmarkStart w:id="1907" w:name="_Toc19665"/>
      <w:bookmarkStart w:id="1908" w:name="_Toc21869"/>
      <w:bookmarkStart w:id="1909" w:name="_Toc8772"/>
      <w:bookmarkStart w:id="1910" w:name="_Toc22353"/>
      <w:bookmarkStart w:id="1911" w:name="_Toc16888"/>
      <w:bookmarkStart w:id="1912" w:name="_Toc22978"/>
      <w:bookmarkStart w:id="1913" w:name="_Toc1527"/>
      <w:bookmarkStart w:id="1914" w:name="_Toc19324"/>
      <w:r>
        <w:rPr>
          <w:rFonts w:hint="eastAsia" w:ascii="黑体" w:hAnsi="黑体" w:eastAsia="黑体" w:cs="黑体"/>
          <w:color w:val="auto"/>
          <w:sz w:val="24"/>
          <w:szCs w:val="24"/>
          <w:highlight w:val="none"/>
        </w:rPr>
        <w:t>联合体</w:t>
      </w:r>
      <w:bookmarkEnd w:id="1906"/>
      <w:bookmarkEnd w:id="1907"/>
      <w:bookmarkEnd w:id="1908"/>
      <w:bookmarkEnd w:id="1909"/>
      <w:bookmarkEnd w:id="1910"/>
      <w:bookmarkEnd w:id="1911"/>
      <w:bookmarkEnd w:id="1912"/>
      <w:bookmarkEnd w:id="1913"/>
      <w:bookmarkEnd w:id="191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4.4.4 </w:t>
      </w:r>
      <w:r>
        <w:rPr>
          <w:rFonts w:hint="eastAsia"/>
          <w:color w:val="auto"/>
          <w:highlight w:val="none"/>
        </w:rPr>
        <w:t>项：</w:t>
      </w:r>
    </w:p>
    <w:p>
      <w:pPr>
        <w:pStyle w:val="20"/>
        <w:spacing w:line="400" w:lineRule="exact"/>
        <w:ind w:left="904"/>
        <w:rPr>
          <w:color w:val="auto"/>
          <w:highlight w:val="none"/>
        </w:rPr>
      </w:pPr>
      <w:r>
        <w:rPr>
          <w:color w:val="auto"/>
          <w:highlight w:val="none"/>
        </w:rPr>
        <w:t xml:space="preserve">4.4.4 </w:t>
      </w:r>
      <w:r>
        <w:rPr>
          <w:rFonts w:hint="eastAsia"/>
          <w:color w:val="auto"/>
          <w:highlight w:val="none"/>
        </w:rPr>
        <w:t>未经发包人事先同意，联合体的组成与结构不得变动。</w:t>
      </w:r>
    </w:p>
    <w:p>
      <w:pPr>
        <w:pStyle w:val="20"/>
        <w:spacing w:line="400" w:lineRule="exact"/>
        <w:rPr>
          <w:color w:val="auto"/>
          <w:highlight w:val="none"/>
        </w:rPr>
      </w:pPr>
    </w:p>
    <w:p>
      <w:pPr>
        <w:pStyle w:val="86"/>
        <w:numPr>
          <w:ilvl w:val="1"/>
          <w:numId w:val="21"/>
        </w:numPr>
        <w:tabs>
          <w:tab w:val="left" w:pos="845"/>
        </w:tabs>
        <w:spacing w:line="400" w:lineRule="exact"/>
        <w:rPr>
          <w:color w:val="auto"/>
          <w:sz w:val="24"/>
          <w:szCs w:val="24"/>
          <w:highlight w:val="none"/>
        </w:rPr>
      </w:pPr>
      <w:bookmarkStart w:id="1915" w:name="_bookmark175"/>
      <w:bookmarkEnd w:id="1915"/>
      <w:bookmarkStart w:id="1916" w:name="_Toc12708"/>
      <w:bookmarkStart w:id="1917" w:name="_Toc32331"/>
      <w:bookmarkStart w:id="1918" w:name="_Toc18735"/>
      <w:bookmarkStart w:id="1919" w:name="_Toc29359"/>
      <w:bookmarkStart w:id="1920" w:name="_Toc2288"/>
      <w:bookmarkStart w:id="1921" w:name="_Toc13830"/>
      <w:bookmarkStart w:id="1922" w:name="_Toc21952"/>
      <w:bookmarkStart w:id="1923" w:name="_Toc28568"/>
      <w:bookmarkStart w:id="1924" w:name="_Toc32182"/>
      <w:r>
        <w:rPr>
          <w:rFonts w:hint="eastAsia"/>
          <w:b/>
          <w:bCs/>
          <w:color w:val="auto"/>
          <w:sz w:val="24"/>
          <w:szCs w:val="24"/>
          <w:highlight w:val="none"/>
        </w:rPr>
        <w:t>承包人人员的管理</w:t>
      </w:r>
      <w:bookmarkEnd w:id="1916"/>
      <w:bookmarkEnd w:id="1917"/>
      <w:bookmarkEnd w:id="1918"/>
      <w:bookmarkEnd w:id="1919"/>
      <w:bookmarkEnd w:id="1920"/>
      <w:bookmarkEnd w:id="1921"/>
      <w:bookmarkEnd w:id="1922"/>
      <w:bookmarkEnd w:id="1923"/>
      <w:bookmarkEnd w:id="192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4.6.3 </w:t>
      </w:r>
      <w:r>
        <w:rPr>
          <w:rFonts w:hint="eastAsia"/>
          <w:color w:val="auto"/>
          <w:highlight w:val="none"/>
        </w:rPr>
        <w:t>项细化为：</w:t>
      </w:r>
    </w:p>
    <w:p>
      <w:pPr>
        <w:pStyle w:val="20"/>
        <w:spacing w:line="400" w:lineRule="exact"/>
        <w:ind w:left="424" w:right="384" w:firstLine="479"/>
        <w:rPr>
          <w:color w:val="auto"/>
          <w:highlight w:val="none"/>
        </w:rPr>
      </w:pPr>
      <w:r>
        <w:rPr>
          <w:rFonts w:hint="eastAsia"/>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4.6.5 </w:t>
      </w:r>
      <w:r>
        <w:rPr>
          <w:rFonts w:hint="eastAsia"/>
          <w:color w:val="auto"/>
          <w:highlight w:val="none"/>
        </w:rPr>
        <w:t>项：</w:t>
      </w:r>
    </w:p>
    <w:p>
      <w:pPr>
        <w:pStyle w:val="20"/>
        <w:spacing w:line="400" w:lineRule="exact"/>
        <w:ind w:left="424" w:right="382" w:firstLine="479"/>
        <w:rPr>
          <w:color w:val="auto"/>
          <w:highlight w:val="none"/>
        </w:rPr>
      </w:pPr>
      <w:r>
        <w:rPr>
          <w:color w:val="auto"/>
          <w:highlight w:val="none"/>
        </w:rPr>
        <w:t xml:space="preserve">4.6.5 </w:t>
      </w:r>
      <w:r>
        <w:rPr>
          <w:rFonts w:hint="eastAsia"/>
          <w:color w:val="auto"/>
          <w:spacing w:val="-5"/>
          <w:highlight w:val="none"/>
        </w:rPr>
        <w:t>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pPr>
        <w:pStyle w:val="20"/>
        <w:spacing w:line="400" w:lineRule="exact"/>
        <w:rPr>
          <w:color w:val="auto"/>
          <w:highlight w:val="none"/>
        </w:rPr>
      </w:pPr>
    </w:p>
    <w:p>
      <w:pPr>
        <w:pStyle w:val="86"/>
        <w:numPr>
          <w:ilvl w:val="1"/>
          <w:numId w:val="21"/>
        </w:numPr>
        <w:tabs>
          <w:tab w:val="left" w:pos="845"/>
        </w:tabs>
        <w:spacing w:line="400" w:lineRule="exact"/>
        <w:rPr>
          <w:color w:val="auto"/>
          <w:sz w:val="24"/>
          <w:szCs w:val="24"/>
          <w:highlight w:val="none"/>
        </w:rPr>
      </w:pPr>
      <w:bookmarkStart w:id="1925" w:name="_bookmark176"/>
      <w:bookmarkEnd w:id="1925"/>
      <w:bookmarkStart w:id="1926" w:name="_Toc31224"/>
      <w:bookmarkStart w:id="1927" w:name="_Toc4082"/>
      <w:bookmarkStart w:id="1928" w:name="_Toc11748"/>
      <w:bookmarkStart w:id="1929" w:name="_Toc20708"/>
      <w:bookmarkStart w:id="1930" w:name="_Toc26384"/>
      <w:bookmarkStart w:id="1931" w:name="_Toc10596"/>
      <w:bookmarkStart w:id="1932" w:name="_Toc29232"/>
      <w:bookmarkStart w:id="1933" w:name="_Toc12010"/>
      <w:bookmarkStart w:id="1934" w:name="_Toc25589"/>
      <w:r>
        <w:rPr>
          <w:rFonts w:hint="eastAsia" w:ascii="黑体" w:hAnsi="黑体" w:eastAsia="黑体" w:cs="黑体"/>
          <w:color w:val="auto"/>
          <w:sz w:val="24"/>
          <w:szCs w:val="24"/>
          <w:highlight w:val="none"/>
        </w:rPr>
        <w:t>撤换承包人项目经理和其他人员</w:t>
      </w:r>
      <w:bookmarkEnd w:id="1926"/>
      <w:bookmarkEnd w:id="1927"/>
      <w:bookmarkEnd w:id="1928"/>
      <w:bookmarkEnd w:id="1929"/>
      <w:bookmarkEnd w:id="1930"/>
      <w:bookmarkEnd w:id="1931"/>
      <w:bookmarkEnd w:id="1932"/>
      <w:bookmarkEnd w:id="1933"/>
      <w:bookmarkEnd w:id="193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904"/>
        <w:rPr>
          <w:color w:val="auto"/>
          <w:highlight w:val="none"/>
        </w:rPr>
      </w:pPr>
      <w:r>
        <w:rPr>
          <w:rFonts w:hint="eastAsia"/>
          <w:color w:val="auto"/>
          <w:highlight w:val="none"/>
        </w:rPr>
        <w:t>承包人应对其项目经理和其他人员进行有效管理。监理人要求撤换不能胜任本</w:t>
      </w:r>
    </w:p>
    <w:p>
      <w:pPr>
        <w:pStyle w:val="20"/>
        <w:spacing w:line="400" w:lineRule="exact"/>
        <w:ind w:left="424" w:right="264"/>
        <w:rPr>
          <w:color w:val="auto"/>
          <w:highlight w:val="none"/>
        </w:rPr>
      </w:pPr>
      <w:r>
        <w:rPr>
          <w:rFonts w:hint="eastAsia"/>
          <w:color w:val="auto"/>
          <w:spacing w:val="-9"/>
          <w:highlight w:val="none"/>
        </w:rPr>
        <w:t>职工作、行为不端或玩忽职守的承包人项目经理和其他人员的，承包人应予以撤换， 同时委派经发包人与监理人同意的新的项目经理和其他人员。</w:t>
      </w:r>
    </w:p>
    <w:p>
      <w:pPr>
        <w:pStyle w:val="20"/>
        <w:spacing w:line="400" w:lineRule="exact"/>
        <w:rPr>
          <w:color w:val="auto"/>
          <w:highlight w:val="none"/>
        </w:rPr>
      </w:pPr>
    </w:p>
    <w:p>
      <w:pPr>
        <w:pStyle w:val="86"/>
        <w:numPr>
          <w:ilvl w:val="1"/>
          <w:numId w:val="22"/>
        </w:numPr>
        <w:tabs>
          <w:tab w:val="left" w:pos="845"/>
        </w:tabs>
        <w:spacing w:line="400" w:lineRule="exact"/>
        <w:rPr>
          <w:color w:val="auto"/>
          <w:sz w:val="24"/>
          <w:szCs w:val="24"/>
          <w:highlight w:val="none"/>
        </w:rPr>
      </w:pPr>
      <w:bookmarkStart w:id="1935" w:name="_bookmark177"/>
      <w:bookmarkEnd w:id="1935"/>
      <w:bookmarkStart w:id="1936" w:name="_Toc23713"/>
      <w:bookmarkStart w:id="1937" w:name="_Toc6629"/>
      <w:bookmarkStart w:id="1938" w:name="_Toc17190"/>
      <w:bookmarkStart w:id="1939" w:name="_Toc22220"/>
      <w:bookmarkStart w:id="1940" w:name="_Toc11648"/>
      <w:bookmarkStart w:id="1941" w:name="_Toc23212"/>
      <w:bookmarkStart w:id="1942" w:name="_Toc27238"/>
      <w:bookmarkStart w:id="1943" w:name="_Toc27866"/>
      <w:bookmarkStart w:id="1944" w:name="_Toc7831"/>
      <w:r>
        <w:rPr>
          <w:rFonts w:hint="eastAsia" w:ascii="黑体" w:hAnsi="黑体" w:eastAsia="黑体" w:cs="黑体"/>
          <w:color w:val="auto"/>
          <w:sz w:val="24"/>
          <w:szCs w:val="24"/>
          <w:highlight w:val="none"/>
        </w:rPr>
        <w:t>工程价款应专款专用</w:t>
      </w:r>
      <w:bookmarkEnd w:id="1936"/>
      <w:bookmarkEnd w:id="1937"/>
      <w:bookmarkEnd w:id="1938"/>
      <w:bookmarkEnd w:id="1939"/>
      <w:bookmarkEnd w:id="1940"/>
      <w:bookmarkEnd w:id="1941"/>
      <w:bookmarkEnd w:id="1942"/>
      <w:bookmarkEnd w:id="1943"/>
      <w:bookmarkEnd w:id="194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424" w:right="384" w:firstLine="479"/>
        <w:rPr>
          <w:color w:val="auto"/>
          <w:highlight w:val="none"/>
        </w:rPr>
      </w:pPr>
      <w:r>
        <w:rPr>
          <w:rFonts w:hint="eastAsia"/>
          <w:color w:val="auto"/>
          <w:highlight w:val="none"/>
        </w:rPr>
        <w:t>发包人按合同约定支付给承包人的各项价款应专用于合同工程。承包人必须在</w:t>
      </w:r>
      <w:r>
        <w:rPr>
          <w:rFonts w:hint="eastAsia"/>
          <w:color w:val="auto"/>
          <w:spacing w:val="-10"/>
          <w:highlight w:val="none"/>
        </w:rPr>
        <w:t>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pPr>
        <w:pStyle w:val="20"/>
        <w:spacing w:line="400" w:lineRule="exact"/>
        <w:rPr>
          <w:color w:val="auto"/>
          <w:highlight w:val="none"/>
        </w:rPr>
      </w:pPr>
    </w:p>
    <w:p>
      <w:pPr>
        <w:pStyle w:val="86"/>
        <w:numPr>
          <w:ilvl w:val="1"/>
          <w:numId w:val="22"/>
        </w:numPr>
        <w:tabs>
          <w:tab w:val="left" w:pos="965"/>
        </w:tabs>
        <w:spacing w:line="400" w:lineRule="exact"/>
        <w:ind w:left="964" w:hanging="540"/>
        <w:rPr>
          <w:color w:val="auto"/>
          <w:sz w:val="24"/>
          <w:szCs w:val="24"/>
          <w:highlight w:val="none"/>
        </w:rPr>
      </w:pPr>
      <w:bookmarkStart w:id="1945" w:name="_bookmark178"/>
      <w:bookmarkEnd w:id="1945"/>
      <w:bookmarkStart w:id="1946" w:name="_Toc22791"/>
      <w:bookmarkStart w:id="1947" w:name="_Toc18125"/>
      <w:bookmarkStart w:id="1948" w:name="_Toc22813"/>
      <w:bookmarkStart w:id="1949" w:name="_Toc23479"/>
      <w:bookmarkStart w:id="1950" w:name="_Toc16741"/>
      <w:bookmarkStart w:id="1951" w:name="_Toc21306"/>
      <w:bookmarkStart w:id="1952" w:name="_Toc12557"/>
      <w:bookmarkStart w:id="1953" w:name="_Toc21710"/>
      <w:bookmarkStart w:id="1954" w:name="_Toc20251"/>
      <w:bookmarkStart w:id="1955" w:name="_Toc23769"/>
      <w:r>
        <w:rPr>
          <w:rFonts w:hint="eastAsia" w:ascii="黑体" w:hAnsi="黑体" w:eastAsia="黑体" w:cs="黑体"/>
          <w:color w:val="auto"/>
          <w:sz w:val="24"/>
          <w:szCs w:val="24"/>
          <w:highlight w:val="none"/>
        </w:rPr>
        <w:t>承包人现场查勘</w:t>
      </w:r>
      <w:bookmarkEnd w:id="1946"/>
      <w:bookmarkEnd w:id="1947"/>
      <w:bookmarkEnd w:id="1948"/>
      <w:bookmarkEnd w:id="1949"/>
      <w:bookmarkEnd w:id="1950"/>
      <w:bookmarkEnd w:id="1951"/>
      <w:bookmarkEnd w:id="1952"/>
      <w:bookmarkEnd w:id="1953"/>
      <w:bookmarkEnd w:id="1954"/>
      <w:bookmarkEnd w:id="1955"/>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4.10.1 </w:t>
      </w:r>
      <w:r>
        <w:rPr>
          <w:rFonts w:hint="eastAsia"/>
          <w:color w:val="auto"/>
          <w:highlight w:val="none"/>
        </w:rPr>
        <w:t>项细化为：</w:t>
      </w:r>
    </w:p>
    <w:p>
      <w:pPr>
        <w:pStyle w:val="20"/>
        <w:spacing w:line="400" w:lineRule="exact"/>
        <w:ind w:left="424" w:right="387" w:firstLine="479"/>
        <w:rPr>
          <w:color w:val="auto"/>
          <w:highlight w:val="none"/>
        </w:rPr>
      </w:pPr>
      <w:r>
        <w:rPr>
          <w:rFonts w:hint="eastAsia"/>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pPr>
        <w:pStyle w:val="20"/>
        <w:spacing w:line="400" w:lineRule="exact"/>
        <w:rPr>
          <w:color w:val="auto"/>
          <w:highlight w:val="none"/>
        </w:rPr>
      </w:pPr>
    </w:p>
    <w:p>
      <w:pPr>
        <w:pStyle w:val="86"/>
        <w:numPr>
          <w:ilvl w:val="1"/>
          <w:numId w:val="22"/>
        </w:numPr>
        <w:tabs>
          <w:tab w:val="left" w:pos="965"/>
        </w:tabs>
        <w:spacing w:line="400" w:lineRule="exact"/>
        <w:ind w:left="964" w:hanging="540"/>
        <w:rPr>
          <w:color w:val="auto"/>
          <w:sz w:val="24"/>
          <w:szCs w:val="24"/>
          <w:highlight w:val="none"/>
        </w:rPr>
      </w:pPr>
      <w:bookmarkStart w:id="1956" w:name="_bookmark179"/>
      <w:bookmarkEnd w:id="1956"/>
      <w:bookmarkStart w:id="1957" w:name="_Toc10564"/>
      <w:bookmarkStart w:id="1958" w:name="_Toc7575"/>
      <w:bookmarkStart w:id="1959" w:name="_Toc18135"/>
      <w:bookmarkStart w:id="1960" w:name="_Toc64"/>
      <w:bookmarkStart w:id="1961" w:name="_Toc31056"/>
      <w:bookmarkStart w:id="1962" w:name="_Toc16879"/>
      <w:bookmarkStart w:id="1963" w:name="_Toc4458"/>
      <w:bookmarkStart w:id="1964" w:name="_Toc21173"/>
      <w:bookmarkStart w:id="1965" w:name="_Toc14154"/>
      <w:r>
        <w:rPr>
          <w:rFonts w:hint="eastAsia" w:ascii="黑体" w:hAnsi="黑体" w:eastAsia="黑体" w:cs="黑体"/>
          <w:color w:val="auto"/>
          <w:sz w:val="24"/>
          <w:szCs w:val="24"/>
          <w:highlight w:val="none"/>
        </w:rPr>
        <w:t>不利物质条件</w:t>
      </w:r>
      <w:bookmarkEnd w:id="1957"/>
      <w:bookmarkEnd w:id="1958"/>
      <w:bookmarkEnd w:id="1959"/>
      <w:bookmarkEnd w:id="1960"/>
      <w:bookmarkEnd w:id="1961"/>
      <w:bookmarkEnd w:id="1962"/>
      <w:bookmarkEnd w:id="1963"/>
      <w:bookmarkEnd w:id="1964"/>
      <w:bookmarkEnd w:id="1965"/>
    </w:p>
    <w:p>
      <w:pPr>
        <w:pStyle w:val="20"/>
        <w:spacing w:line="400" w:lineRule="exact"/>
        <w:ind w:left="424" w:right="387" w:firstLine="479"/>
        <w:rPr>
          <w:color w:val="auto"/>
          <w:highlight w:val="none"/>
        </w:rPr>
      </w:pPr>
      <w:r>
        <w:rPr>
          <w:rFonts w:hint="eastAsia"/>
          <w:color w:val="auto"/>
          <w:highlight w:val="none"/>
        </w:rPr>
        <w:t>第 4.11.2 项细化为：</w:t>
      </w:r>
    </w:p>
    <w:p>
      <w:pPr>
        <w:pStyle w:val="20"/>
        <w:spacing w:line="400" w:lineRule="exact"/>
        <w:ind w:left="424" w:right="387" w:firstLine="479"/>
        <w:rPr>
          <w:color w:val="auto"/>
          <w:highlight w:val="none"/>
        </w:rPr>
      </w:pPr>
      <w:r>
        <w:rPr>
          <w:rFonts w:hint="eastAsia"/>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pPr>
        <w:pStyle w:val="20"/>
        <w:spacing w:line="400" w:lineRule="exact"/>
        <w:ind w:left="424" w:right="387" w:firstLine="479"/>
        <w:rPr>
          <w:color w:val="auto"/>
          <w:highlight w:val="none"/>
        </w:rPr>
      </w:pPr>
      <w:r>
        <w:rPr>
          <w:rFonts w:hint="eastAsia"/>
          <w:color w:val="auto"/>
          <w:highlight w:val="none"/>
        </w:rPr>
        <w:t>本款补充第 4.11.3 项：</w:t>
      </w:r>
    </w:p>
    <w:p>
      <w:pPr>
        <w:pStyle w:val="20"/>
        <w:spacing w:line="400" w:lineRule="exact"/>
        <w:ind w:left="424" w:right="387" w:firstLine="479"/>
        <w:rPr>
          <w:color w:val="auto"/>
          <w:highlight w:val="none"/>
        </w:rPr>
      </w:pPr>
      <w:r>
        <w:rPr>
          <w:rFonts w:hint="eastAsia"/>
          <w:color w:val="auto"/>
          <w:highlight w:val="none"/>
        </w:rPr>
        <w:t>4.11.3可预见的不利物质条件</w:t>
      </w:r>
    </w:p>
    <w:p>
      <w:pPr>
        <w:pStyle w:val="20"/>
        <w:spacing w:line="400" w:lineRule="exact"/>
        <w:ind w:left="424" w:right="383" w:firstLine="419"/>
        <w:rPr>
          <w:color w:val="auto"/>
          <w:highlight w:val="none"/>
        </w:rPr>
      </w:pPr>
      <w:r>
        <w:rPr>
          <w:rFonts w:hint="eastAsia"/>
          <w:color w:val="auto"/>
          <w:spacing w:val="-8"/>
          <w:highlight w:val="none"/>
        </w:rPr>
        <w:t>（</w:t>
      </w:r>
      <w:r>
        <w:rPr>
          <w:color w:val="auto"/>
          <w:spacing w:val="-8"/>
          <w:highlight w:val="none"/>
        </w:rPr>
        <w:t>1</w:t>
      </w:r>
      <w:r>
        <w:rPr>
          <w:rFonts w:hint="eastAsia"/>
          <w:color w:val="auto"/>
          <w:spacing w:val="-8"/>
          <w:highlight w:val="none"/>
        </w:rPr>
        <w:t>）</w:t>
      </w:r>
      <w:r>
        <w:rPr>
          <w:rFonts w:hint="eastAsia"/>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pPr>
        <w:pStyle w:val="20"/>
        <w:spacing w:line="400" w:lineRule="exact"/>
        <w:rPr>
          <w:color w:val="auto"/>
          <w:highlight w:val="none"/>
        </w:rPr>
      </w:pPr>
    </w:p>
    <w:p>
      <w:pPr>
        <w:pStyle w:val="20"/>
        <w:spacing w:line="400" w:lineRule="exact"/>
        <w:ind w:left="424" w:right="382" w:firstLine="419"/>
        <w:rPr>
          <w:color w:val="auto"/>
          <w:highlight w:val="none"/>
        </w:rPr>
      </w:pPr>
      <w:r>
        <w:rPr>
          <w:rFonts w:hint="eastAsia"/>
          <w:color w:val="auto"/>
          <w:spacing w:val="-3"/>
          <w:highlight w:val="none"/>
        </w:rPr>
        <w:t>（</w:t>
      </w:r>
      <w:r>
        <w:rPr>
          <w:color w:val="auto"/>
          <w:spacing w:val="-3"/>
          <w:highlight w:val="none"/>
        </w:rPr>
        <w:t>2</w:t>
      </w:r>
      <w:r>
        <w:rPr>
          <w:rFonts w:hint="eastAsia"/>
          <w:color w:val="auto"/>
          <w:spacing w:val="-3"/>
          <w:highlight w:val="none"/>
        </w:rPr>
        <w:t>）</w:t>
      </w:r>
      <w:r>
        <w:rPr>
          <w:rFonts w:hint="eastAsia"/>
          <w:color w:val="auto"/>
          <w:spacing w:val="-2"/>
          <w:highlight w:val="none"/>
        </w:rPr>
        <w:t>对于项目专用合同条款未明确指出，但是在不利物质条件发生之前，监理人已经指示承包人有可能发生，但承包人未能及时采取有效措施，而导致的损失和后果均由承包人承担。</w:t>
      </w:r>
    </w:p>
    <w:p>
      <w:pPr>
        <w:pStyle w:val="20"/>
        <w:spacing w:line="400" w:lineRule="exact"/>
        <w:rPr>
          <w:color w:val="auto"/>
          <w:highlight w:val="none"/>
        </w:rPr>
      </w:pPr>
    </w:p>
    <w:p>
      <w:pPr>
        <w:pStyle w:val="20"/>
        <w:spacing w:line="400" w:lineRule="exact"/>
        <w:ind w:left="424"/>
        <w:rPr>
          <w:color w:val="auto"/>
          <w:highlight w:val="none"/>
        </w:rPr>
      </w:pPr>
      <w:r>
        <w:rPr>
          <w:rFonts w:hint="eastAsia"/>
          <w:color w:val="auto"/>
          <w:highlight w:val="none"/>
        </w:rPr>
        <w:t xml:space="preserve">补充第 </w:t>
      </w:r>
      <w:r>
        <w:rPr>
          <w:color w:val="auto"/>
          <w:highlight w:val="none"/>
        </w:rPr>
        <w:t xml:space="preserve">4.12 </w:t>
      </w:r>
      <w:r>
        <w:rPr>
          <w:rFonts w:hint="eastAsia"/>
          <w:color w:val="auto"/>
          <w:highlight w:val="none"/>
        </w:rPr>
        <w:t xml:space="preserve">款、第 </w:t>
      </w:r>
      <w:r>
        <w:rPr>
          <w:color w:val="auto"/>
          <w:highlight w:val="none"/>
        </w:rPr>
        <w:t xml:space="preserve">4.13 </w:t>
      </w:r>
      <w:r>
        <w:rPr>
          <w:rFonts w:hint="eastAsia"/>
          <w:color w:val="auto"/>
          <w:highlight w:val="none"/>
        </w:rPr>
        <w:t>款：</w:t>
      </w:r>
    </w:p>
    <w:p>
      <w:pPr>
        <w:pStyle w:val="20"/>
        <w:spacing w:line="400" w:lineRule="exact"/>
        <w:rPr>
          <w:color w:val="auto"/>
          <w:highlight w:val="none"/>
        </w:rPr>
      </w:pPr>
    </w:p>
    <w:p>
      <w:pPr>
        <w:pStyle w:val="86"/>
        <w:numPr>
          <w:ilvl w:val="1"/>
          <w:numId w:val="22"/>
        </w:numPr>
        <w:tabs>
          <w:tab w:val="left" w:pos="965"/>
        </w:tabs>
        <w:spacing w:line="400" w:lineRule="exact"/>
        <w:ind w:left="964" w:hanging="540"/>
        <w:rPr>
          <w:rFonts w:ascii="黑体" w:hAnsi="黑体" w:eastAsia="黑体" w:cs="黑体"/>
          <w:color w:val="auto"/>
          <w:sz w:val="24"/>
          <w:szCs w:val="24"/>
          <w:highlight w:val="none"/>
        </w:rPr>
      </w:pPr>
      <w:bookmarkStart w:id="1966" w:name="_bookmark180"/>
      <w:bookmarkEnd w:id="1966"/>
      <w:bookmarkStart w:id="1967" w:name="_Toc20704"/>
      <w:bookmarkStart w:id="1968" w:name="_Toc13216"/>
      <w:bookmarkStart w:id="1969" w:name="_Toc3531"/>
      <w:bookmarkStart w:id="1970" w:name="_Toc877"/>
      <w:bookmarkStart w:id="1971" w:name="_Toc3371"/>
      <w:bookmarkStart w:id="1972" w:name="_Toc4366"/>
      <w:bookmarkStart w:id="1973" w:name="_Toc12578"/>
      <w:bookmarkStart w:id="1974" w:name="_Toc10655"/>
      <w:bookmarkStart w:id="1975" w:name="_Toc1135"/>
      <w:r>
        <w:rPr>
          <w:rFonts w:hint="eastAsia" w:ascii="黑体" w:hAnsi="黑体" w:eastAsia="黑体" w:cs="黑体"/>
          <w:color w:val="auto"/>
          <w:sz w:val="24"/>
          <w:szCs w:val="24"/>
          <w:highlight w:val="none"/>
        </w:rPr>
        <w:t>投标文件的完备性</w:t>
      </w:r>
      <w:bookmarkEnd w:id="1967"/>
      <w:bookmarkEnd w:id="1968"/>
      <w:bookmarkEnd w:id="1969"/>
      <w:bookmarkEnd w:id="1970"/>
      <w:bookmarkEnd w:id="1971"/>
      <w:bookmarkEnd w:id="1972"/>
      <w:bookmarkEnd w:id="1973"/>
      <w:bookmarkEnd w:id="1974"/>
      <w:bookmarkEnd w:id="1975"/>
    </w:p>
    <w:p>
      <w:pPr>
        <w:pStyle w:val="20"/>
        <w:spacing w:line="400" w:lineRule="exact"/>
        <w:rPr>
          <w:color w:val="auto"/>
          <w:highlight w:val="none"/>
        </w:rPr>
      </w:pPr>
    </w:p>
    <w:p>
      <w:pPr>
        <w:pStyle w:val="20"/>
        <w:spacing w:line="400" w:lineRule="exact"/>
        <w:ind w:left="424" w:right="388" w:firstLine="479"/>
        <w:rPr>
          <w:color w:val="auto"/>
          <w:highlight w:val="none"/>
        </w:rPr>
      </w:pPr>
      <w:r>
        <w:rPr>
          <w:rFonts w:hint="eastAsia"/>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pPr>
        <w:pStyle w:val="20"/>
        <w:spacing w:line="400" w:lineRule="exact"/>
        <w:rPr>
          <w:color w:val="auto"/>
          <w:highlight w:val="none"/>
        </w:rPr>
      </w:pPr>
    </w:p>
    <w:p>
      <w:pPr>
        <w:pStyle w:val="86"/>
        <w:numPr>
          <w:ilvl w:val="1"/>
          <w:numId w:val="22"/>
        </w:numPr>
        <w:tabs>
          <w:tab w:val="left" w:pos="965"/>
        </w:tabs>
        <w:spacing w:line="400" w:lineRule="exact"/>
        <w:ind w:left="964" w:hanging="540"/>
        <w:rPr>
          <w:rFonts w:ascii="黑体" w:hAnsi="黑体" w:eastAsia="黑体" w:cs="黑体"/>
          <w:color w:val="auto"/>
          <w:sz w:val="24"/>
          <w:szCs w:val="24"/>
          <w:highlight w:val="none"/>
        </w:rPr>
      </w:pPr>
      <w:bookmarkStart w:id="1976" w:name="_bookmark181"/>
      <w:bookmarkEnd w:id="1976"/>
      <w:bookmarkStart w:id="1977" w:name="_Toc6941"/>
      <w:bookmarkStart w:id="1978" w:name="_Toc28145"/>
      <w:bookmarkStart w:id="1979" w:name="_Toc1523"/>
      <w:bookmarkStart w:id="1980" w:name="_Toc17412"/>
      <w:bookmarkStart w:id="1981" w:name="_Toc29767"/>
      <w:bookmarkStart w:id="1982" w:name="_Toc31165"/>
      <w:bookmarkStart w:id="1983" w:name="_Toc8708"/>
      <w:bookmarkStart w:id="1984" w:name="_Toc9117"/>
      <w:bookmarkStart w:id="1985" w:name="_Toc5267"/>
      <w:r>
        <w:rPr>
          <w:rFonts w:hint="eastAsia" w:ascii="黑体" w:hAnsi="黑体" w:eastAsia="黑体" w:cs="黑体"/>
          <w:color w:val="auto"/>
          <w:sz w:val="24"/>
          <w:szCs w:val="24"/>
          <w:highlight w:val="none"/>
        </w:rPr>
        <w:t>开展党建工作要求</w:t>
      </w:r>
      <w:bookmarkEnd w:id="1977"/>
      <w:bookmarkEnd w:id="1978"/>
      <w:bookmarkEnd w:id="1979"/>
      <w:bookmarkEnd w:id="1980"/>
      <w:bookmarkEnd w:id="1981"/>
      <w:bookmarkEnd w:id="1982"/>
      <w:bookmarkEnd w:id="1983"/>
      <w:bookmarkEnd w:id="1984"/>
      <w:bookmarkEnd w:id="1985"/>
    </w:p>
    <w:p>
      <w:pPr>
        <w:pStyle w:val="20"/>
        <w:spacing w:line="400" w:lineRule="exact"/>
        <w:rPr>
          <w:color w:val="auto"/>
          <w:highlight w:val="none"/>
        </w:rPr>
      </w:pPr>
    </w:p>
    <w:p>
      <w:pPr>
        <w:pStyle w:val="20"/>
        <w:spacing w:line="400" w:lineRule="exact"/>
        <w:ind w:left="424" w:right="387" w:firstLine="479"/>
        <w:rPr>
          <w:color w:val="auto"/>
          <w:highlight w:val="none"/>
        </w:rPr>
      </w:pPr>
      <w:r>
        <w:rPr>
          <w:rFonts w:hint="eastAsia"/>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pPr>
        <w:pStyle w:val="20"/>
        <w:spacing w:line="400" w:lineRule="exact"/>
        <w:ind w:left="424" w:right="387" w:firstLine="479"/>
        <w:rPr>
          <w:color w:val="auto"/>
          <w:highlight w:val="none"/>
        </w:rPr>
      </w:pPr>
      <w:r>
        <w:rPr>
          <w:rFonts w:hint="eastAsia"/>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Style w:val="20"/>
        <w:spacing w:line="400" w:lineRule="exact"/>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1986" w:name="_bookmark182"/>
      <w:bookmarkEnd w:id="1986"/>
      <w:bookmarkStart w:id="1987" w:name="_Toc22651"/>
      <w:bookmarkStart w:id="1988" w:name="_Toc13444"/>
      <w:bookmarkStart w:id="1989" w:name="_Toc18841"/>
      <w:bookmarkStart w:id="1990" w:name="_Toc6136"/>
      <w:bookmarkStart w:id="1991" w:name="_Toc21945"/>
      <w:bookmarkStart w:id="1992" w:name="_Toc10880"/>
      <w:bookmarkStart w:id="1993" w:name="_Toc28445"/>
      <w:bookmarkStart w:id="1994" w:name="_Toc9869"/>
      <w:bookmarkStart w:id="1995" w:name="_Toc4167"/>
      <w:bookmarkStart w:id="1996" w:name="_Toc11963"/>
      <w:bookmarkStart w:id="1997" w:name="_Toc1728"/>
      <w:bookmarkStart w:id="1998" w:name="_Toc22309"/>
      <w:bookmarkStart w:id="1999" w:name="_Toc28301"/>
      <w:bookmarkStart w:id="2000" w:name="_Toc28191"/>
      <w:bookmarkStart w:id="2001" w:name="_Toc10373"/>
      <w:bookmarkStart w:id="2002" w:name="_Toc15955"/>
      <w:bookmarkStart w:id="2003" w:name="_Toc3860"/>
      <w:r>
        <w:rPr>
          <w:rFonts w:hint="eastAsia" w:ascii="黑体" w:hAnsi="黑体" w:eastAsia="黑体" w:cs="黑体"/>
          <w:color w:val="auto"/>
          <w:spacing w:val="-1"/>
          <w:sz w:val="24"/>
          <w:szCs w:val="24"/>
          <w:highlight w:val="none"/>
        </w:rPr>
        <w:t>材料和工程设备</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Style w:val="20"/>
        <w:spacing w:line="400" w:lineRule="exact"/>
        <w:rPr>
          <w:rFonts w:ascii="黑体" w:hAnsi="黑体" w:eastAsia="黑体" w:cs="黑体"/>
          <w:color w:val="auto"/>
          <w:highlight w:val="none"/>
        </w:rPr>
      </w:pPr>
    </w:p>
    <w:p>
      <w:pPr>
        <w:pStyle w:val="20"/>
        <w:spacing w:line="400" w:lineRule="exact"/>
        <w:ind w:left="424"/>
        <w:rPr>
          <w:color w:val="auto"/>
          <w:highlight w:val="none"/>
        </w:rPr>
      </w:pPr>
      <w:bookmarkStart w:id="2004" w:name="_bookmark183"/>
      <w:bookmarkEnd w:id="2004"/>
      <w:bookmarkStart w:id="2005" w:name="_Toc6117"/>
      <w:bookmarkStart w:id="2006" w:name="_Toc17860"/>
      <w:bookmarkStart w:id="2007" w:name="_Toc8293"/>
      <w:bookmarkStart w:id="2008" w:name="_Toc719"/>
      <w:bookmarkStart w:id="2009" w:name="_Toc24580"/>
      <w:bookmarkStart w:id="2010" w:name="_Toc12469"/>
      <w:bookmarkStart w:id="2011" w:name="_Toc14814"/>
      <w:bookmarkStart w:id="2012" w:name="_Toc28163"/>
      <w:bookmarkStart w:id="2013" w:name="_Toc26118"/>
      <w:r>
        <w:rPr>
          <w:rFonts w:hint="eastAsia" w:ascii="黑体" w:hAnsi="黑体" w:eastAsia="黑体" w:cs="黑体"/>
          <w:color w:val="auto"/>
          <w:highlight w:val="none"/>
        </w:rPr>
        <w:t>5.2发包人提供的材料和工程设备</w:t>
      </w:r>
      <w:bookmarkEnd w:id="2005"/>
      <w:bookmarkEnd w:id="2006"/>
      <w:bookmarkEnd w:id="2007"/>
      <w:bookmarkEnd w:id="2008"/>
      <w:bookmarkEnd w:id="2009"/>
      <w:bookmarkEnd w:id="2010"/>
      <w:bookmarkEnd w:id="2011"/>
      <w:bookmarkEnd w:id="2012"/>
      <w:bookmarkEnd w:id="2013"/>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5.2.3 </w:t>
      </w:r>
      <w:r>
        <w:rPr>
          <w:rFonts w:hint="eastAsia"/>
          <w:color w:val="auto"/>
          <w:highlight w:val="none"/>
        </w:rPr>
        <w:t>项补充：</w:t>
      </w:r>
    </w:p>
    <w:p>
      <w:pPr>
        <w:pStyle w:val="20"/>
        <w:spacing w:line="400" w:lineRule="exact"/>
        <w:ind w:left="424" w:right="388" w:firstLine="479"/>
        <w:rPr>
          <w:color w:val="auto"/>
          <w:highlight w:val="none"/>
        </w:rPr>
      </w:pPr>
      <w:r>
        <w:rPr>
          <w:rFonts w:hint="eastAsia"/>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pPr>
        <w:spacing w:line="400" w:lineRule="exact"/>
        <w:rPr>
          <w:color w:val="auto"/>
          <w:sz w:val="24"/>
          <w:szCs w:val="24"/>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2014" w:name="_bookmark184"/>
      <w:bookmarkEnd w:id="2014"/>
      <w:bookmarkStart w:id="2015" w:name="_Toc6373"/>
      <w:bookmarkStart w:id="2016" w:name="_Toc5043"/>
      <w:bookmarkStart w:id="2017" w:name="_Toc23772"/>
      <w:bookmarkStart w:id="2018" w:name="_Toc8710"/>
      <w:bookmarkStart w:id="2019" w:name="_Toc31719"/>
      <w:bookmarkStart w:id="2020" w:name="_Toc24422"/>
      <w:bookmarkStart w:id="2021" w:name="_Toc11653"/>
      <w:bookmarkStart w:id="2022" w:name="_Toc20244"/>
      <w:bookmarkStart w:id="2023" w:name="_Toc26459"/>
      <w:bookmarkStart w:id="2024" w:name="_Toc17267"/>
      <w:bookmarkStart w:id="2025" w:name="_Toc22948"/>
      <w:bookmarkStart w:id="2026" w:name="_Toc12322"/>
      <w:bookmarkStart w:id="2027" w:name="_Toc21593"/>
      <w:bookmarkStart w:id="2028" w:name="_Toc29636"/>
      <w:bookmarkStart w:id="2029" w:name="_Toc19876"/>
      <w:bookmarkStart w:id="2030" w:name="_Toc25083"/>
      <w:bookmarkStart w:id="2031" w:name="_Toc21609"/>
      <w:r>
        <w:rPr>
          <w:rFonts w:hint="eastAsia" w:ascii="黑体" w:hAnsi="黑体" w:eastAsia="黑体" w:cs="黑体"/>
          <w:color w:val="auto"/>
          <w:spacing w:val="-2"/>
          <w:sz w:val="24"/>
          <w:szCs w:val="24"/>
          <w:highlight w:val="none"/>
        </w:rPr>
        <w:t>施工设备和临时设施</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pPr>
        <w:pStyle w:val="20"/>
        <w:spacing w:line="400" w:lineRule="exact"/>
        <w:rPr>
          <w:rFonts w:ascii="黑体" w:hAnsi="黑体" w:eastAsia="黑体" w:cs="黑体"/>
          <w:color w:val="auto"/>
          <w:highlight w:val="none"/>
        </w:rPr>
      </w:pPr>
    </w:p>
    <w:p>
      <w:pPr>
        <w:pStyle w:val="86"/>
        <w:numPr>
          <w:ilvl w:val="1"/>
          <w:numId w:val="15"/>
        </w:numPr>
        <w:tabs>
          <w:tab w:val="left" w:pos="845"/>
        </w:tabs>
        <w:spacing w:line="400" w:lineRule="exact"/>
        <w:rPr>
          <w:color w:val="auto"/>
          <w:sz w:val="24"/>
          <w:szCs w:val="24"/>
          <w:highlight w:val="none"/>
        </w:rPr>
      </w:pPr>
      <w:bookmarkStart w:id="2032" w:name="_bookmark185"/>
      <w:bookmarkEnd w:id="2032"/>
      <w:bookmarkStart w:id="2033" w:name="_Toc17853"/>
      <w:bookmarkStart w:id="2034" w:name="_Toc21430"/>
      <w:bookmarkStart w:id="2035" w:name="_Toc1773"/>
      <w:bookmarkStart w:id="2036" w:name="_Toc29620"/>
      <w:bookmarkStart w:id="2037" w:name="_Toc887"/>
      <w:bookmarkStart w:id="2038" w:name="_Toc3172"/>
      <w:bookmarkStart w:id="2039" w:name="_Toc13688"/>
      <w:bookmarkStart w:id="2040" w:name="_Toc2251"/>
      <w:bookmarkStart w:id="2041" w:name="_Toc9136"/>
      <w:r>
        <w:rPr>
          <w:rFonts w:hint="eastAsia" w:ascii="黑体" w:hAnsi="黑体" w:eastAsia="黑体" w:cs="黑体"/>
          <w:color w:val="auto"/>
          <w:sz w:val="24"/>
          <w:szCs w:val="24"/>
          <w:highlight w:val="none"/>
        </w:rPr>
        <w:t>承包人提供的施工设备和临时设施</w:t>
      </w:r>
      <w:bookmarkEnd w:id="2033"/>
      <w:bookmarkEnd w:id="2034"/>
      <w:bookmarkEnd w:id="2035"/>
      <w:bookmarkEnd w:id="2036"/>
      <w:bookmarkEnd w:id="2037"/>
      <w:bookmarkEnd w:id="2038"/>
      <w:bookmarkEnd w:id="2039"/>
      <w:bookmarkEnd w:id="2040"/>
      <w:bookmarkEnd w:id="2041"/>
    </w:p>
    <w:p>
      <w:pPr>
        <w:pStyle w:val="20"/>
        <w:spacing w:line="400" w:lineRule="exact"/>
        <w:rPr>
          <w:color w:val="auto"/>
          <w:highlight w:val="none"/>
        </w:rPr>
      </w:pPr>
    </w:p>
    <w:p>
      <w:pPr>
        <w:pStyle w:val="20"/>
        <w:spacing w:line="400" w:lineRule="exact"/>
        <w:ind w:left="844"/>
        <w:rPr>
          <w:color w:val="auto"/>
          <w:highlight w:val="none"/>
        </w:rPr>
      </w:pPr>
      <w:r>
        <w:rPr>
          <w:rFonts w:hint="eastAsia"/>
          <w:color w:val="auto"/>
          <w:highlight w:val="none"/>
        </w:rPr>
        <w:t xml:space="preserve">第 </w:t>
      </w:r>
      <w:r>
        <w:rPr>
          <w:color w:val="auto"/>
          <w:highlight w:val="none"/>
        </w:rPr>
        <w:t xml:space="preserve">6.1.2 </w:t>
      </w:r>
      <w:r>
        <w:rPr>
          <w:rFonts w:hint="eastAsia"/>
          <w:color w:val="auto"/>
          <w:highlight w:val="none"/>
        </w:rPr>
        <w:t>项约定为：</w:t>
      </w:r>
    </w:p>
    <w:p>
      <w:pPr>
        <w:pStyle w:val="20"/>
        <w:spacing w:line="400" w:lineRule="exact"/>
        <w:ind w:left="904"/>
        <w:rPr>
          <w:color w:val="auto"/>
          <w:highlight w:val="none"/>
        </w:rPr>
      </w:pPr>
      <w:r>
        <w:rPr>
          <w:rFonts w:hint="eastAsia"/>
          <w:color w:val="auto"/>
          <w:highlight w:val="none"/>
        </w:rPr>
        <w:t>承包人应自行承担修建临时设施的费用，需要临时占地的，应由承包人按第</w:t>
      </w:r>
    </w:p>
    <w:p>
      <w:pPr>
        <w:pStyle w:val="20"/>
        <w:spacing w:line="400" w:lineRule="exact"/>
        <w:ind w:left="424"/>
        <w:rPr>
          <w:color w:val="auto"/>
          <w:highlight w:val="none"/>
        </w:rPr>
      </w:pPr>
      <w:r>
        <w:rPr>
          <w:color w:val="auto"/>
          <w:highlight w:val="none"/>
        </w:rPr>
        <w:t xml:space="preserve">4.1.10 </w:t>
      </w:r>
      <w:r>
        <w:rPr>
          <w:rFonts w:hint="eastAsia"/>
          <w:color w:val="auto"/>
          <w:highlight w:val="none"/>
        </w:rPr>
        <w:t>项（</w:t>
      </w:r>
      <w:r>
        <w:rPr>
          <w:color w:val="auto"/>
          <w:highlight w:val="none"/>
        </w:rPr>
        <w:t>1</w:t>
      </w:r>
      <w:r>
        <w:rPr>
          <w:rFonts w:hint="eastAsia"/>
          <w:color w:val="auto"/>
          <w:highlight w:val="none"/>
        </w:rPr>
        <w:t>）目的规定办理。</w:t>
      </w:r>
    </w:p>
    <w:p>
      <w:pPr>
        <w:pStyle w:val="20"/>
        <w:spacing w:line="400" w:lineRule="exact"/>
        <w:rPr>
          <w:color w:val="auto"/>
          <w:highlight w:val="none"/>
        </w:rPr>
      </w:pPr>
    </w:p>
    <w:p>
      <w:pPr>
        <w:pStyle w:val="20"/>
        <w:spacing w:line="400" w:lineRule="exact"/>
        <w:ind w:left="424"/>
        <w:rPr>
          <w:color w:val="auto"/>
          <w:highlight w:val="none"/>
        </w:rPr>
      </w:pPr>
      <w:bookmarkStart w:id="2042" w:name="_bookmark186"/>
      <w:bookmarkEnd w:id="2042"/>
      <w:bookmarkStart w:id="2043" w:name="_Toc12153"/>
      <w:bookmarkStart w:id="2044" w:name="_Toc28874"/>
      <w:bookmarkStart w:id="2045" w:name="_Toc3363"/>
      <w:bookmarkStart w:id="2046" w:name="_Toc1004"/>
      <w:bookmarkStart w:id="2047" w:name="_Toc1195"/>
      <w:bookmarkStart w:id="2048" w:name="_Toc23382"/>
      <w:bookmarkStart w:id="2049" w:name="_Toc30163"/>
      <w:bookmarkStart w:id="2050" w:name="_Toc8743"/>
      <w:bookmarkStart w:id="2051" w:name="_Toc2393"/>
      <w:r>
        <w:rPr>
          <w:rFonts w:hint="eastAsia" w:ascii="黑体" w:hAnsi="黑体" w:eastAsia="黑体" w:cs="黑体"/>
          <w:color w:val="auto"/>
          <w:highlight w:val="none"/>
        </w:rPr>
        <w:t>6.3要求承包人增加或更换施工设备</w:t>
      </w:r>
      <w:bookmarkEnd w:id="2043"/>
      <w:bookmarkEnd w:id="2044"/>
      <w:bookmarkEnd w:id="2045"/>
      <w:bookmarkEnd w:id="2046"/>
      <w:bookmarkEnd w:id="2047"/>
      <w:bookmarkEnd w:id="2048"/>
      <w:bookmarkEnd w:id="2049"/>
      <w:bookmarkEnd w:id="2050"/>
      <w:bookmarkEnd w:id="2051"/>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424" w:right="389" w:firstLine="479"/>
        <w:rPr>
          <w:color w:val="auto"/>
          <w:highlight w:val="none"/>
        </w:rPr>
      </w:pPr>
      <w:r>
        <w:rPr>
          <w:rFonts w:hint="eastAsia"/>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pStyle w:val="20"/>
        <w:spacing w:line="400" w:lineRule="exact"/>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2052" w:name="_bookmark187"/>
      <w:bookmarkEnd w:id="2052"/>
      <w:bookmarkStart w:id="2053" w:name="_Toc1466"/>
      <w:bookmarkStart w:id="2054" w:name="_Toc22453"/>
      <w:bookmarkStart w:id="2055" w:name="_Toc13006"/>
      <w:bookmarkStart w:id="2056" w:name="_Toc22570"/>
      <w:bookmarkStart w:id="2057" w:name="_Toc27296"/>
      <w:bookmarkStart w:id="2058" w:name="_Toc22127"/>
      <w:bookmarkStart w:id="2059" w:name="_Toc3588"/>
      <w:bookmarkStart w:id="2060" w:name="_Toc11605"/>
      <w:bookmarkStart w:id="2061" w:name="_Toc6542"/>
      <w:bookmarkStart w:id="2062" w:name="_Toc7927"/>
      <w:bookmarkStart w:id="2063" w:name="_Toc701"/>
      <w:bookmarkStart w:id="2064" w:name="_Toc11283"/>
      <w:bookmarkStart w:id="2065" w:name="_Toc21308"/>
      <w:bookmarkStart w:id="2066" w:name="_Toc4294"/>
      <w:bookmarkStart w:id="2067" w:name="_Toc14392"/>
      <w:bookmarkStart w:id="2068" w:name="_Toc25295"/>
      <w:bookmarkStart w:id="2069" w:name="_Toc19921"/>
      <w:r>
        <w:rPr>
          <w:rFonts w:hint="eastAsia" w:ascii="黑体" w:hAnsi="黑体" w:eastAsia="黑体" w:cs="黑体"/>
          <w:color w:val="auto"/>
          <w:sz w:val="24"/>
          <w:szCs w:val="24"/>
          <w:highlight w:val="none"/>
        </w:rPr>
        <w:t>交通运输</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pPr>
        <w:pStyle w:val="20"/>
        <w:spacing w:line="400" w:lineRule="exact"/>
        <w:rPr>
          <w:rFonts w:ascii="黑体" w:hAnsi="黑体" w:eastAsia="黑体" w:cs="黑体"/>
          <w:color w:val="auto"/>
          <w:highlight w:val="none"/>
        </w:rPr>
      </w:pPr>
    </w:p>
    <w:p>
      <w:pPr>
        <w:pStyle w:val="86"/>
        <w:numPr>
          <w:ilvl w:val="1"/>
          <w:numId w:val="15"/>
        </w:numPr>
        <w:tabs>
          <w:tab w:val="left" w:pos="845"/>
        </w:tabs>
        <w:spacing w:line="400" w:lineRule="exact"/>
        <w:rPr>
          <w:color w:val="auto"/>
          <w:sz w:val="24"/>
          <w:szCs w:val="24"/>
          <w:highlight w:val="none"/>
        </w:rPr>
      </w:pPr>
      <w:bookmarkStart w:id="2070" w:name="_bookmark188"/>
      <w:bookmarkEnd w:id="2070"/>
      <w:bookmarkStart w:id="2071" w:name="_Toc27749"/>
      <w:bookmarkStart w:id="2072" w:name="_Toc28313"/>
      <w:bookmarkStart w:id="2073" w:name="_Toc10237"/>
      <w:bookmarkStart w:id="2074" w:name="_Toc23040"/>
      <w:bookmarkStart w:id="2075" w:name="_Toc20160"/>
      <w:bookmarkStart w:id="2076" w:name="_Toc30982"/>
      <w:bookmarkStart w:id="2077" w:name="_Toc5761"/>
      <w:bookmarkStart w:id="2078" w:name="_Toc4349"/>
      <w:bookmarkStart w:id="2079" w:name="_Toc27133"/>
      <w:r>
        <w:rPr>
          <w:rFonts w:hint="eastAsia" w:ascii="黑体" w:hAnsi="黑体" w:eastAsia="黑体" w:cs="黑体"/>
          <w:color w:val="auto"/>
          <w:sz w:val="24"/>
          <w:szCs w:val="24"/>
          <w:highlight w:val="none"/>
        </w:rPr>
        <w:t>道路通行权和场外设施</w:t>
      </w:r>
      <w:bookmarkEnd w:id="2071"/>
      <w:bookmarkEnd w:id="2072"/>
      <w:bookmarkEnd w:id="2073"/>
      <w:bookmarkEnd w:id="2074"/>
      <w:bookmarkEnd w:id="2075"/>
      <w:bookmarkEnd w:id="2076"/>
      <w:bookmarkEnd w:id="2077"/>
      <w:bookmarkEnd w:id="2078"/>
      <w:bookmarkEnd w:id="2079"/>
    </w:p>
    <w:p>
      <w:pPr>
        <w:pStyle w:val="20"/>
        <w:spacing w:line="400" w:lineRule="exact"/>
        <w:rPr>
          <w:color w:val="auto"/>
          <w:highlight w:val="none"/>
        </w:rPr>
      </w:pPr>
    </w:p>
    <w:p>
      <w:pPr>
        <w:pStyle w:val="20"/>
        <w:spacing w:line="400" w:lineRule="exact"/>
        <w:ind w:left="844"/>
        <w:rPr>
          <w:color w:val="auto"/>
          <w:highlight w:val="none"/>
        </w:rPr>
      </w:pPr>
      <w:r>
        <w:rPr>
          <w:rFonts w:hint="eastAsia"/>
          <w:color w:val="auto"/>
          <w:highlight w:val="none"/>
        </w:rPr>
        <w:t>本款约定为：</w:t>
      </w:r>
    </w:p>
    <w:p>
      <w:pPr>
        <w:pStyle w:val="20"/>
        <w:spacing w:line="400" w:lineRule="exact"/>
        <w:ind w:left="424" w:right="391" w:firstLine="479"/>
        <w:rPr>
          <w:color w:val="auto"/>
          <w:highlight w:val="none"/>
        </w:rPr>
      </w:pPr>
      <w:r>
        <w:rPr>
          <w:rFonts w:hint="eastAsia"/>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pPr>
        <w:pStyle w:val="20"/>
        <w:spacing w:line="400" w:lineRule="exact"/>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2080" w:name="_bookmark189"/>
      <w:bookmarkEnd w:id="2080"/>
      <w:bookmarkStart w:id="2081" w:name="_Toc6740"/>
      <w:bookmarkStart w:id="2082" w:name="_Toc3296"/>
      <w:bookmarkStart w:id="2083" w:name="_Toc12196"/>
      <w:bookmarkStart w:id="2084" w:name="_Toc22401"/>
      <w:bookmarkStart w:id="2085" w:name="_Toc18189"/>
      <w:bookmarkStart w:id="2086" w:name="_Toc14811"/>
      <w:bookmarkStart w:id="2087" w:name="_Toc15440"/>
      <w:bookmarkStart w:id="2088" w:name="_Toc31464"/>
      <w:bookmarkStart w:id="2089" w:name="_Toc6397"/>
      <w:bookmarkStart w:id="2090" w:name="_Toc27451"/>
      <w:bookmarkStart w:id="2091" w:name="_Toc13366"/>
      <w:bookmarkStart w:id="2092" w:name="_Toc32360"/>
      <w:bookmarkStart w:id="2093" w:name="_Toc22013"/>
      <w:bookmarkStart w:id="2094" w:name="_Toc9955"/>
      <w:bookmarkStart w:id="2095" w:name="_Toc11232"/>
      <w:bookmarkStart w:id="2096" w:name="_Toc12053"/>
      <w:bookmarkStart w:id="2097" w:name="_Toc15361"/>
      <w:r>
        <w:rPr>
          <w:rFonts w:hint="eastAsia" w:ascii="黑体" w:hAnsi="黑体" w:eastAsia="黑体" w:cs="黑体"/>
          <w:color w:val="auto"/>
          <w:sz w:val="24"/>
          <w:szCs w:val="24"/>
          <w:highlight w:val="none"/>
        </w:rPr>
        <w:t>测量放线</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pPr>
        <w:pStyle w:val="20"/>
        <w:spacing w:line="400" w:lineRule="exact"/>
        <w:rPr>
          <w:rFonts w:ascii="黑体" w:hAnsi="黑体" w:eastAsia="黑体" w:cs="黑体"/>
          <w:color w:val="auto"/>
          <w:highlight w:val="none"/>
        </w:rPr>
      </w:pPr>
    </w:p>
    <w:p>
      <w:pPr>
        <w:pStyle w:val="20"/>
        <w:spacing w:line="400" w:lineRule="exact"/>
        <w:ind w:left="424"/>
        <w:rPr>
          <w:rFonts w:ascii="黑体" w:hAnsi="黑体" w:eastAsia="黑体" w:cs="黑体"/>
          <w:color w:val="auto"/>
          <w:highlight w:val="none"/>
        </w:rPr>
      </w:pPr>
      <w:bookmarkStart w:id="2098" w:name="_bookmark190"/>
      <w:bookmarkEnd w:id="2098"/>
      <w:bookmarkStart w:id="2099" w:name="_Toc18050"/>
      <w:bookmarkStart w:id="2100" w:name="_Toc27727"/>
      <w:bookmarkStart w:id="2101" w:name="_Toc3490"/>
      <w:bookmarkStart w:id="2102" w:name="_Toc5505"/>
      <w:bookmarkStart w:id="2103" w:name="_Toc11522"/>
      <w:bookmarkStart w:id="2104" w:name="_Toc28407"/>
      <w:bookmarkStart w:id="2105" w:name="_Toc24271"/>
      <w:bookmarkStart w:id="2106" w:name="_Toc14761"/>
      <w:bookmarkStart w:id="2107" w:name="_Toc15380"/>
      <w:r>
        <w:rPr>
          <w:rFonts w:hint="eastAsia" w:ascii="黑体" w:hAnsi="黑体" w:eastAsia="黑体" w:cs="黑体"/>
          <w:color w:val="auto"/>
          <w:highlight w:val="none"/>
        </w:rPr>
        <w:t>8.4监理人使用施工控制网</w:t>
      </w:r>
      <w:bookmarkEnd w:id="2099"/>
      <w:bookmarkEnd w:id="2100"/>
      <w:bookmarkEnd w:id="2101"/>
      <w:bookmarkEnd w:id="2102"/>
      <w:bookmarkEnd w:id="2103"/>
      <w:bookmarkEnd w:id="2104"/>
      <w:bookmarkEnd w:id="2105"/>
      <w:bookmarkEnd w:id="2106"/>
      <w:bookmarkEnd w:id="2107"/>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本款补充：</w:t>
      </w:r>
    </w:p>
    <w:p>
      <w:pPr>
        <w:pStyle w:val="20"/>
        <w:spacing w:line="400" w:lineRule="exact"/>
        <w:ind w:left="815"/>
        <w:rPr>
          <w:color w:val="auto"/>
          <w:highlight w:val="none"/>
        </w:rPr>
      </w:pPr>
      <w:r>
        <w:rPr>
          <w:rFonts w:hint="eastAsia"/>
          <w:color w:val="auto"/>
          <w:highlight w:val="none"/>
        </w:rPr>
        <w:t>经监理人批准，其他相关承包人也可免费使用施工控制网。</w:t>
      </w:r>
    </w:p>
    <w:p>
      <w:pPr>
        <w:pStyle w:val="20"/>
        <w:spacing w:line="400" w:lineRule="exact"/>
        <w:rPr>
          <w:color w:val="auto"/>
          <w:highlight w:val="none"/>
        </w:rPr>
      </w:pPr>
    </w:p>
    <w:p>
      <w:pPr>
        <w:numPr>
          <w:ilvl w:val="0"/>
          <w:numId w:val="15"/>
        </w:numPr>
        <w:tabs>
          <w:tab w:val="left" w:pos="775"/>
        </w:tabs>
        <w:spacing w:line="400" w:lineRule="exact"/>
        <w:ind w:hanging="350"/>
        <w:outlineLvl w:val="2"/>
        <w:rPr>
          <w:rFonts w:ascii="黑体" w:hAnsi="黑体" w:eastAsia="黑体" w:cs="黑体"/>
          <w:color w:val="auto"/>
          <w:sz w:val="24"/>
          <w:szCs w:val="24"/>
          <w:highlight w:val="none"/>
        </w:rPr>
      </w:pPr>
      <w:bookmarkStart w:id="2108" w:name="_bookmark191"/>
      <w:bookmarkEnd w:id="2108"/>
      <w:bookmarkStart w:id="2109" w:name="_Toc22473"/>
      <w:bookmarkStart w:id="2110" w:name="_Toc16119"/>
      <w:bookmarkStart w:id="2111" w:name="_Toc8651"/>
      <w:bookmarkStart w:id="2112" w:name="_Toc3533"/>
      <w:bookmarkStart w:id="2113" w:name="_Toc29025"/>
      <w:bookmarkStart w:id="2114" w:name="_Toc20074"/>
      <w:bookmarkStart w:id="2115" w:name="_Toc10114"/>
      <w:bookmarkStart w:id="2116" w:name="_Toc32585"/>
      <w:bookmarkStart w:id="2117" w:name="_Toc10485"/>
      <w:bookmarkStart w:id="2118" w:name="_Toc14498"/>
      <w:bookmarkStart w:id="2119" w:name="_Toc19914"/>
      <w:bookmarkStart w:id="2120" w:name="_Toc27530"/>
      <w:bookmarkStart w:id="2121" w:name="_Toc1013"/>
      <w:bookmarkStart w:id="2122" w:name="_Toc14045"/>
      <w:bookmarkStart w:id="2123" w:name="_Toc20793"/>
      <w:bookmarkStart w:id="2124" w:name="_Toc20022"/>
      <w:bookmarkStart w:id="2125" w:name="_Toc3850"/>
      <w:r>
        <w:rPr>
          <w:rFonts w:hint="eastAsia" w:ascii="黑体" w:hAnsi="黑体" w:eastAsia="黑体" w:cs="黑体"/>
          <w:color w:val="auto"/>
          <w:spacing w:val="-3"/>
          <w:sz w:val="24"/>
          <w:szCs w:val="24"/>
          <w:highlight w:val="none"/>
        </w:rPr>
        <w:t>施工安全、治安保卫和环境保护</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pPr>
        <w:pStyle w:val="20"/>
        <w:spacing w:line="400" w:lineRule="exact"/>
        <w:rPr>
          <w:rFonts w:ascii="黑体" w:hAnsi="黑体" w:eastAsia="黑体" w:cs="黑体"/>
          <w:color w:val="auto"/>
          <w:highlight w:val="none"/>
        </w:rPr>
      </w:pPr>
    </w:p>
    <w:p>
      <w:pPr>
        <w:pStyle w:val="86"/>
        <w:numPr>
          <w:ilvl w:val="1"/>
          <w:numId w:val="23"/>
        </w:numPr>
        <w:tabs>
          <w:tab w:val="left" w:pos="845"/>
        </w:tabs>
        <w:spacing w:line="400" w:lineRule="exact"/>
        <w:rPr>
          <w:color w:val="auto"/>
          <w:sz w:val="24"/>
          <w:szCs w:val="24"/>
          <w:highlight w:val="none"/>
        </w:rPr>
      </w:pPr>
      <w:bookmarkStart w:id="2126" w:name="_bookmark192"/>
      <w:bookmarkEnd w:id="2126"/>
      <w:bookmarkStart w:id="2127" w:name="_Toc5229"/>
      <w:bookmarkStart w:id="2128" w:name="_Toc3708"/>
      <w:bookmarkStart w:id="2129" w:name="_Toc13268"/>
      <w:bookmarkStart w:id="2130" w:name="_Toc548"/>
      <w:bookmarkStart w:id="2131" w:name="_Toc25149"/>
      <w:bookmarkStart w:id="2132" w:name="_Toc5449"/>
      <w:bookmarkStart w:id="2133" w:name="_Toc10091"/>
      <w:bookmarkStart w:id="2134" w:name="_Toc26898"/>
      <w:bookmarkStart w:id="2135" w:name="_Toc30866"/>
      <w:r>
        <w:rPr>
          <w:rFonts w:hint="eastAsia" w:ascii="黑体" w:hAnsi="黑体" w:eastAsia="黑体" w:cs="黑体"/>
          <w:color w:val="auto"/>
          <w:sz w:val="24"/>
          <w:szCs w:val="24"/>
          <w:highlight w:val="none"/>
        </w:rPr>
        <w:t>承包人的施工安全责任</w:t>
      </w:r>
      <w:bookmarkEnd w:id="2127"/>
      <w:bookmarkEnd w:id="2128"/>
      <w:bookmarkEnd w:id="2129"/>
      <w:bookmarkEnd w:id="2130"/>
      <w:bookmarkEnd w:id="2131"/>
      <w:bookmarkEnd w:id="2132"/>
      <w:bookmarkEnd w:id="2133"/>
      <w:bookmarkEnd w:id="2134"/>
      <w:bookmarkEnd w:id="2135"/>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9.2.1 </w:t>
      </w:r>
      <w:r>
        <w:rPr>
          <w:rFonts w:hint="eastAsia"/>
          <w:color w:val="auto"/>
          <w:highlight w:val="none"/>
        </w:rPr>
        <w:t>项细化为：</w:t>
      </w:r>
    </w:p>
    <w:p>
      <w:pPr>
        <w:pStyle w:val="20"/>
        <w:spacing w:line="400" w:lineRule="exact"/>
        <w:ind w:left="904"/>
        <w:rPr>
          <w:color w:val="auto"/>
          <w:highlight w:val="none"/>
        </w:rPr>
      </w:pPr>
      <w:r>
        <w:rPr>
          <w:rFonts w:hint="eastAsia"/>
          <w:color w:val="auto"/>
          <w:highlight w:val="none"/>
        </w:rPr>
        <w:t>承包人应按合同约定履行安全职责，严格执行国家、地方政府有关施工安全管</w:t>
      </w:r>
    </w:p>
    <w:p>
      <w:pPr>
        <w:pStyle w:val="20"/>
        <w:spacing w:line="400" w:lineRule="exact"/>
        <w:ind w:left="424" w:right="388"/>
        <w:rPr>
          <w:color w:val="auto"/>
          <w:highlight w:val="none"/>
        </w:rPr>
      </w:pPr>
      <w:r>
        <w:rPr>
          <w:rFonts w:hint="eastAsia"/>
          <w:color w:val="auto"/>
          <w:highlight w:val="none"/>
        </w:rPr>
        <w:t>理方面的法律、法规及规章制度，同时严格执行发包人制订的本项目安全生产管理方面的规章制度、安全检查程序及施工安全管理要求，以及监理人有关安全工作的指示。</w:t>
      </w:r>
    </w:p>
    <w:p>
      <w:pPr>
        <w:pStyle w:val="20"/>
        <w:spacing w:line="400" w:lineRule="exact"/>
        <w:ind w:left="424" w:right="384" w:firstLine="479"/>
        <w:rPr>
          <w:color w:val="auto"/>
          <w:highlight w:val="none"/>
        </w:rPr>
      </w:pPr>
      <w:r>
        <w:rPr>
          <w:rFonts w:hint="eastAsia"/>
          <w:color w:val="auto"/>
          <w:highlight w:val="none"/>
        </w:rPr>
        <w:t>承包人应根据本工程的实际安全施工要求，编制施工安全技术措施，并在签订</w:t>
      </w:r>
      <w:r>
        <w:rPr>
          <w:rFonts w:hint="eastAsia"/>
          <w:color w:val="auto"/>
          <w:spacing w:val="-9"/>
          <w:highlight w:val="none"/>
        </w:rPr>
        <w:t xml:space="preserve">合同协议书后 </w:t>
      </w:r>
      <w:r>
        <w:rPr>
          <w:color w:val="auto"/>
          <w:highlight w:val="none"/>
        </w:rPr>
        <w:t xml:space="preserve">28 </w:t>
      </w:r>
      <w:r>
        <w:rPr>
          <w:rFonts w:hint="eastAsia"/>
          <w:color w:val="auto"/>
          <w:spacing w:val="-9"/>
          <w:highlight w:val="none"/>
        </w:rPr>
        <w:t>天内，报监理人和发包人批准。该施工安全技术措施包括</w:t>
      </w:r>
      <w:r>
        <w:rPr>
          <w:rFonts w:hint="eastAsia"/>
          <w:color w:val="auto"/>
          <w:highlight w:val="none"/>
        </w:rPr>
        <w:t>（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pPr>
        <w:pStyle w:val="20"/>
        <w:spacing w:line="400" w:lineRule="exact"/>
        <w:ind w:left="904"/>
        <w:rPr>
          <w:color w:val="auto"/>
          <w:highlight w:val="none"/>
        </w:rPr>
      </w:pPr>
      <w:r>
        <w:rPr>
          <w:rFonts w:hint="eastAsia"/>
          <w:color w:val="auto"/>
          <w:highlight w:val="none"/>
        </w:rPr>
        <w:t>本项目需要编制专项施工方案的工程包括但不限于以下内容：</w:t>
      </w:r>
    </w:p>
    <w:p>
      <w:pPr>
        <w:pStyle w:val="20"/>
        <w:spacing w:line="400" w:lineRule="exact"/>
        <w:ind w:left="904"/>
        <w:rPr>
          <w:color w:val="auto"/>
          <w:highlight w:val="none"/>
        </w:rPr>
      </w:pPr>
      <w:r>
        <w:rPr>
          <w:rFonts w:hint="eastAsia"/>
          <w:color w:val="auto"/>
          <w:highlight w:val="none"/>
        </w:rPr>
        <w:t>（</w:t>
      </w:r>
      <w:r>
        <w:rPr>
          <w:color w:val="auto"/>
          <w:highlight w:val="none"/>
        </w:rPr>
        <w:t>1</w:t>
      </w:r>
      <w:r>
        <w:rPr>
          <w:rFonts w:hint="eastAsia"/>
          <w:color w:val="auto"/>
          <w:highlight w:val="none"/>
        </w:rPr>
        <w:t>）不良地质条件下有潜在危险性的土方、石方开挖；</w:t>
      </w:r>
    </w:p>
    <w:p>
      <w:pPr>
        <w:pStyle w:val="20"/>
        <w:spacing w:line="400" w:lineRule="exact"/>
        <w:ind w:left="904"/>
        <w:rPr>
          <w:color w:val="auto"/>
          <w:highlight w:val="none"/>
        </w:rPr>
      </w:pPr>
      <w:r>
        <w:rPr>
          <w:rFonts w:hint="eastAsia"/>
          <w:color w:val="auto"/>
          <w:highlight w:val="none"/>
        </w:rPr>
        <w:t>（</w:t>
      </w:r>
      <w:r>
        <w:rPr>
          <w:color w:val="auto"/>
          <w:highlight w:val="none"/>
        </w:rPr>
        <w:t>2</w:t>
      </w:r>
      <w:r>
        <w:rPr>
          <w:rFonts w:hint="eastAsia"/>
          <w:color w:val="auto"/>
          <w:highlight w:val="none"/>
        </w:rPr>
        <w:t>）滑坡和高边坡处理；</w:t>
      </w:r>
    </w:p>
    <w:p>
      <w:pPr>
        <w:pStyle w:val="20"/>
        <w:spacing w:line="400" w:lineRule="exact"/>
        <w:ind w:left="904"/>
        <w:rPr>
          <w:color w:val="auto"/>
          <w:highlight w:val="none"/>
        </w:rPr>
      </w:pPr>
      <w:r>
        <w:rPr>
          <w:rFonts w:hint="eastAsia"/>
          <w:color w:val="auto"/>
          <w:highlight w:val="none"/>
        </w:rPr>
        <w:t>（</w:t>
      </w:r>
      <w:r>
        <w:rPr>
          <w:color w:val="auto"/>
          <w:highlight w:val="none"/>
        </w:rPr>
        <w:t>3</w:t>
      </w:r>
      <w:r>
        <w:rPr>
          <w:rFonts w:hint="eastAsia"/>
          <w:color w:val="auto"/>
          <w:highlight w:val="none"/>
        </w:rPr>
        <w:t>）桩基础、挡墙基础、深水基础及围堰工程；</w:t>
      </w:r>
    </w:p>
    <w:p>
      <w:pPr>
        <w:pStyle w:val="20"/>
        <w:spacing w:line="400" w:lineRule="exact"/>
        <w:ind w:left="904"/>
        <w:rPr>
          <w:color w:val="auto"/>
          <w:highlight w:val="none"/>
        </w:rPr>
      </w:pPr>
      <w:r>
        <w:rPr>
          <w:rFonts w:hint="eastAsia"/>
          <w:color w:val="auto"/>
          <w:highlight w:val="none"/>
        </w:rPr>
        <w:t>（</w:t>
      </w:r>
      <w:r>
        <w:rPr>
          <w:color w:val="auto"/>
          <w:highlight w:val="none"/>
        </w:rPr>
        <w:t>4</w:t>
      </w:r>
      <w:r>
        <w:rPr>
          <w:rFonts w:hint="eastAsia"/>
          <w:color w:val="auto"/>
          <w:highlight w:val="none"/>
        </w:rPr>
        <w:t>）桥梁工程中的梁、拱、柱等构件施工等；</w:t>
      </w:r>
    </w:p>
    <w:p>
      <w:pPr>
        <w:pStyle w:val="20"/>
        <w:spacing w:line="400" w:lineRule="exact"/>
        <w:ind w:left="904"/>
        <w:rPr>
          <w:color w:val="auto"/>
          <w:highlight w:val="none"/>
        </w:rPr>
      </w:pPr>
      <w:r>
        <w:rPr>
          <w:rFonts w:hint="eastAsia"/>
          <w:color w:val="auto"/>
          <w:highlight w:val="none"/>
        </w:rPr>
        <w:t>（</w:t>
      </w:r>
      <w:r>
        <w:rPr>
          <w:color w:val="auto"/>
          <w:highlight w:val="none"/>
        </w:rPr>
        <w:t>5</w:t>
      </w:r>
      <w:r>
        <w:rPr>
          <w:rFonts w:hint="eastAsia"/>
          <w:color w:val="auto"/>
          <w:highlight w:val="none"/>
        </w:rPr>
        <w:t>）隧道工程中的不良地质隧道、高瓦斯隧道等；</w:t>
      </w:r>
    </w:p>
    <w:p>
      <w:pPr>
        <w:pStyle w:val="20"/>
        <w:spacing w:line="400" w:lineRule="exact"/>
        <w:ind w:left="424" w:right="306" w:firstLine="479"/>
        <w:rPr>
          <w:color w:val="auto"/>
          <w:highlight w:val="none"/>
        </w:rPr>
      </w:pPr>
      <w:r>
        <w:rPr>
          <w:rFonts w:hint="eastAsia"/>
          <w:color w:val="auto"/>
          <w:highlight w:val="none"/>
        </w:rPr>
        <w:t>（</w:t>
      </w:r>
      <w:r>
        <w:rPr>
          <w:color w:val="auto"/>
          <w:highlight w:val="none"/>
        </w:rPr>
        <w:t>6</w:t>
      </w:r>
      <w:r>
        <w:rPr>
          <w:rFonts w:hint="eastAsia"/>
          <w:color w:val="auto"/>
          <w:highlight w:val="none"/>
        </w:rPr>
        <w:t>）水上工程中的打桩船作业、施工船作业、外海孤岛作业、边通航边施工作业等；</w:t>
      </w:r>
    </w:p>
    <w:p>
      <w:pPr>
        <w:pStyle w:val="20"/>
        <w:spacing w:line="400" w:lineRule="exact"/>
        <w:ind w:left="904"/>
        <w:rPr>
          <w:color w:val="auto"/>
          <w:highlight w:val="none"/>
        </w:rPr>
      </w:pPr>
      <w:r>
        <w:rPr>
          <w:rFonts w:hint="eastAsia"/>
          <w:color w:val="auto"/>
          <w:highlight w:val="none"/>
        </w:rPr>
        <w:t>（</w:t>
      </w:r>
      <w:r>
        <w:rPr>
          <w:color w:val="auto"/>
          <w:highlight w:val="none"/>
        </w:rPr>
        <w:t>7</w:t>
      </w:r>
      <w:r>
        <w:rPr>
          <w:rFonts w:hint="eastAsia"/>
          <w:color w:val="auto"/>
          <w:highlight w:val="none"/>
        </w:rPr>
        <w:t>）水下工程中的水下焊接、混凝土浇筑、爆破工程等；</w:t>
      </w:r>
    </w:p>
    <w:p>
      <w:pPr>
        <w:pStyle w:val="20"/>
        <w:spacing w:line="400" w:lineRule="exact"/>
        <w:ind w:left="904"/>
        <w:rPr>
          <w:color w:val="auto"/>
          <w:highlight w:val="none"/>
        </w:rPr>
      </w:pPr>
      <w:r>
        <w:rPr>
          <w:rFonts w:hint="eastAsia"/>
          <w:color w:val="auto"/>
          <w:highlight w:val="none"/>
        </w:rPr>
        <w:t>（</w:t>
      </w:r>
      <w:r>
        <w:rPr>
          <w:color w:val="auto"/>
          <w:highlight w:val="none"/>
        </w:rPr>
        <w:t>8</w:t>
      </w:r>
      <w:r>
        <w:rPr>
          <w:rFonts w:hint="eastAsia"/>
          <w:color w:val="auto"/>
          <w:highlight w:val="none"/>
        </w:rPr>
        <w:t>）爆破工程；</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9</w:t>
      </w:r>
      <w:r>
        <w:rPr>
          <w:rFonts w:hint="eastAsia"/>
          <w:color w:val="auto"/>
          <w:highlight w:val="none"/>
        </w:rPr>
        <w:t>）大型临时工程中的大型支架、模板、便桥的架设与拆除；桥梁、码头的加固与拆除；</w:t>
      </w:r>
    </w:p>
    <w:p>
      <w:pPr>
        <w:pStyle w:val="20"/>
        <w:spacing w:line="400" w:lineRule="exact"/>
        <w:ind w:left="904"/>
        <w:rPr>
          <w:color w:val="auto"/>
          <w:highlight w:val="none"/>
        </w:rPr>
      </w:pPr>
      <w:r>
        <w:rPr>
          <w:rFonts w:hint="eastAsia"/>
          <w:color w:val="auto"/>
          <w:highlight w:val="none"/>
        </w:rPr>
        <w:t>（</w:t>
      </w:r>
      <w:r>
        <w:rPr>
          <w:color w:val="auto"/>
          <w:highlight w:val="none"/>
        </w:rPr>
        <w:t>10</w:t>
      </w:r>
      <w:r>
        <w:rPr>
          <w:rFonts w:hint="eastAsia"/>
          <w:color w:val="auto"/>
          <w:highlight w:val="none"/>
        </w:rPr>
        <w:t>）其他危险性较大的工程。</w:t>
      </w:r>
    </w:p>
    <w:p>
      <w:pPr>
        <w:pStyle w:val="20"/>
        <w:spacing w:line="400" w:lineRule="exact"/>
        <w:ind w:left="424" w:right="391" w:firstLine="479"/>
        <w:rPr>
          <w:color w:val="auto"/>
          <w:highlight w:val="none"/>
        </w:rPr>
      </w:pPr>
      <w:r>
        <w:rPr>
          <w:rFonts w:hint="eastAsia"/>
          <w:color w:val="auto"/>
          <w:highlight w:val="none"/>
        </w:rPr>
        <w:t xml:space="preserve">监理人和发包人在检查中发现有安全问题或有违反安全管理规章制度的情况时，可视为承包人违约，应按第 </w:t>
      </w:r>
      <w:r>
        <w:rPr>
          <w:color w:val="auto"/>
          <w:highlight w:val="none"/>
        </w:rPr>
        <w:t xml:space="preserve">22.1 </w:t>
      </w:r>
      <w:r>
        <w:rPr>
          <w:rFonts w:hint="eastAsia"/>
          <w:color w:val="auto"/>
          <w:highlight w:val="none"/>
        </w:rPr>
        <w:t>款的规定办理。</w:t>
      </w: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9.2.5 </w:t>
      </w:r>
      <w:r>
        <w:rPr>
          <w:rFonts w:hint="eastAsia"/>
          <w:color w:val="auto"/>
          <w:highlight w:val="none"/>
        </w:rPr>
        <w:t>项细化为：</w:t>
      </w:r>
    </w:p>
    <w:p>
      <w:pPr>
        <w:pStyle w:val="20"/>
        <w:spacing w:line="400" w:lineRule="exact"/>
        <w:ind w:left="424" w:right="382" w:firstLine="479"/>
        <w:rPr>
          <w:color w:val="auto"/>
          <w:highlight w:val="none"/>
        </w:rPr>
      </w:pPr>
      <w:r>
        <w:rPr>
          <w:rFonts w:hint="eastAsia"/>
          <w:color w:val="auto"/>
          <w:highlight w:val="none"/>
        </w:rPr>
        <w:t xml:space="preserve">除项目专用合同条款另有约定外，安全生产费用应为高投标限价的 </w:t>
      </w:r>
      <w:r>
        <w:rPr>
          <w:color w:val="auto"/>
          <w:highlight w:val="none"/>
        </w:rPr>
        <w:t>1.5%</w:t>
      </w:r>
      <w:r>
        <w:rPr>
          <w:rFonts w:hint="eastAsia"/>
          <w:color w:val="auto"/>
          <w:highlight w:val="none"/>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w:t>
      </w:r>
      <w:r>
        <w:rPr>
          <w:rFonts w:hint="eastAsia"/>
          <w:color w:val="auto"/>
          <w:spacing w:val="-3"/>
          <w:highlight w:val="none"/>
        </w:rPr>
        <w:t xml:space="preserve">同未约定的特殊防护措施增加的费用，由监理人按第 </w:t>
      </w:r>
      <w:r>
        <w:rPr>
          <w:color w:val="auto"/>
          <w:highlight w:val="none"/>
        </w:rPr>
        <w:t xml:space="preserve">3.5 </w:t>
      </w:r>
      <w:r>
        <w:rPr>
          <w:rFonts w:hint="eastAsia"/>
          <w:color w:val="auto"/>
          <w:highlight w:val="none"/>
        </w:rPr>
        <w:t>款商定或确定。</w:t>
      </w: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9.2.8 </w:t>
      </w:r>
      <w:r>
        <w:rPr>
          <w:rFonts w:hint="eastAsia"/>
          <w:color w:val="auto"/>
          <w:highlight w:val="none"/>
        </w:rPr>
        <w:t>项</w:t>
      </w:r>
      <w:r>
        <w:rPr>
          <w:color w:val="auto"/>
          <w:highlight w:val="none"/>
        </w:rPr>
        <w:t>~</w:t>
      </w:r>
      <w:r>
        <w:rPr>
          <w:rFonts w:hint="eastAsia"/>
          <w:color w:val="auto"/>
          <w:highlight w:val="none"/>
        </w:rPr>
        <w:t xml:space="preserve">第 </w:t>
      </w:r>
      <w:r>
        <w:rPr>
          <w:color w:val="auto"/>
          <w:highlight w:val="none"/>
        </w:rPr>
        <w:t xml:space="preserve">9.2.11 </w:t>
      </w:r>
      <w:r>
        <w:rPr>
          <w:rFonts w:hint="eastAsia"/>
          <w:color w:val="auto"/>
          <w:highlight w:val="none"/>
        </w:rPr>
        <w:t>项：</w:t>
      </w:r>
    </w:p>
    <w:p>
      <w:pPr>
        <w:pStyle w:val="20"/>
        <w:spacing w:line="400" w:lineRule="exact"/>
        <w:ind w:left="424" w:right="382" w:firstLine="479"/>
        <w:rPr>
          <w:color w:val="auto"/>
          <w:highlight w:val="none"/>
        </w:rPr>
      </w:pPr>
      <w:r>
        <w:rPr>
          <w:color w:val="auto"/>
          <w:highlight w:val="none"/>
        </w:rPr>
        <w:t>9.2.8</w:t>
      </w:r>
      <w:r>
        <w:rPr>
          <w:rFonts w:hint="eastAsia"/>
          <w:color w:val="auto"/>
          <w:highlight w:val="none"/>
        </w:rPr>
        <w:t>承包人应充分关注和保障所有在现场工作的人员的安全，采取以下有效措施，使现场和本合同工程的实施保持有条不紊，以免使上述人员的安全受到威胁。</w:t>
      </w:r>
    </w:p>
    <w:p>
      <w:pPr>
        <w:pStyle w:val="20"/>
        <w:spacing w:line="400" w:lineRule="exact"/>
        <w:ind w:left="424" w:right="382" w:firstLine="479"/>
        <w:rPr>
          <w:color w:val="auto"/>
          <w:highlight w:val="none"/>
        </w:rPr>
      </w:pPr>
      <w:r>
        <w:rPr>
          <w:rFonts w:hint="eastAsia"/>
          <w:color w:val="auto"/>
          <w:highlight w:val="none"/>
        </w:rPr>
        <w:t>（</w:t>
      </w:r>
      <w:r>
        <w:rPr>
          <w:color w:val="auto"/>
          <w:highlight w:val="none"/>
        </w:rPr>
        <w:t>1</w:t>
      </w:r>
      <w:r>
        <w:rPr>
          <w:rFonts w:hint="eastAsia"/>
          <w:color w:val="auto"/>
          <w:highlight w:val="none"/>
        </w:rPr>
        <w:t>）按《公路水运工程安全生产监督管理办法》规定的最低数量和资质条件配备专职安全生产管理人员；</w:t>
      </w:r>
    </w:p>
    <w:p>
      <w:pPr>
        <w:pStyle w:val="20"/>
        <w:spacing w:line="400" w:lineRule="exact"/>
        <w:ind w:left="424" w:right="382" w:firstLine="479"/>
        <w:rPr>
          <w:color w:val="auto"/>
          <w:highlight w:val="none"/>
        </w:rPr>
      </w:pPr>
      <w:r>
        <w:rPr>
          <w:rFonts w:hint="eastAsia"/>
          <w:color w:val="auto"/>
          <w:spacing w:val="-8"/>
          <w:highlight w:val="none"/>
        </w:rPr>
        <w:t>（</w:t>
      </w:r>
      <w:r>
        <w:rPr>
          <w:color w:val="auto"/>
          <w:spacing w:val="-8"/>
          <w:highlight w:val="none"/>
        </w:rPr>
        <w:t>2</w:t>
      </w:r>
      <w:r>
        <w:rPr>
          <w:rFonts w:hint="eastAsia"/>
          <w:color w:val="auto"/>
          <w:spacing w:val="-8"/>
          <w:highlight w:val="none"/>
        </w:rPr>
        <w:t>）</w:t>
      </w:r>
      <w:r>
        <w:rPr>
          <w:rFonts w:hint="eastAsia"/>
          <w:color w:val="auto"/>
          <w:spacing w:val="-4"/>
          <w:highlight w:val="none"/>
        </w:rPr>
        <w:t>承包人的垂直运输机械作业人员、施工船舶作业人员、爆破作业人员、安装</w:t>
      </w:r>
      <w:r>
        <w:rPr>
          <w:rFonts w:hint="eastAsia"/>
          <w:color w:val="auto"/>
          <w:highlight w:val="none"/>
        </w:rPr>
        <w:t>拆卸工、起重信号工、电工、焊工等国家规定的特种作业人员，必须按照国家规定经过专门的安全作业培训，并取得特种作业操作资格证书后，方可上岗作业；</w:t>
      </w:r>
    </w:p>
    <w:p>
      <w:pPr>
        <w:pStyle w:val="20"/>
        <w:spacing w:line="400" w:lineRule="exact"/>
        <w:ind w:left="424" w:right="382" w:firstLine="479"/>
        <w:rPr>
          <w:color w:val="auto"/>
          <w:highlight w:val="none"/>
        </w:rPr>
      </w:pPr>
      <w:r>
        <w:rPr>
          <w:rFonts w:hint="eastAsia"/>
          <w:color w:val="auto"/>
          <w:highlight w:val="none"/>
        </w:rPr>
        <w:t>（</w:t>
      </w:r>
      <w:r>
        <w:rPr>
          <w:color w:val="auto"/>
          <w:highlight w:val="none"/>
        </w:rPr>
        <w:t>3</w:t>
      </w:r>
      <w:r>
        <w:rPr>
          <w:rFonts w:hint="eastAsia"/>
          <w:color w:val="auto"/>
          <w:highlight w:val="none"/>
        </w:rPr>
        <w:t>）所有施工机具设备和高空作业设备均应定期检查，并有安全员的签字记录；</w:t>
      </w:r>
    </w:p>
    <w:p>
      <w:pPr>
        <w:pStyle w:val="20"/>
        <w:spacing w:line="400" w:lineRule="exact"/>
        <w:ind w:left="424" w:right="382" w:firstLine="479"/>
        <w:rPr>
          <w:color w:val="auto"/>
          <w:highlight w:val="none"/>
        </w:rPr>
      </w:pPr>
      <w:r>
        <w:rPr>
          <w:rFonts w:hint="eastAsia"/>
          <w:color w:val="auto"/>
          <w:highlight w:val="none"/>
        </w:rPr>
        <w:t>（</w:t>
      </w:r>
      <w:r>
        <w:rPr>
          <w:color w:val="auto"/>
          <w:highlight w:val="none"/>
        </w:rPr>
        <w:t>4</w:t>
      </w:r>
      <w:r>
        <w:rPr>
          <w:rFonts w:hint="eastAsia"/>
          <w:color w:val="auto"/>
          <w:highlight w:val="none"/>
        </w:rPr>
        <w:t>）根据本合同各单位工程的施工特点，严格执行《公路水运工程安全生产监督管理办法》《公路工程施工安全技术规范》等有关规定。</w:t>
      </w:r>
    </w:p>
    <w:p>
      <w:pPr>
        <w:pStyle w:val="20"/>
        <w:spacing w:line="400" w:lineRule="exact"/>
        <w:ind w:left="424" w:right="382" w:firstLine="479"/>
        <w:rPr>
          <w:color w:val="auto"/>
          <w:highlight w:val="none"/>
        </w:rPr>
      </w:pPr>
      <w:r>
        <w:rPr>
          <w:color w:val="auto"/>
          <w:highlight w:val="none"/>
        </w:rPr>
        <w:t>9.2.9</w:t>
      </w:r>
      <w:r>
        <w:rPr>
          <w:rFonts w:hint="eastAsia"/>
          <w:color w:val="auto"/>
          <w:highlight w:val="none"/>
        </w:rPr>
        <w:t>为了保护本合同工程免遭损坏，或为了现场附近和过往群众的安全与方便，在确有必要的时候和地方，或当监理人或有关主管部门要求时，承包人应自费提供照明、警卫、护栅、警告标志等安全防护设施。</w:t>
      </w:r>
    </w:p>
    <w:p>
      <w:pPr>
        <w:pStyle w:val="20"/>
        <w:spacing w:line="400" w:lineRule="exact"/>
        <w:ind w:left="424" w:right="382" w:firstLine="479"/>
        <w:rPr>
          <w:color w:val="auto"/>
          <w:highlight w:val="none"/>
        </w:rPr>
      </w:pPr>
      <w:r>
        <w:rPr>
          <w:color w:val="auto"/>
          <w:highlight w:val="none"/>
        </w:rPr>
        <w:t>9.2.10</w:t>
      </w:r>
      <w:r>
        <w:rPr>
          <w:rFonts w:hint="eastAsia"/>
          <w:color w:val="auto"/>
          <w:highlight w:val="none"/>
        </w:rPr>
        <w:t>在通航水域施工时，承包人应与当地主管部门取得联系，设置必要的导航标志，及时发布航行通告，确保施工水域安全。</w:t>
      </w:r>
    </w:p>
    <w:p>
      <w:pPr>
        <w:pStyle w:val="20"/>
        <w:spacing w:line="400" w:lineRule="exact"/>
        <w:ind w:left="424" w:right="382" w:firstLine="479"/>
        <w:rPr>
          <w:color w:val="auto"/>
          <w:highlight w:val="none"/>
        </w:rPr>
      </w:pPr>
      <w:r>
        <w:rPr>
          <w:color w:val="auto"/>
          <w:highlight w:val="none"/>
        </w:rPr>
        <w:t>9.2.11</w:t>
      </w:r>
      <w:r>
        <w:rPr>
          <w:rFonts w:hint="eastAsia"/>
          <w:color w:val="auto"/>
          <w:highlight w:val="none"/>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20"/>
        <w:spacing w:line="400" w:lineRule="exact"/>
        <w:rPr>
          <w:color w:val="auto"/>
          <w:highlight w:val="none"/>
        </w:rPr>
      </w:pPr>
    </w:p>
    <w:p>
      <w:pPr>
        <w:pStyle w:val="86"/>
        <w:numPr>
          <w:ilvl w:val="1"/>
          <w:numId w:val="24"/>
        </w:numPr>
        <w:tabs>
          <w:tab w:val="left" w:pos="845"/>
        </w:tabs>
        <w:spacing w:line="400" w:lineRule="exact"/>
        <w:rPr>
          <w:color w:val="auto"/>
          <w:sz w:val="24"/>
          <w:szCs w:val="24"/>
          <w:highlight w:val="none"/>
        </w:rPr>
      </w:pPr>
      <w:bookmarkStart w:id="2136" w:name="_bookmark193"/>
      <w:bookmarkEnd w:id="2136"/>
      <w:bookmarkStart w:id="2137" w:name="_Toc21515"/>
      <w:bookmarkStart w:id="2138" w:name="_Toc31658"/>
      <w:bookmarkStart w:id="2139" w:name="_Toc11058"/>
      <w:bookmarkStart w:id="2140" w:name="_Toc6868"/>
      <w:bookmarkStart w:id="2141" w:name="_Toc30267"/>
      <w:bookmarkStart w:id="2142" w:name="_Toc15756"/>
      <w:bookmarkStart w:id="2143" w:name="_Toc935"/>
      <w:bookmarkStart w:id="2144" w:name="_Toc3243"/>
      <w:bookmarkStart w:id="2145" w:name="_Toc26652"/>
      <w:r>
        <w:rPr>
          <w:rFonts w:hint="eastAsia" w:ascii="黑体" w:hAnsi="黑体" w:eastAsia="黑体" w:cs="黑体"/>
          <w:color w:val="auto"/>
          <w:sz w:val="24"/>
          <w:szCs w:val="24"/>
          <w:highlight w:val="none"/>
        </w:rPr>
        <w:t>环境保护</w:t>
      </w:r>
      <w:bookmarkEnd w:id="2137"/>
      <w:bookmarkEnd w:id="2138"/>
      <w:bookmarkEnd w:id="2139"/>
      <w:bookmarkEnd w:id="2140"/>
      <w:bookmarkEnd w:id="2141"/>
      <w:bookmarkEnd w:id="2142"/>
      <w:bookmarkEnd w:id="2143"/>
      <w:bookmarkEnd w:id="2144"/>
      <w:bookmarkEnd w:id="2145"/>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9.4.7 </w:t>
      </w:r>
      <w:r>
        <w:rPr>
          <w:rFonts w:hint="eastAsia"/>
          <w:color w:val="auto"/>
          <w:highlight w:val="none"/>
        </w:rPr>
        <w:t>项</w:t>
      </w:r>
      <w:r>
        <w:rPr>
          <w:color w:val="auto"/>
          <w:highlight w:val="none"/>
        </w:rPr>
        <w:t>~</w:t>
      </w:r>
      <w:r>
        <w:rPr>
          <w:rFonts w:hint="eastAsia"/>
          <w:color w:val="auto"/>
          <w:highlight w:val="none"/>
        </w:rPr>
        <w:t xml:space="preserve">第 </w:t>
      </w:r>
      <w:r>
        <w:rPr>
          <w:color w:val="auto"/>
          <w:highlight w:val="none"/>
        </w:rPr>
        <w:t xml:space="preserve">9.4.11 </w:t>
      </w:r>
      <w:r>
        <w:rPr>
          <w:rFonts w:hint="eastAsia"/>
          <w:color w:val="auto"/>
          <w:highlight w:val="none"/>
        </w:rPr>
        <w:t>项：</w:t>
      </w:r>
    </w:p>
    <w:p>
      <w:pPr>
        <w:pStyle w:val="86"/>
        <w:numPr>
          <w:ilvl w:val="2"/>
          <w:numId w:val="24"/>
        </w:numPr>
        <w:tabs>
          <w:tab w:val="left" w:pos="1505"/>
        </w:tabs>
        <w:spacing w:line="400" w:lineRule="exact"/>
        <w:ind w:firstLine="480"/>
        <w:rPr>
          <w:color w:val="auto"/>
          <w:sz w:val="24"/>
          <w:szCs w:val="24"/>
          <w:highlight w:val="none"/>
        </w:rPr>
      </w:pPr>
      <w:r>
        <w:rPr>
          <w:rFonts w:hint="eastAsia"/>
          <w:color w:val="auto"/>
          <w:sz w:val="24"/>
          <w:szCs w:val="24"/>
          <w:highlight w:val="none"/>
        </w:rPr>
        <w:t>承包人应切实执行技术规范中有关环境保护方面的条款和规定。</w:t>
      </w:r>
    </w:p>
    <w:p>
      <w:pPr>
        <w:pStyle w:val="20"/>
        <w:spacing w:line="400" w:lineRule="exact"/>
        <w:ind w:left="424" w:right="383" w:firstLine="479"/>
        <w:rPr>
          <w:color w:val="auto"/>
          <w:highlight w:val="none"/>
        </w:rPr>
      </w:pPr>
      <w:r>
        <w:rPr>
          <w:rFonts w:hint="eastAsia"/>
          <w:color w:val="auto"/>
          <w:spacing w:val="-10"/>
          <w:highlight w:val="none"/>
        </w:rPr>
        <w:t>（</w:t>
      </w:r>
      <w:r>
        <w:rPr>
          <w:color w:val="auto"/>
          <w:spacing w:val="-10"/>
          <w:highlight w:val="none"/>
        </w:rPr>
        <w:t>1</w:t>
      </w:r>
      <w:r>
        <w:rPr>
          <w:rFonts w:hint="eastAsia"/>
          <w:color w:val="auto"/>
          <w:spacing w:val="-10"/>
          <w:highlight w:val="none"/>
        </w:rPr>
        <w:t>）</w:t>
      </w:r>
      <w:r>
        <w:rPr>
          <w:rFonts w:hint="eastAsia"/>
          <w:color w:val="auto"/>
          <w:spacing w:val="-3"/>
          <w:highlight w:val="none"/>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w:t>
      </w:r>
      <w:r>
        <w:rPr>
          <w:rFonts w:hint="eastAsia"/>
          <w:color w:val="auto"/>
          <w:spacing w:val="-4"/>
          <w:highlight w:val="none"/>
        </w:rPr>
        <w:t xml:space="preserve">水平。为保护施工现场附近居民的夜间休息，对居民区 </w:t>
      </w:r>
      <w:r>
        <w:rPr>
          <w:color w:val="auto"/>
          <w:highlight w:val="none"/>
        </w:rPr>
        <w:t xml:space="preserve">150m </w:t>
      </w:r>
      <w:r>
        <w:rPr>
          <w:rFonts w:hint="eastAsia"/>
          <w:color w:val="auto"/>
          <w:highlight w:val="none"/>
        </w:rPr>
        <w:t>以内的施工现场，施工时间应加以控制。</w:t>
      </w:r>
    </w:p>
    <w:p>
      <w:pPr>
        <w:pStyle w:val="20"/>
        <w:spacing w:line="400" w:lineRule="exact"/>
        <w:ind w:left="424" w:right="385" w:firstLine="479"/>
        <w:rPr>
          <w:color w:val="auto"/>
          <w:highlight w:val="none"/>
        </w:rPr>
      </w:pPr>
      <w:r>
        <w:rPr>
          <w:rFonts w:hint="eastAsia"/>
          <w:color w:val="auto"/>
          <w:spacing w:val="-15"/>
          <w:highlight w:val="none"/>
        </w:rPr>
        <w:t>（</w:t>
      </w:r>
      <w:r>
        <w:rPr>
          <w:color w:val="auto"/>
          <w:spacing w:val="-15"/>
          <w:highlight w:val="none"/>
        </w:rPr>
        <w:t>2</w:t>
      </w:r>
      <w:r>
        <w:rPr>
          <w:rFonts w:hint="eastAsia"/>
          <w:color w:val="auto"/>
          <w:spacing w:val="-15"/>
          <w:highlight w:val="none"/>
        </w:rPr>
        <w:t>）</w:t>
      </w:r>
      <w:r>
        <w:rPr>
          <w:rFonts w:hint="eastAsia"/>
          <w:color w:val="auto"/>
          <w:highlight w:val="none"/>
        </w:rPr>
        <w:t>对于公路施工中粉尘污染的主要污染源</w:t>
      </w:r>
      <w:r>
        <w:rPr>
          <w:color w:val="auto"/>
          <w:highlight w:val="none"/>
        </w:rPr>
        <w:t>――</w:t>
      </w:r>
      <w:r>
        <w:rPr>
          <w:rFonts w:hint="eastAsia"/>
          <w:color w:val="auto"/>
          <w:spacing w:val="-7"/>
          <w:highlight w:val="none"/>
        </w:rPr>
        <w:t>灰土拌和、施工车辆和筑路机械运行及运输产生的扬尘，应采取有效措施减轻其对施工现场的大气污染，保护人民健康，如：</w:t>
      </w:r>
    </w:p>
    <w:p>
      <w:pPr>
        <w:pStyle w:val="86"/>
        <w:numPr>
          <w:ilvl w:val="0"/>
          <w:numId w:val="25"/>
        </w:numPr>
        <w:tabs>
          <w:tab w:val="left" w:pos="1190"/>
        </w:tabs>
        <w:spacing w:line="400" w:lineRule="exact"/>
        <w:ind w:firstLine="480"/>
        <w:rPr>
          <w:color w:val="auto"/>
          <w:sz w:val="24"/>
          <w:szCs w:val="24"/>
          <w:highlight w:val="none"/>
        </w:rPr>
      </w:pPr>
      <w:r>
        <w:rPr>
          <w:rFonts w:hint="eastAsia"/>
          <w:color w:val="auto"/>
          <w:sz w:val="24"/>
          <w:szCs w:val="24"/>
          <w:highlight w:val="none"/>
        </w:rPr>
        <w:t>拌和设备应有较好的密封，或有防尘设备。</w:t>
      </w:r>
    </w:p>
    <w:p>
      <w:pPr>
        <w:pStyle w:val="86"/>
        <w:numPr>
          <w:ilvl w:val="0"/>
          <w:numId w:val="25"/>
        </w:numPr>
        <w:tabs>
          <w:tab w:val="left" w:pos="1205"/>
        </w:tabs>
        <w:spacing w:line="400" w:lineRule="exact"/>
        <w:ind w:left="1204" w:hanging="300"/>
        <w:rPr>
          <w:color w:val="auto"/>
          <w:sz w:val="24"/>
          <w:szCs w:val="24"/>
          <w:highlight w:val="none"/>
        </w:rPr>
      </w:pPr>
      <w:r>
        <w:rPr>
          <w:rFonts w:hint="eastAsia"/>
          <w:color w:val="auto"/>
          <w:sz w:val="24"/>
          <w:szCs w:val="24"/>
          <w:highlight w:val="none"/>
        </w:rPr>
        <w:t>施工通道、沥青混凝土拌和站及灰土拌和站应经常进行洒水降尘。</w:t>
      </w:r>
    </w:p>
    <w:p>
      <w:pPr>
        <w:pStyle w:val="86"/>
        <w:numPr>
          <w:ilvl w:val="0"/>
          <w:numId w:val="25"/>
        </w:numPr>
        <w:tabs>
          <w:tab w:val="left" w:pos="1190"/>
        </w:tabs>
        <w:spacing w:line="400" w:lineRule="exact"/>
        <w:ind w:firstLine="480"/>
        <w:rPr>
          <w:color w:val="auto"/>
          <w:sz w:val="24"/>
          <w:szCs w:val="24"/>
          <w:highlight w:val="none"/>
        </w:rPr>
      </w:pPr>
      <w:r>
        <w:rPr>
          <w:rFonts w:hint="eastAsia"/>
          <w:color w:val="auto"/>
          <w:sz w:val="24"/>
          <w:szCs w:val="24"/>
          <w:highlight w:val="none"/>
        </w:rPr>
        <w:t>路面施工应注意保持水分，以免扬尘。</w:t>
      </w:r>
    </w:p>
    <w:p>
      <w:pPr>
        <w:pStyle w:val="86"/>
        <w:numPr>
          <w:ilvl w:val="0"/>
          <w:numId w:val="25"/>
        </w:numPr>
        <w:tabs>
          <w:tab w:val="left" w:pos="1205"/>
        </w:tabs>
        <w:spacing w:line="400" w:lineRule="exact"/>
        <w:ind w:right="384" w:firstLine="480"/>
        <w:rPr>
          <w:color w:val="auto"/>
          <w:sz w:val="24"/>
          <w:szCs w:val="24"/>
          <w:highlight w:val="none"/>
        </w:rPr>
      </w:pPr>
      <w:r>
        <w:rPr>
          <w:rFonts w:hint="eastAsia"/>
          <w:color w:val="auto"/>
          <w:spacing w:val="-1"/>
          <w:sz w:val="24"/>
          <w:szCs w:val="24"/>
          <w:highlight w:val="none"/>
        </w:rPr>
        <w:t>隧道出渣和桥梁钻孔灌注桩施工时排出的泥浆要进行妥善处理，严禁向河流或农田排放。</w:t>
      </w:r>
    </w:p>
    <w:p>
      <w:pPr>
        <w:pStyle w:val="20"/>
        <w:spacing w:line="400" w:lineRule="exact"/>
        <w:ind w:left="424" w:right="306" w:firstLine="479"/>
        <w:rPr>
          <w:color w:val="auto"/>
          <w:highlight w:val="none"/>
        </w:rPr>
      </w:pPr>
      <w:r>
        <w:rPr>
          <w:rFonts w:hint="eastAsia"/>
          <w:color w:val="auto"/>
          <w:highlight w:val="none"/>
        </w:rPr>
        <w:t>（</w:t>
      </w:r>
      <w:r>
        <w:rPr>
          <w:color w:val="auto"/>
          <w:highlight w:val="none"/>
        </w:rPr>
        <w:t>3</w:t>
      </w:r>
      <w:r>
        <w:rPr>
          <w:rFonts w:hint="eastAsia"/>
          <w:color w:val="auto"/>
          <w:highlight w:val="none"/>
        </w:rPr>
        <w:t>）采取可靠措施保证原有交通的正常通行，维持沿线村镇的居民饮水、农田灌溉、生产生活用电及通信等管线的正常使用。</w:t>
      </w:r>
    </w:p>
    <w:p>
      <w:pPr>
        <w:pStyle w:val="86"/>
        <w:numPr>
          <w:ilvl w:val="2"/>
          <w:numId w:val="24"/>
        </w:numPr>
        <w:tabs>
          <w:tab w:val="left" w:pos="1505"/>
        </w:tabs>
        <w:spacing w:line="400" w:lineRule="exact"/>
        <w:ind w:right="385" w:firstLine="480"/>
        <w:rPr>
          <w:color w:val="auto"/>
          <w:sz w:val="24"/>
          <w:szCs w:val="24"/>
          <w:highlight w:val="none"/>
        </w:rPr>
      </w:pPr>
      <w:r>
        <w:rPr>
          <w:rFonts w:hint="eastAsia"/>
          <w:color w:val="auto"/>
          <w:spacing w:val="-4"/>
          <w:sz w:val="24"/>
          <w:szCs w:val="24"/>
          <w:highlight w:val="none"/>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86"/>
        <w:numPr>
          <w:ilvl w:val="2"/>
          <w:numId w:val="24"/>
        </w:numPr>
        <w:tabs>
          <w:tab w:val="left" w:pos="1445"/>
        </w:tabs>
        <w:spacing w:line="400" w:lineRule="exact"/>
        <w:ind w:right="382" w:firstLine="480"/>
        <w:rPr>
          <w:color w:val="auto"/>
          <w:sz w:val="24"/>
          <w:szCs w:val="24"/>
          <w:highlight w:val="none"/>
        </w:rPr>
      </w:pPr>
      <w:r>
        <w:rPr>
          <w:rFonts w:hint="eastAsia"/>
          <w:color w:val="auto"/>
          <w:spacing w:val="-4"/>
          <w:sz w:val="24"/>
          <w:szCs w:val="24"/>
          <w:highlight w:val="none"/>
        </w:rPr>
        <w:t>在施工期间，承包人应随时保持现场整洁，施工设备和材料、工程设备应整齐妥善存放和储存，废料与垃圾及不再需要的临时设施应及时从现场清除、拆除并运走。</w:t>
      </w:r>
    </w:p>
    <w:p>
      <w:pPr>
        <w:pStyle w:val="86"/>
        <w:numPr>
          <w:ilvl w:val="2"/>
          <w:numId w:val="24"/>
        </w:numPr>
        <w:tabs>
          <w:tab w:val="left" w:pos="1625"/>
        </w:tabs>
        <w:spacing w:line="400" w:lineRule="exact"/>
        <w:ind w:right="387" w:firstLine="480"/>
        <w:rPr>
          <w:color w:val="auto"/>
          <w:sz w:val="24"/>
          <w:szCs w:val="24"/>
          <w:highlight w:val="none"/>
        </w:rPr>
      </w:pPr>
      <w:r>
        <w:rPr>
          <w:rFonts w:hint="eastAsia"/>
          <w:color w:val="auto"/>
          <w:sz w:val="24"/>
          <w:szCs w:val="24"/>
          <w:highlight w:val="none"/>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pStyle w:val="86"/>
        <w:numPr>
          <w:ilvl w:val="2"/>
          <w:numId w:val="24"/>
        </w:numPr>
        <w:tabs>
          <w:tab w:val="left" w:pos="1618"/>
        </w:tabs>
        <w:spacing w:line="400" w:lineRule="exact"/>
        <w:ind w:right="264" w:firstLine="480"/>
        <w:rPr>
          <w:color w:val="auto"/>
          <w:sz w:val="24"/>
          <w:szCs w:val="24"/>
          <w:highlight w:val="none"/>
        </w:rPr>
      </w:pPr>
      <w:r>
        <w:rPr>
          <w:rFonts w:hint="eastAsia"/>
          <w:color w:val="auto"/>
          <w:sz w:val="24"/>
          <w:szCs w:val="24"/>
          <w:highlight w:val="none"/>
        </w:rPr>
        <w:t xml:space="preserve">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w:t>
      </w:r>
      <w:r>
        <w:rPr>
          <w:rFonts w:hint="eastAsia"/>
          <w:color w:val="auto"/>
          <w:spacing w:val="-4"/>
          <w:sz w:val="24"/>
          <w:szCs w:val="24"/>
          <w:highlight w:val="none"/>
        </w:rPr>
        <w:t>要完善施工中的临时排水系统，加强施工便道的管理。取</w:t>
      </w:r>
      <w:r>
        <w:rPr>
          <w:rFonts w:hint="eastAsia"/>
          <w:color w:val="auto"/>
          <w:sz w:val="24"/>
          <w:szCs w:val="24"/>
          <w:highlight w:val="none"/>
        </w:rPr>
        <w:t>（弃</w:t>
      </w:r>
      <w:r>
        <w:rPr>
          <w:rFonts w:hint="eastAsia"/>
          <w:color w:val="auto"/>
          <w:spacing w:val="-22"/>
          <w:sz w:val="24"/>
          <w:szCs w:val="24"/>
          <w:highlight w:val="none"/>
        </w:rPr>
        <w:t>）</w:t>
      </w:r>
      <w:r>
        <w:rPr>
          <w:rFonts w:hint="eastAsia"/>
          <w:color w:val="auto"/>
          <w:sz w:val="24"/>
          <w:szCs w:val="24"/>
          <w:highlight w:val="none"/>
        </w:rPr>
        <w:t>土场必须先挡后弃， 严禁在指定的取（弃）土场以外的地方乱挖乱弃。</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146" w:name="_bookmark194"/>
      <w:bookmarkEnd w:id="2146"/>
      <w:bookmarkStart w:id="2147" w:name="_Toc31088"/>
      <w:bookmarkStart w:id="2148" w:name="_Toc15369"/>
      <w:bookmarkStart w:id="2149" w:name="_Toc5528"/>
      <w:bookmarkStart w:id="2150" w:name="_Toc19255"/>
      <w:bookmarkStart w:id="2151" w:name="_Toc18913"/>
      <w:bookmarkStart w:id="2152" w:name="_Toc16483"/>
      <w:bookmarkStart w:id="2153" w:name="_Toc19842"/>
      <w:bookmarkStart w:id="2154" w:name="_Toc29933"/>
      <w:bookmarkStart w:id="2155" w:name="_Toc17721"/>
      <w:bookmarkStart w:id="2156" w:name="_Toc7291"/>
      <w:bookmarkStart w:id="2157" w:name="_Toc23984"/>
      <w:bookmarkStart w:id="2158" w:name="_Toc6712"/>
      <w:bookmarkStart w:id="2159" w:name="_Toc10547"/>
      <w:bookmarkStart w:id="2160" w:name="_Toc9926"/>
      <w:bookmarkStart w:id="2161" w:name="_Toc28018"/>
      <w:bookmarkStart w:id="2162" w:name="_Toc22681"/>
      <w:bookmarkStart w:id="2163" w:name="_Toc2176"/>
      <w:r>
        <w:rPr>
          <w:rFonts w:hint="eastAsia" w:ascii="黑体" w:hAnsi="黑体" w:eastAsia="黑体" w:cs="黑体"/>
          <w:color w:val="auto"/>
          <w:sz w:val="24"/>
          <w:szCs w:val="24"/>
          <w:highlight w:val="none"/>
        </w:rPr>
        <w:t>进度计划</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color w:val="auto"/>
          <w:sz w:val="24"/>
          <w:szCs w:val="24"/>
          <w:highlight w:val="none"/>
        </w:rPr>
      </w:pPr>
      <w:bookmarkStart w:id="2164" w:name="_bookmark195"/>
      <w:bookmarkEnd w:id="2164"/>
      <w:bookmarkStart w:id="2165" w:name="_Toc22427"/>
      <w:bookmarkStart w:id="2166" w:name="_Toc31588"/>
      <w:bookmarkStart w:id="2167" w:name="_Toc17890"/>
      <w:bookmarkStart w:id="2168" w:name="_Toc7520"/>
      <w:bookmarkStart w:id="2169" w:name="_Toc32432"/>
      <w:bookmarkStart w:id="2170" w:name="_Toc16838"/>
      <w:bookmarkStart w:id="2171" w:name="_Toc1349"/>
      <w:bookmarkStart w:id="2172" w:name="_Toc2630"/>
      <w:bookmarkStart w:id="2173" w:name="_Toc18416"/>
      <w:r>
        <w:rPr>
          <w:rFonts w:hint="eastAsia" w:ascii="黑体" w:hAnsi="黑体" w:eastAsia="黑体" w:cs="黑体"/>
          <w:color w:val="auto"/>
          <w:sz w:val="24"/>
          <w:szCs w:val="24"/>
          <w:highlight w:val="none"/>
        </w:rPr>
        <w:t>合同进度计划</w:t>
      </w:r>
      <w:bookmarkEnd w:id="2165"/>
      <w:bookmarkEnd w:id="2166"/>
      <w:bookmarkEnd w:id="2167"/>
      <w:bookmarkEnd w:id="2168"/>
      <w:bookmarkEnd w:id="2169"/>
      <w:bookmarkEnd w:id="2170"/>
      <w:bookmarkEnd w:id="2171"/>
      <w:bookmarkEnd w:id="2172"/>
      <w:bookmarkEnd w:id="2173"/>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本款补充：</w:t>
      </w:r>
    </w:p>
    <w:p>
      <w:pPr>
        <w:pStyle w:val="20"/>
        <w:spacing w:line="400" w:lineRule="exact"/>
        <w:ind w:left="904"/>
        <w:rPr>
          <w:color w:val="auto"/>
          <w:highlight w:val="none"/>
        </w:rPr>
      </w:pPr>
      <w:r>
        <w:rPr>
          <w:rFonts w:hint="eastAsia"/>
          <w:color w:val="auto"/>
          <w:highlight w:val="none"/>
        </w:rPr>
        <w:t>承包人编制施工方案说明的内容见项目专用合同条款。</w:t>
      </w:r>
    </w:p>
    <w:p>
      <w:pPr>
        <w:pStyle w:val="20"/>
        <w:spacing w:line="400" w:lineRule="exact"/>
        <w:ind w:left="904"/>
        <w:rPr>
          <w:color w:val="auto"/>
          <w:highlight w:val="none"/>
        </w:rPr>
      </w:pPr>
      <w:r>
        <w:rPr>
          <w:rFonts w:hint="eastAsia"/>
          <w:color w:val="auto"/>
          <w:highlight w:val="none"/>
        </w:rPr>
        <w:t>承包人向监理人报送施工进度计划和施工方案说明的期限：签订合同协议书后</w:t>
      </w:r>
    </w:p>
    <w:p>
      <w:pPr>
        <w:pStyle w:val="20"/>
        <w:spacing w:line="400" w:lineRule="exact"/>
        <w:ind w:left="424"/>
        <w:rPr>
          <w:color w:val="auto"/>
          <w:highlight w:val="none"/>
        </w:rPr>
      </w:pPr>
      <w:r>
        <w:rPr>
          <w:color w:val="auto"/>
          <w:highlight w:val="none"/>
        </w:rPr>
        <w:t xml:space="preserve">28 </w:t>
      </w:r>
      <w:r>
        <w:rPr>
          <w:rFonts w:hint="eastAsia"/>
          <w:color w:val="auto"/>
          <w:highlight w:val="none"/>
        </w:rPr>
        <w:t>天之内。</w:t>
      </w:r>
    </w:p>
    <w:p>
      <w:pPr>
        <w:pStyle w:val="20"/>
        <w:spacing w:line="400" w:lineRule="exact"/>
        <w:ind w:left="424" w:right="385" w:firstLine="479"/>
        <w:rPr>
          <w:color w:val="auto"/>
          <w:highlight w:val="none"/>
        </w:rPr>
      </w:pPr>
      <w:r>
        <w:rPr>
          <w:rFonts w:hint="eastAsia"/>
          <w:color w:val="auto"/>
          <w:highlight w:val="none"/>
        </w:rPr>
        <w:t xml:space="preserve">监理人应在 </w:t>
      </w:r>
      <w:r>
        <w:rPr>
          <w:color w:val="auto"/>
          <w:highlight w:val="none"/>
        </w:rPr>
        <w:t xml:space="preserve">14 </w:t>
      </w:r>
      <w:r>
        <w:rPr>
          <w:rFonts w:hint="eastAsia"/>
          <w:color w:val="auto"/>
          <w:highlight w:val="none"/>
        </w:rPr>
        <w:t>天内对承包人施工进度计划和施工方案说明予以批复或提出修改意见。</w:t>
      </w:r>
    </w:p>
    <w:p>
      <w:pPr>
        <w:pStyle w:val="20"/>
        <w:spacing w:line="400" w:lineRule="exact"/>
        <w:ind w:left="424" w:right="391" w:firstLine="479"/>
        <w:rPr>
          <w:color w:val="auto"/>
          <w:highlight w:val="none"/>
        </w:rPr>
      </w:pPr>
      <w:r>
        <w:rPr>
          <w:rFonts w:hint="eastAsia"/>
          <w:color w:val="auto"/>
          <w:highlight w:val="none"/>
        </w:rPr>
        <w:t>合同进度计划应按照关键线路网络图和主要工作横道图两种形式分别编绘，并应包括每月预计完成的工作量和形象进度。</w:t>
      </w:r>
    </w:p>
    <w:p>
      <w:pPr>
        <w:pStyle w:val="20"/>
        <w:spacing w:line="400" w:lineRule="exact"/>
        <w:rPr>
          <w:color w:val="auto"/>
          <w:highlight w:val="none"/>
        </w:rPr>
      </w:pPr>
    </w:p>
    <w:p>
      <w:pPr>
        <w:pStyle w:val="86"/>
        <w:numPr>
          <w:ilvl w:val="1"/>
          <w:numId w:val="15"/>
        </w:numPr>
        <w:tabs>
          <w:tab w:val="left" w:pos="965"/>
        </w:tabs>
        <w:spacing w:line="400" w:lineRule="exact"/>
        <w:ind w:left="964" w:hanging="540"/>
        <w:rPr>
          <w:color w:val="auto"/>
          <w:sz w:val="24"/>
          <w:szCs w:val="24"/>
          <w:highlight w:val="none"/>
        </w:rPr>
      </w:pPr>
      <w:bookmarkStart w:id="2174" w:name="_bookmark196"/>
      <w:bookmarkEnd w:id="2174"/>
      <w:bookmarkStart w:id="2175" w:name="_Toc31414"/>
      <w:bookmarkStart w:id="2176" w:name="_Toc30462"/>
      <w:bookmarkStart w:id="2177" w:name="_Toc482"/>
      <w:bookmarkStart w:id="2178" w:name="_Toc21394"/>
      <w:bookmarkStart w:id="2179" w:name="_Toc30206"/>
      <w:bookmarkStart w:id="2180" w:name="_Toc29484"/>
      <w:bookmarkStart w:id="2181" w:name="_Toc4193"/>
      <w:bookmarkStart w:id="2182" w:name="_Toc5879"/>
      <w:bookmarkStart w:id="2183" w:name="_Toc3624"/>
      <w:r>
        <w:rPr>
          <w:rFonts w:hint="eastAsia" w:ascii="黑体" w:hAnsi="黑体" w:eastAsia="黑体" w:cs="黑体"/>
          <w:color w:val="auto"/>
          <w:sz w:val="24"/>
          <w:szCs w:val="24"/>
          <w:highlight w:val="none"/>
        </w:rPr>
        <w:t>合同进度计划的修订</w:t>
      </w:r>
      <w:bookmarkEnd w:id="2175"/>
      <w:bookmarkEnd w:id="2176"/>
      <w:bookmarkEnd w:id="2177"/>
      <w:bookmarkEnd w:id="2178"/>
      <w:bookmarkEnd w:id="2179"/>
      <w:bookmarkEnd w:id="2180"/>
      <w:bookmarkEnd w:id="2181"/>
      <w:bookmarkEnd w:id="2182"/>
      <w:bookmarkEnd w:id="2183"/>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本款补充：</w:t>
      </w:r>
    </w:p>
    <w:p>
      <w:pPr>
        <w:pStyle w:val="20"/>
        <w:spacing w:line="400" w:lineRule="exact"/>
        <w:ind w:left="424" w:right="382" w:firstLine="391"/>
        <w:rPr>
          <w:color w:val="auto"/>
          <w:highlight w:val="none"/>
        </w:rPr>
      </w:pPr>
      <w:r>
        <w:rPr>
          <w:rFonts w:hint="eastAsia"/>
          <w:color w:val="auto"/>
          <w:spacing w:val="-6"/>
          <w:highlight w:val="none"/>
        </w:rPr>
        <w:t>承包人提交合同进度计划修订申请报告，并附有关措施和相关资料的期限：实际</w:t>
      </w:r>
      <w:r>
        <w:rPr>
          <w:rFonts w:hint="eastAsia"/>
          <w:color w:val="auto"/>
          <w:spacing w:val="-12"/>
          <w:highlight w:val="none"/>
        </w:rPr>
        <w:t xml:space="preserve">进度发生滞后的当月 </w:t>
      </w:r>
      <w:r>
        <w:rPr>
          <w:color w:val="auto"/>
          <w:highlight w:val="none"/>
        </w:rPr>
        <w:t xml:space="preserve">25 </w:t>
      </w:r>
      <w:r>
        <w:rPr>
          <w:rFonts w:hint="eastAsia"/>
          <w:color w:val="auto"/>
          <w:highlight w:val="none"/>
        </w:rPr>
        <w:t>日前。</w:t>
      </w:r>
    </w:p>
    <w:p>
      <w:pPr>
        <w:pStyle w:val="20"/>
        <w:spacing w:line="400" w:lineRule="exact"/>
        <w:ind w:left="815"/>
        <w:rPr>
          <w:color w:val="auto"/>
          <w:highlight w:val="none"/>
        </w:rPr>
      </w:pPr>
      <w:r>
        <w:rPr>
          <w:rFonts w:hint="eastAsia"/>
          <w:color w:val="auto"/>
          <w:highlight w:val="none"/>
        </w:rPr>
        <w:t xml:space="preserve">监理人批复修订合同进度计划的期限：收到修订合同进度计划后 </w:t>
      </w:r>
      <w:r>
        <w:rPr>
          <w:color w:val="auto"/>
          <w:highlight w:val="none"/>
        </w:rPr>
        <w:t xml:space="preserve">14 </w:t>
      </w:r>
      <w:r>
        <w:rPr>
          <w:rFonts w:hint="eastAsia"/>
          <w:color w:val="auto"/>
          <w:highlight w:val="none"/>
        </w:rPr>
        <w:t>天内。</w:t>
      </w:r>
    </w:p>
    <w:p>
      <w:pPr>
        <w:pStyle w:val="20"/>
        <w:spacing w:line="400" w:lineRule="exact"/>
        <w:rPr>
          <w:color w:val="auto"/>
          <w:highlight w:val="none"/>
        </w:rPr>
      </w:pPr>
    </w:p>
    <w:p>
      <w:pPr>
        <w:pStyle w:val="20"/>
        <w:spacing w:line="400" w:lineRule="exact"/>
        <w:ind w:left="424"/>
        <w:rPr>
          <w:color w:val="auto"/>
          <w:highlight w:val="none"/>
        </w:rPr>
      </w:pPr>
      <w:r>
        <w:rPr>
          <w:rFonts w:hint="eastAsia"/>
          <w:color w:val="auto"/>
          <w:highlight w:val="none"/>
        </w:rPr>
        <w:t xml:space="preserve">本条补充第 </w:t>
      </w:r>
      <w:r>
        <w:rPr>
          <w:color w:val="auto"/>
          <w:highlight w:val="none"/>
        </w:rPr>
        <w:t xml:space="preserve">10.3 </w:t>
      </w:r>
      <w:r>
        <w:rPr>
          <w:rFonts w:hint="eastAsia"/>
          <w:color w:val="auto"/>
          <w:highlight w:val="none"/>
        </w:rPr>
        <w:t xml:space="preserve">款、第 </w:t>
      </w:r>
      <w:r>
        <w:rPr>
          <w:color w:val="auto"/>
          <w:highlight w:val="none"/>
        </w:rPr>
        <w:t xml:space="preserve">10.4 </w:t>
      </w:r>
      <w:r>
        <w:rPr>
          <w:rFonts w:hint="eastAsia"/>
          <w:color w:val="auto"/>
          <w:highlight w:val="none"/>
        </w:rPr>
        <w:t>款：</w:t>
      </w:r>
    </w:p>
    <w:p>
      <w:pPr>
        <w:pStyle w:val="20"/>
        <w:spacing w:line="400" w:lineRule="exact"/>
        <w:rPr>
          <w:color w:val="auto"/>
          <w:highlight w:val="none"/>
        </w:rPr>
      </w:pPr>
    </w:p>
    <w:p>
      <w:pPr>
        <w:pStyle w:val="86"/>
        <w:numPr>
          <w:ilvl w:val="1"/>
          <w:numId w:val="15"/>
        </w:numPr>
        <w:tabs>
          <w:tab w:val="left" w:pos="965"/>
        </w:tabs>
        <w:spacing w:line="400" w:lineRule="exact"/>
        <w:ind w:left="964" w:hanging="540"/>
        <w:rPr>
          <w:color w:val="auto"/>
          <w:sz w:val="24"/>
          <w:szCs w:val="24"/>
          <w:highlight w:val="none"/>
        </w:rPr>
      </w:pPr>
      <w:bookmarkStart w:id="2184" w:name="_bookmark197"/>
      <w:bookmarkEnd w:id="2184"/>
      <w:bookmarkStart w:id="2185" w:name="_Toc22335"/>
      <w:bookmarkStart w:id="2186" w:name="_Toc13405"/>
      <w:bookmarkStart w:id="2187" w:name="_Toc25807"/>
      <w:bookmarkStart w:id="2188" w:name="_Toc26285"/>
      <w:bookmarkStart w:id="2189" w:name="_Toc23357"/>
      <w:bookmarkStart w:id="2190" w:name="_Toc778"/>
      <w:bookmarkStart w:id="2191" w:name="_Toc14645"/>
      <w:bookmarkStart w:id="2192" w:name="_Toc22097"/>
      <w:bookmarkStart w:id="2193" w:name="_Toc22932"/>
      <w:r>
        <w:rPr>
          <w:rFonts w:hint="eastAsia" w:ascii="黑体" w:hAnsi="黑体" w:eastAsia="黑体" w:cs="黑体"/>
          <w:color w:val="auto"/>
          <w:sz w:val="24"/>
          <w:szCs w:val="24"/>
          <w:highlight w:val="none"/>
        </w:rPr>
        <w:t>年度施工计划</w:t>
      </w:r>
      <w:bookmarkEnd w:id="2185"/>
      <w:bookmarkEnd w:id="2186"/>
      <w:bookmarkEnd w:id="2187"/>
      <w:bookmarkEnd w:id="2188"/>
      <w:bookmarkEnd w:id="2189"/>
      <w:bookmarkEnd w:id="2190"/>
      <w:bookmarkEnd w:id="2191"/>
      <w:bookmarkEnd w:id="2192"/>
      <w:bookmarkEnd w:id="2193"/>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 xml:space="preserve">承包人应在每年 </w:t>
      </w:r>
      <w:r>
        <w:rPr>
          <w:color w:val="auto"/>
          <w:highlight w:val="none"/>
        </w:rPr>
        <w:t xml:space="preserve">11 </w:t>
      </w:r>
      <w:r>
        <w:rPr>
          <w:rFonts w:hint="eastAsia"/>
          <w:color w:val="auto"/>
          <w:highlight w:val="none"/>
        </w:rPr>
        <w:t>月底前，根据已同意的合同进度计划或其修订的计划，向监</w:t>
      </w:r>
    </w:p>
    <w:p>
      <w:pPr>
        <w:pStyle w:val="20"/>
        <w:spacing w:line="400" w:lineRule="exact"/>
        <w:ind w:left="424" w:right="384"/>
        <w:rPr>
          <w:color w:val="auto"/>
          <w:highlight w:val="none"/>
        </w:rPr>
      </w:pPr>
      <w:r>
        <w:rPr>
          <w:rFonts w:hint="eastAsia"/>
          <w:color w:val="auto"/>
          <w:spacing w:val="-9"/>
          <w:highlight w:val="none"/>
        </w:rPr>
        <w:t xml:space="preserve">理人提交 </w:t>
      </w:r>
      <w:r>
        <w:rPr>
          <w:color w:val="auto"/>
          <w:highlight w:val="none"/>
        </w:rPr>
        <w:t xml:space="preserve">2 </w:t>
      </w:r>
      <w:r>
        <w:rPr>
          <w:rFonts w:hint="eastAsia"/>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pPr>
        <w:pStyle w:val="20"/>
        <w:spacing w:line="400" w:lineRule="exact"/>
        <w:rPr>
          <w:color w:val="auto"/>
          <w:highlight w:val="none"/>
        </w:rPr>
      </w:pPr>
    </w:p>
    <w:p>
      <w:pPr>
        <w:pStyle w:val="86"/>
        <w:numPr>
          <w:ilvl w:val="1"/>
          <w:numId w:val="15"/>
        </w:numPr>
        <w:tabs>
          <w:tab w:val="left" w:pos="965"/>
        </w:tabs>
        <w:spacing w:line="400" w:lineRule="exact"/>
        <w:ind w:left="964" w:hanging="540"/>
        <w:rPr>
          <w:color w:val="auto"/>
          <w:sz w:val="24"/>
          <w:szCs w:val="24"/>
          <w:highlight w:val="none"/>
        </w:rPr>
      </w:pPr>
      <w:bookmarkStart w:id="2194" w:name="_bookmark198"/>
      <w:bookmarkEnd w:id="2194"/>
      <w:bookmarkStart w:id="2195" w:name="_Toc22736"/>
      <w:bookmarkStart w:id="2196" w:name="_Toc18020"/>
      <w:bookmarkStart w:id="2197" w:name="_Toc31691"/>
      <w:bookmarkStart w:id="2198" w:name="_Toc16327"/>
      <w:bookmarkStart w:id="2199" w:name="_Toc31318"/>
      <w:bookmarkStart w:id="2200" w:name="_Toc19128"/>
      <w:bookmarkStart w:id="2201" w:name="_Toc31395"/>
      <w:bookmarkStart w:id="2202" w:name="_Toc21672"/>
      <w:bookmarkStart w:id="2203" w:name="_Toc12978"/>
      <w:bookmarkStart w:id="2204" w:name="_Toc23242"/>
      <w:r>
        <w:rPr>
          <w:rFonts w:hint="eastAsia" w:ascii="黑体" w:hAnsi="黑体" w:eastAsia="黑体" w:cs="黑体"/>
          <w:color w:val="auto"/>
          <w:sz w:val="24"/>
          <w:szCs w:val="24"/>
          <w:highlight w:val="none"/>
        </w:rPr>
        <w:t>合同用款计划</w:t>
      </w:r>
      <w:bookmarkEnd w:id="2195"/>
      <w:bookmarkEnd w:id="2196"/>
      <w:bookmarkEnd w:id="2197"/>
      <w:bookmarkEnd w:id="2198"/>
      <w:bookmarkEnd w:id="2199"/>
      <w:bookmarkEnd w:id="2200"/>
      <w:bookmarkEnd w:id="2201"/>
      <w:bookmarkEnd w:id="2202"/>
      <w:bookmarkEnd w:id="2203"/>
      <w:bookmarkEnd w:id="2204"/>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 xml:space="preserve">承包人应在签订本合同协议书后 </w:t>
      </w:r>
      <w:r>
        <w:rPr>
          <w:color w:val="auto"/>
          <w:highlight w:val="none"/>
        </w:rPr>
        <w:t xml:space="preserve">28 </w:t>
      </w:r>
      <w:r>
        <w:rPr>
          <w:rFonts w:hint="eastAsia"/>
          <w:color w:val="auto"/>
          <w:highlight w:val="none"/>
        </w:rPr>
        <w:t>天之内，按招标文件中规定的格式，向监理</w:t>
      </w:r>
    </w:p>
    <w:p>
      <w:pPr>
        <w:pStyle w:val="20"/>
        <w:spacing w:line="400" w:lineRule="exact"/>
        <w:ind w:left="424" w:right="334"/>
        <w:rPr>
          <w:color w:val="auto"/>
          <w:highlight w:val="none"/>
        </w:rPr>
      </w:pPr>
      <w:r>
        <w:rPr>
          <w:rFonts w:hint="eastAsia"/>
          <w:color w:val="auto"/>
          <w:highlight w:val="none"/>
        </w:rPr>
        <w:t xml:space="preserve">人提交 </w:t>
      </w:r>
      <w:r>
        <w:rPr>
          <w:color w:val="auto"/>
          <w:highlight w:val="none"/>
        </w:rPr>
        <w:t xml:space="preserve">2 </w:t>
      </w:r>
      <w:r>
        <w:rPr>
          <w:rFonts w:hint="eastAsia"/>
          <w:color w:val="auto"/>
          <w:highlight w:val="none"/>
        </w:rPr>
        <w:t>份按合同规定承包人有权得到支付的详细的季度合同用款计划，以备监理人查阅。如果监理人提出要求，承包人还应按季度提交修订的合同用款计划。</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205" w:name="_bookmark199"/>
      <w:bookmarkEnd w:id="2205"/>
      <w:bookmarkStart w:id="2206" w:name="_Toc18464"/>
      <w:bookmarkStart w:id="2207" w:name="_Toc20451"/>
      <w:bookmarkStart w:id="2208" w:name="_Toc31357"/>
      <w:bookmarkStart w:id="2209" w:name="_Toc14415"/>
      <w:bookmarkStart w:id="2210" w:name="_Toc26658"/>
      <w:bookmarkStart w:id="2211" w:name="_Toc13450"/>
      <w:bookmarkStart w:id="2212" w:name="_Toc29179"/>
      <w:bookmarkStart w:id="2213" w:name="_Toc10999"/>
      <w:bookmarkStart w:id="2214" w:name="_Toc31479"/>
      <w:bookmarkStart w:id="2215" w:name="_Toc2472"/>
      <w:bookmarkStart w:id="2216" w:name="_Toc13041"/>
      <w:bookmarkStart w:id="2217" w:name="_Toc25910"/>
      <w:bookmarkStart w:id="2218" w:name="_Toc15089"/>
      <w:bookmarkStart w:id="2219" w:name="_Toc28752"/>
      <w:bookmarkStart w:id="2220" w:name="_Toc26369"/>
      <w:bookmarkStart w:id="2221" w:name="_Toc32510"/>
      <w:bookmarkStart w:id="2222" w:name="_Toc26114"/>
      <w:r>
        <w:rPr>
          <w:rFonts w:hint="eastAsia" w:ascii="黑体" w:hAnsi="黑体" w:eastAsia="黑体" w:cs="黑体"/>
          <w:color w:val="auto"/>
          <w:sz w:val="24"/>
          <w:szCs w:val="24"/>
          <w:highlight w:val="none"/>
        </w:rPr>
        <w:t>开工和交工</w:t>
      </w:r>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223" w:name="_bookmark200"/>
      <w:bookmarkEnd w:id="2223"/>
      <w:bookmarkStart w:id="2224" w:name="_Toc9696"/>
      <w:bookmarkStart w:id="2225" w:name="_Toc25678"/>
      <w:bookmarkStart w:id="2226" w:name="_Toc6586"/>
      <w:bookmarkStart w:id="2227" w:name="_Toc3613"/>
      <w:bookmarkStart w:id="2228" w:name="_Toc8928"/>
      <w:bookmarkStart w:id="2229" w:name="_Toc19852"/>
      <w:bookmarkStart w:id="2230" w:name="_Toc27332"/>
      <w:bookmarkStart w:id="2231" w:name="_Toc6934"/>
      <w:bookmarkStart w:id="2232" w:name="_Toc4835"/>
      <w:r>
        <w:rPr>
          <w:rFonts w:hint="eastAsia" w:ascii="黑体" w:hAnsi="黑体" w:eastAsia="黑体" w:cs="黑体"/>
          <w:color w:val="auto"/>
          <w:sz w:val="24"/>
          <w:szCs w:val="24"/>
          <w:highlight w:val="none"/>
        </w:rPr>
        <w:t>开工</w:t>
      </w:r>
      <w:bookmarkEnd w:id="2224"/>
      <w:bookmarkEnd w:id="2225"/>
      <w:bookmarkEnd w:id="2226"/>
      <w:bookmarkEnd w:id="2227"/>
      <w:bookmarkEnd w:id="2228"/>
      <w:bookmarkEnd w:id="2229"/>
      <w:bookmarkEnd w:id="2230"/>
      <w:bookmarkEnd w:id="2231"/>
      <w:bookmarkEnd w:id="2232"/>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11.1.2 </w:t>
      </w:r>
      <w:r>
        <w:rPr>
          <w:rFonts w:hint="eastAsia"/>
          <w:color w:val="auto"/>
          <w:highlight w:val="none"/>
        </w:rPr>
        <w:t>项补充：</w:t>
      </w:r>
    </w:p>
    <w:p>
      <w:pPr>
        <w:pStyle w:val="20"/>
        <w:spacing w:line="400" w:lineRule="exact"/>
        <w:ind w:left="424" w:right="382" w:firstLine="479"/>
        <w:rPr>
          <w:color w:val="auto"/>
          <w:highlight w:val="none"/>
        </w:rPr>
      </w:pPr>
      <w:r>
        <w:rPr>
          <w:rFonts w:hint="eastAsia"/>
          <w:color w:val="auto"/>
          <w:spacing w:val="-5"/>
          <w:highlight w:val="none"/>
        </w:rPr>
        <w:t xml:space="preserve">承包人应在分部工程开工前 </w:t>
      </w:r>
      <w:r>
        <w:rPr>
          <w:color w:val="auto"/>
          <w:highlight w:val="none"/>
        </w:rPr>
        <w:t xml:space="preserve">14 </w:t>
      </w:r>
      <w:r>
        <w:rPr>
          <w:rFonts w:hint="eastAsia"/>
          <w:color w:val="auto"/>
          <w:spacing w:val="-5"/>
          <w:highlight w:val="none"/>
        </w:rPr>
        <w:t>天向监理人提交分部工程开工报审表，若承包人的开工准备、工作计划和质量控制方法是可接受的且已获得批准，则经监理人书面同意，分部工程才能开工。</w:t>
      </w:r>
    </w:p>
    <w:p>
      <w:pPr>
        <w:pStyle w:val="86"/>
        <w:numPr>
          <w:ilvl w:val="1"/>
          <w:numId w:val="26"/>
        </w:numPr>
        <w:tabs>
          <w:tab w:val="left" w:pos="965"/>
        </w:tabs>
        <w:spacing w:line="400" w:lineRule="exact"/>
        <w:rPr>
          <w:color w:val="auto"/>
          <w:sz w:val="24"/>
          <w:szCs w:val="24"/>
          <w:highlight w:val="none"/>
        </w:rPr>
      </w:pPr>
      <w:bookmarkStart w:id="2233" w:name="_bookmark201"/>
      <w:bookmarkEnd w:id="2233"/>
      <w:bookmarkStart w:id="2234" w:name="_Toc13353"/>
      <w:bookmarkStart w:id="2235" w:name="_Toc16356"/>
      <w:bookmarkStart w:id="2236" w:name="_Toc16055"/>
      <w:bookmarkStart w:id="2237" w:name="_Toc1690"/>
      <w:bookmarkStart w:id="2238" w:name="_Toc377"/>
      <w:bookmarkStart w:id="2239" w:name="_Toc19414"/>
      <w:bookmarkStart w:id="2240" w:name="_Toc17347"/>
      <w:bookmarkStart w:id="2241" w:name="_Toc2826"/>
      <w:bookmarkStart w:id="2242" w:name="_Toc15239"/>
      <w:r>
        <w:rPr>
          <w:rFonts w:hint="eastAsia" w:ascii="黑体" w:hAnsi="黑体" w:eastAsia="黑体" w:cs="黑体"/>
          <w:color w:val="auto"/>
          <w:sz w:val="24"/>
          <w:szCs w:val="24"/>
          <w:highlight w:val="none"/>
        </w:rPr>
        <w:t>发包人的工期延误</w:t>
      </w:r>
      <w:bookmarkEnd w:id="2234"/>
      <w:bookmarkEnd w:id="2235"/>
      <w:bookmarkEnd w:id="2236"/>
      <w:bookmarkEnd w:id="2237"/>
      <w:bookmarkEnd w:id="2238"/>
      <w:bookmarkEnd w:id="2239"/>
      <w:bookmarkEnd w:id="2240"/>
      <w:bookmarkEnd w:id="2241"/>
      <w:bookmarkEnd w:id="2242"/>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本款补充：</w:t>
      </w:r>
    </w:p>
    <w:p>
      <w:pPr>
        <w:pStyle w:val="20"/>
        <w:spacing w:line="400" w:lineRule="exact"/>
        <w:ind w:left="424" w:right="388" w:firstLine="479"/>
        <w:rPr>
          <w:color w:val="auto"/>
          <w:highlight w:val="none"/>
        </w:rPr>
      </w:pPr>
      <w:r>
        <w:rPr>
          <w:rFonts w:hint="eastAsia"/>
          <w:color w:val="auto"/>
          <w:highlight w:val="none"/>
        </w:rPr>
        <w:t>即使由于上述原因造成工期延误，如果受影响的工程并非处在工程施工进度网络计划的关键线路上，则承包人无权要求延长总工期。</w:t>
      </w:r>
    </w:p>
    <w:p>
      <w:pPr>
        <w:pStyle w:val="20"/>
        <w:spacing w:line="400" w:lineRule="exact"/>
        <w:rPr>
          <w:color w:val="auto"/>
          <w:highlight w:val="none"/>
        </w:rPr>
      </w:pPr>
    </w:p>
    <w:p>
      <w:pPr>
        <w:pStyle w:val="86"/>
        <w:numPr>
          <w:ilvl w:val="1"/>
          <w:numId w:val="26"/>
        </w:numPr>
        <w:tabs>
          <w:tab w:val="left" w:pos="905"/>
        </w:tabs>
        <w:spacing w:line="400" w:lineRule="exact"/>
        <w:ind w:left="904" w:hanging="480"/>
        <w:rPr>
          <w:color w:val="auto"/>
          <w:sz w:val="24"/>
          <w:szCs w:val="24"/>
          <w:highlight w:val="none"/>
        </w:rPr>
      </w:pPr>
      <w:bookmarkStart w:id="2243" w:name="_bookmark202"/>
      <w:bookmarkEnd w:id="2243"/>
      <w:bookmarkStart w:id="2244" w:name="_Toc9968"/>
      <w:bookmarkStart w:id="2245" w:name="_Toc26886"/>
      <w:bookmarkStart w:id="2246" w:name="_Toc13356"/>
      <w:bookmarkStart w:id="2247" w:name="_Toc632"/>
      <w:bookmarkStart w:id="2248" w:name="_Toc5307"/>
      <w:bookmarkStart w:id="2249" w:name="_Toc16083"/>
      <w:bookmarkStart w:id="2250" w:name="_Toc27499"/>
      <w:bookmarkStart w:id="2251" w:name="_Toc30983"/>
      <w:bookmarkStart w:id="2252" w:name="_Toc19530"/>
      <w:r>
        <w:rPr>
          <w:rFonts w:hint="eastAsia" w:ascii="黑体" w:hAnsi="黑体" w:eastAsia="黑体" w:cs="黑体"/>
          <w:color w:val="auto"/>
          <w:sz w:val="24"/>
          <w:szCs w:val="24"/>
          <w:highlight w:val="none"/>
        </w:rPr>
        <w:t>异常恶劣的气候条件</w:t>
      </w:r>
      <w:bookmarkEnd w:id="2244"/>
      <w:bookmarkEnd w:id="2245"/>
      <w:bookmarkEnd w:id="2246"/>
      <w:bookmarkEnd w:id="2247"/>
      <w:bookmarkEnd w:id="2248"/>
      <w:bookmarkEnd w:id="2249"/>
      <w:bookmarkEnd w:id="2250"/>
      <w:bookmarkEnd w:id="2251"/>
      <w:bookmarkEnd w:id="2252"/>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本款补充：</w:t>
      </w:r>
    </w:p>
    <w:p>
      <w:pPr>
        <w:pStyle w:val="20"/>
        <w:spacing w:line="400" w:lineRule="exact"/>
        <w:ind w:left="424" w:right="384" w:firstLine="479"/>
        <w:rPr>
          <w:color w:val="auto"/>
          <w:highlight w:val="none"/>
        </w:rPr>
      </w:pPr>
      <w:r>
        <w:rPr>
          <w:rFonts w:hint="eastAsia"/>
          <w:color w:val="auto"/>
          <w:spacing w:val="-5"/>
          <w:highlight w:val="none"/>
        </w:rPr>
        <w:t xml:space="preserve">异常气候是指项目所在地 </w:t>
      </w:r>
      <w:r>
        <w:rPr>
          <w:color w:val="auto"/>
          <w:highlight w:val="none"/>
        </w:rPr>
        <w:t xml:space="preserve">30 </w:t>
      </w:r>
      <w:r>
        <w:rPr>
          <w:rFonts w:hint="eastAsia"/>
          <w:color w:val="auto"/>
          <w:spacing w:val="-3"/>
          <w:highlight w:val="none"/>
        </w:rPr>
        <w:t>年以上一遇的罕见气候现象</w:t>
      </w:r>
      <w:r>
        <w:rPr>
          <w:color w:val="auto"/>
          <w:highlight w:val="none"/>
        </w:rPr>
        <w:fldChar w:fldCharType="begin"/>
      </w:r>
      <w:r>
        <w:rPr>
          <w:color w:val="auto"/>
          <w:highlight w:val="none"/>
        </w:rPr>
        <w:instrText xml:space="preserve"> HYPERLINK "http://baike.baidu.com/view/8193.htm" </w:instrText>
      </w:r>
      <w:r>
        <w:rPr>
          <w:color w:val="auto"/>
          <w:highlight w:val="none"/>
        </w:rPr>
        <w:fldChar w:fldCharType="separate"/>
      </w:r>
      <w:r>
        <w:rPr>
          <w:rFonts w:hint="eastAsia"/>
          <w:color w:val="auto"/>
          <w:spacing w:val="-3"/>
          <w:highlight w:val="none"/>
        </w:rPr>
        <w:t>（包括温度</w:t>
      </w:r>
      <w:r>
        <w:rPr>
          <w:rFonts w:hint="eastAsia"/>
          <w:color w:val="auto"/>
          <w:spacing w:val="-3"/>
          <w:highlight w:val="none"/>
        </w:rPr>
        <w:fldChar w:fldCharType="end"/>
      </w:r>
      <w:r>
        <w:rPr>
          <w:rFonts w:hint="eastAsia"/>
          <w:color w:val="auto"/>
          <w:spacing w:val="-3"/>
          <w:highlight w:val="none"/>
        </w:rPr>
        <w:t>、降水、</w:t>
      </w:r>
      <w:r>
        <w:rPr>
          <w:rFonts w:hint="eastAsia"/>
          <w:color w:val="auto"/>
          <w:spacing w:val="-12"/>
          <w:highlight w:val="none"/>
        </w:rPr>
        <w:t>降雪、风等</w:t>
      </w:r>
      <w:r>
        <w:rPr>
          <w:rFonts w:hint="eastAsia"/>
          <w:color w:val="auto"/>
          <w:spacing w:val="-120"/>
          <w:highlight w:val="none"/>
        </w:rPr>
        <w:t>）</w:t>
      </w:r>
      <w:r>
        <w:rPr>
          <w:rFonts w:hint="eastAsia"/>
          <w:color w:val="auto"/>
          <w:highlight w:val="none"/>
        </w:rPr>
        <w:t>。异常恶劣的气候条件在项目专用合同条款中作具体约定。</w:t>
      </w:r>
    </w:p>
    <w:p>
      <w:pPr>
        <w:pStyle w:val="20"/>
        <w:spacing w:line="400" w:lineRule="exact"/>
        <w:rPr>
          <w:color w:val="auto"/>
          <w:highlight w:val="none"/>
        </w:rPr>
      </w:pPr>
    </w:p>
    <w:p>
      <w:pPr>
        <w:pStyle w:val="86"/>
        <w:numPr>
          <w:ilvl w:val="1"/>
          <w:numId w:val="26"/>
        </w:numPr>
        <w:tabs>
          <w:tab w:val="left" w:pos="965"/>
        </w:tabs>
        <w:spacing w:line="400" w:lineRule="exact"/>
        <w:rPr>
          <w:color w:val="auto"/>
          <w:sz w:val="24"/>
          <w:szCs w:val="24"/>
          <w:highlight w:val="none"/>
        </w:rPr>
      </w:pPr>
      <w:bookmarkStart w:id="2253" w:name="_bookmark203"/>
      <w:bookmarkEnd w:id="2253"/>
      <w:bookmarkStart w:id="2254" w:name="_Toc3841"/>
      <w:bookmarkStart w:id="2255" w:name="_Toc8381"/>
      <w:bookmarkStart w:id="2256" w:name="_Toc18367"/>
      <w:bookmarkStart w:id="2257" w:name="_Toc16443"/>
      <w:bookmarkStart w:id="2258" w:name="_Toc15360"/>
      <w:bookmarkStart w:id="2259" w:name="_Toc28694"/>
      <w:bookmarkStart w:id="2260" w:name="_Toc9735"/>
      <w:bookmarkStart w:id="2261" w:name="_Toc14822"/>
      <w:bookmarkStart w:id="2262" w:name="_Toc1782"/>
      <w:r>
        <w:rPr>
          <w:rFonts w:hint="eastAsia" w:ascii="黑体" w:hAnsi="黑体" w:eastAsia="黑体" w:cs="黑体"/>
          <w:color w:val="auto"/>
          <w:sz w:val="24"/>
          <w:szCs w:val="24"/>
          <w:highlight w:val="none"/>
        </w:rPr>
        <w:t>承包人的工期延误</w:t>
      </w:r>
      <w:bookmarkEnd w:id="2254"/>
      <w:bookmarkEnd w:id="2255"/>
      <w:bookmarkEnd w:id="2256"/>
      <w:bookmarkEnd w:id="2257"/>
      <w:bookmarkEnd w:id="2258"/>
      <w:bookmarkEnd w:id="2259"/>
      <w:bookmarkEnd w:id="2260"/>
      <w:bookmarkEnd w:id="2261"/>
      <w:bookmarkEnd w:id="2262"/>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424" w:right="383" w:firstLine="479"/>
        <w:rPr>
          <w:color w:val="auto"/>
          <w:highlight w:val="none"/>
        </w:rPr>
      </w:pPr>
      <w:r>
        <w:rPr>
          <w:rFonts w:hint="eastAsia"/>
          <w:color w:val="auto"/>
          <w:spacing w:val="-15"/>
          <w:highlight w:val="none"/>
        </w:rPr>
        <w:t>（</w:t>
      </w:r>
      <w:r>
        <w:rPr>
          <w:color w:val="auto"/>
          <w:spacing w:val="-15"/>
          <w:highlight w:val="none"/>
        </w:rPr>
        <w:t>1</w:t>
      </w:r>
      <w:r>
        <w:rPr>
          <w:rFonts w:hint="eastAsia"/>
          <w:color w:val="auto"/>
          <w:spacing w:val="-15"/>
          <w:highlight w:val="none"/>
        </w:rPr>
        <w:t>）</w:t>
      </w:r>
      <w:r>
        <w:rPr>
          <w:rFonts w:hint="eastAsia"/>
          <w:color w:val="auto"/>
          <w:spacing w:val="-3"/>
          <w:highlight w:val="none"/>
        </w:rPr>
        <w:t>承包人应严格执行监理人批准的合同进度计划，对工作量计划和形象进度</w:t>
      </w:r>
      <w:r>
        <w:rPr>
          <w:rFonts w:hint="eastAsia"/>
          <w:color w:val="auto"/>
          <w:spacing w:val="-10"/>
          <w:highlight w:val="none"/>
        </w:rPr>
        <w:t xml:space="preserve">计划分别控制。除第 </w:t>
      </w:r>
      <w:r>
        <w:rPr>
          <w:color w:val="auto"/>
          <w:spacing w:val="-3"/>
          <w:highlight w:val="none"/>
        </w:rPr>
        <w:t xml:space="preserve">11.3 </w:t>
      </w:r>
      <w:r>
        <w:rPr>
          <w:rFonts w:hint="eastAsia"/>
          <w:color w:val="auto"/>
          <w:spacing w:val="-2"/>
          <w:highlight w:val="none"/>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pStyle w:val="20"/>
        <w:spacing w:line="400" w:lineRule="exact"/>
        <w:ind w:left="424" w:right="264" w:firstLine="479"/>
        <w:rPr>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color w:val="auto"/>
          <w:spacing w:val="-3"/>
          <w:highlight w:val="none"/>
        </w:rPr>
        <w:t xml:space="preserve">如果承包人在接到监理人通知后的 </w:t>
      </w:r>
      <w:r>
        <w:rPr>
          <w:color w:val="auto"/>
          <w:highlight w:val="none"/>
        </w:rPr>
        <w:t xml:space="preserve">14 </w:t>
      </w:r>
      <w:r>
        <w:rPr>
          <w:rFonts w:hint="eastAsia"/>
          <w:color w:val="auto"/>
          <w:highlight w:val="none"/>
        </w:rPr>
        <w:t>天内，未能采取加快工程进度的措施，致使实际工程进度进一步滞后，或承包人虽采取了一些措施，仍无法按预计工</w:t>
      </w:r>
      <w:r>
        <w:rPr>
          <w:rFonts w:hint="eastAsia"/>
          <w:color w:val="auto"/>
          <w:spacing w:val="-19"/>
          <w:highlight w:val="none"/>
        </w:rPr>
        <w:t xml:space="preserve">期交工时，监理人应立即通知发包人。发包人在向承包人发出书面警告通知 </w:t>
      </w:r>
      <w:r>
        <w:rPr>
          <w:color w:val="auto"/>
          <w:highlight w:val="none"/>
        </w:rPr>
        <w:t xml:space="preserve">14 </w:t>
      </w:r>
      <w:r>
        <w:rPr>
          <w:rFonts w:hint="eastAsia"/>
          <w:color w:val="auto"/>
          <w:highlight w:val="none"/>
        </w:rPr>
        <w:t>天后，</w:t>
      </w:r>
    </w:p>
    <w:p>
      <w:pPr>
        <w:pStyle w:val="20"/>
        <w:spacing w:line="400" w:lineRule="exact"/>
        <w:ind w:left="424" w:right="385"/>
        <w:rPr>
          <w:color w:val="auto"/>
          <w:highlight w:val="none"/>
        </w:rPr>
      </w:pPr>
      <w:r>
        <w:rPr>
          <w:rFonts w:hint="eastAsia"/>
          <w:color w:val="auto"/>
          <w:spacing w:val="-9"/>
          <w:highlight w:val="none"/>
        </w:rPr>
        <w:t xml:space="preserve">发包人可按第 </w:t>
      </w:r>
      <w:r>
        <w:rPr>
          <w:color w:val="auto"/>
          <w:highlight w:val="none"/>
        </w:rPr>
        <w:t xml:space="preserve">22.1 </w:t>
      </w:r>
      <w:r>
        <w:rPr>
          <w:rFonts w:hint="eastAsia"/>
          <w:color w:val="auto"/>
          <w:spacing w:val="-3"/>
          <w:highlight w:val="none"/>
        </w:rPr>
        <w:t>款终止对承包人的雇用，也可将本合同工程中的一部分工作交由其他承包人或其他分包人完成。在不解除本合同规定的承包人责任和义务的同时， 承包人应承担因此所增加的一切费用。</w:t>
      </w:r>
    </w:p>
    <w:p>
      <w:pPr>
        <w:pStyle w:val="20"/>
        <w:spacing w:line="400" w:lineRule="exact"/>
        <w:ind w:left="424" w:right="384" w:firstLine="479"/>
        <w:rPr>
          <w:color w:val="auto"/>
          <w:highlight w:val="none"/>
        </w:rPr>
      </w:pPr>
      <w:r>
        <w:rPr>
          <w:rFonts w:hint="eastAsia"/>
          <w:color w:val="auto"/>
          <w:spacing w:val="-10"/>
          <w:highlight w:val="none"/>
        </w:rPr>
        <w:t>（</w:t>
      </w:r>
      <w:r>
        <w:rPr>
          <w:color w:val="auto"/>
          <w:spacing w:val="-10"/>
          <w:highlight w:val="none"/>
        </w:rPr>
        <w:t>3</w:t>
      </w:r>
      <w:r>
        <w:rPr>
          <w:rFonts w:hint="eastAsia"/>
          <w:color w:val="auto"/>
          <w:spacing w:val="-10"/>
          <w:highlight w:val="none"/>
        </w:rPr>
        <w:t>）</w:t>
      </w:r>
      <w:r>
        <w:rPr>
          <w:rFonts w:hint="eastAsia"/>
          <w:color w:val="auto"/>
          <w:spacing w:val="-4"/>
          <w:highlight w:val="none"/>
        </w:rPr>
        <w:t>由于承包人原因造成工期延误，承包人应支付逾期交工违约金。逾期交工违约金的计算方法在项目专用合同条款数据表中约定，时间自预定的交工日期起到</w:t>
      </w:r>
      <w:r>
        <w:rPr>
          <w:rFonts w:hint="eastAsia"/>
          <w:color w:val="auto"/>
          <w:spacing w:val="-6"/>
          <w:highlight w:val="none"/>
        </w:rPr>
        <w:t>交工验收证书中写明的实际交工日期止</w:t>
      </w:r>
      <w:r>
        <w:rPr>
          <w:rFonts w:hint="eastAsia"/>
          <w:color w:val="auto"/>
          <w:highlight w:val="none"/>
        </w:rPr>
        <w:t>（扣除已批准的延长工期</w:t>
      </w:r>
      <w:r>
        <w:rPr>
          <w:rFonts w:hint="eastAsia"/>
          <w:color w:val="auto"/>
          <w:spacing w:val="-75"/>
          <w:highlight w:val="none"/>
        </w:rPr>
        <w:t>）</w:t>
      </w:r>
      <w:r>
        <w:rPr>
          <w:rFonts w:hint="eastAsia"/>
          <w:color w:val="auto"/>
          <w:spacing w:val="-15"/>
          <w:highlight w:val="none"/>
        </w:rPr>
        <w:t>，按天计算。逾期交工违约金累计金额最高不超过项目专用合同条款数据表中写明的限额。发包人可以从应付或到期应付给承包人的任何款项中或采用其他方法扣除此违约金。</w:t>
      </w:r>
    </w:p>
    <w:p>
      <w:pPr>
        <w:pStyle w:val="20"/>
        <w:spacing w:line="400" w:lineRule="exact"/>
        <w:ind w:left="904"/>
        <w:rPr>
          <w:color w:val="auto"/>
          <w:highlight w:val="none"/>
        </w:rPr>
      </w:pPr>
      <w:r>
        <w:rPr>
          <w:rFonts w:hint="eastAsia"/>
          <w:color w:val="auto"/>
          <w:highlight w:val="none"/>
        </w:rPr>
        <w:t>（</w:t>
      </w:r>
      <w:r>
        <w:rPr>
          <w:color w:val="auto"/>
          <w:highlight w:val="none"/>
        </w:rPr>
        <w:t>4</w:t>
      </w:r>
      <w:r>
        <w:rPr>
          <w:rFonts w:hint="eastAsia"/>
          <w:color w:val="auto"/>
          <w:highlight w:val="none"/>
        </w:rPr>
        <w:t>）承包人支付逾期交工违约金，不免除承包人完成工程及修补缺陷的义务。</w:t>
      </w:r>
    </w:p>
    <w:p>
      <w:pPr>
        <w:pStyle w:val="20"/>
        <w:spacing w:line="400" w:lineRule="exact"/>
        <w:ind w:left="424" w:right="384" w:firstLine="479"/>
        <w:rPr>
          <w:color w:val="auto"/>
          <w:highlight w:val="none"/>
        </w:rPr>
      </w:pPr>
      <w:r>
        <w:rPr>
          <w:rFonts w:hint="eastAsia"/>
          <w:color w:val="auto"/>
          <w:spacing w:val="-15"/>
          <w:highlight w:val="none"/>
        </w:rPr>
        <w:t>（</w:t>
      </w:r>
      <w:r>
        <w:rPr>
          <w:color w:val="auto"/>
          <w:spacing w:val="-15"/>
          <w:highlight w:val="none"/>
        </w:rPr>
        <w:t>5</w:t>
      </w:r>
      <w:r>
        <w:rPr>
          <w:rFonts w:hint="eastAsia"/>
          <w:color w:val="auto"/>
          <w:spacing w:val="-15"/>
          <w:highlight w:val="none"/>
        </w:rPr>
        <w:t>）</w:t>
      </w:r>
      <w:r>
        <w:rPr>
          <w:rFonts w:hint="eastAsia"/>
          <w:color w:val="auto"/>
          <w:spacing w:val="-4"/>
          <w:highlight w:val="none"/>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Pr>
          <w:rFonts w:hint="eastAsia"/>
          <w:color w:val="auto"/>
          <w:highlight w:val="none"/>
        </w:rPr>
        <w:t>限额。</w:t>
      </w:r>
    </w:p>
    <w:p>
      <w:pPr>
        <w:pStyle w:val="20"/>
        <w:spacing w:line="400" w:lineRule="exact"/>
        <w:rPr>
          <w:color w:val="auto"/>
          <w:highlight w:val="none"/>
        </w:rPr>
      </w:pPr>
    </w:p>
    <w:p>
      <w:pPr>
        <w:pStyle w:val="86"/>
        <w:numPr>
          <w:ilvl w:val="1"/>
          <w:numId w:val="26"/>
        </w:numPr>
        <w:tabs>
          <w:tab w:val="left" w:pos="965"/>
        </w:tabs>
        <w:spacing w:line="400" w:lineRule="exact"/>
        <w:rPr>
          <w:rFonts w:ascii="黑体" w:hAnsi="黑体" w:eastAsia="黑体" w:cs="黑体"/>
          <w:color w:val="auto"/>
          <w:sz w:val="24"/>
          <w:szCs w:val="24"/>
          <w:highlight w:val="none"/>
        </w:rPr>
      </w:pPr>
      <w:bookmarkStart w:id="2263" w:name="_bookmark204"/>
      <w:bookmarkEnd w:id="2263"/>
      <w:bookmarkStart w:id="2264" w:name="_Toc4688"/>
      <w:bookmarkStart w:id="2265" w:name="_Toc9904"/>
      <w:bookmarkStart w:id="2266" w:name="_Toc13478"/>
      <w:bookmarkStart w:id="2267" w:name="_Toc21898"/>
      <w:bookmarkStart w:id="2268" w:name="_Toc15534"/>
      <w:bookmarkStart w:id="2269" w:name="_Toc19817"/>
      <w:bookmarkStart w:id="2270" w:name="_Toc26989"/>
      <w:bookmarkStart w:id="2271" w:name="_Toc28866"/>
      <w:bookmarkStart w:id="2272" w:name="_Toc20421"/>
      <w:r>
        <w:rPr>
          <w:rFonts w:hint="eastAsia" w:ascii="黑体" w:hAnsi="黑体" w:eastAsia="黑体" w:cs="黑体"/>
          <w:color w:val="auto"/>
          <w:sz w:val="24"/>
          <w:szCs w:val="24"/>
          <w:highlight w:val="none"/>
        </w:rPr>
        <w:t>工期提前</w:t>
      </w:r>
      <w:bookmarkEnd w:id="2264"/>
      <w:bookmarkEnd w:id="2265"/>
      <w:bookmarkEnd w:id="2266"/>
      <w:bookmarkEnd w:id="2267"/>
      <w:bookmarkEnd w:id="2268"/>
      <w:bookmarkEnd w:id="2269"/>
      <w:bookmarkEnd w:id="2270"/>
      <w:bookmarkEnd w:id="2271"/>
      <w:bookmarkEnd w:id="2272"/>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本款补充：</w:t>
      </w:r>
    </w:p>
    <w:p>
      <w:pPr>
        <w:pStyle w:val="20"/>
        <w:spacing w:line="400" w:lineRule="exact"/>
        <w:ind w:left="424" w:right="184" w:firstLine="479"/>
        <w:rPr>
          <w:color w:val="auto"/>
          <w:highlight w:val="none"/>
        </w:rPr>
      </w:pPr>
      <w:r>
        <w:rPr>
          <w:rFonts w:hint="eastAsia"/>
          <w:color w:val="auto"/>
          <w:highlight w:val="none"/>
        </w:rPr>
        <w:t>发包人不得随意要求承包人提前交工，承包人也不得随意提出提前交工的建议。如遇特殊情况，确需将工期提前的，发包人和承包人必须采取有效措施，确保工程质量。</w:t>
      </w:r>
    </w:p>
    <w:p>
      <w:pPr>
        <w:pStyle w:val="20"/>
        <w:spacing w:line="400" w:lineRule="exact"/>
        <w:ind w:left="424" w:right="387" w:firstLine="479"/>
        <w:rPr>
          <w:color w:val="auto"/>
          <w:highlight w:val="none"/>
        </w:rPr>
      </w:pPr>
      <w:r>
        <w:rPr>
          <w:rFonts w:hint="eastAsia"/>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pPr>
        <w:pStyle w:val="20"/>
        <w:spacing w:line="400" w:lineRule="exact"/>
        <w:rPr>
          <w:color w:val="auto"/>
          <w:highlight w:val="none"/>
        </w:rPr>
      </w:pPr>
    </w:p>
    <w:p>
      <w:pPr>
        <w:pStyle w:val="20"/>
        <w:spacing w:line="400" w:lineRule="exact"/>
        <w:ind w:left="424"/>
        <w:rPr>
          <w:color w:val="auto"/>
          <w:highlight w:val="none"/>
        </w:rPr>
      </w:pPr>
      <w:r>
        <w:rPr>
          <w:rFonts w:hint="eastAsia"/>
          <w:color w:val="auto"/>
          <w:highlight w:val="none"/>
        </w:rPr>
        <w:t xml:space="preserve">本条补充第 </w:t>
      </w:r>
      <w:r>
        <w:rPr>
          <w:color w:val="auto"/>
          <w:highlight w:val="none"/>
        </w:rPr>
        <w:t xml:space="preserve">11.7 </w:t>
      </w:r>
      <w:r>
        <w:rPr>
          <w:rFonts w:hint="eastAsia"/>
          <w:color w:val="auto"/>
          <w:highlight w:val="none"/>
        </w:rPr>
        <w:t>款：</w:t>
      </w:r>
    </w:p>
    <w:p>
      <w:pPr>
        <w:pStyle w:val="20"/>
        <w:spacing w:line="400" w:lineRule="exact"/>
        <w:rPr>
          <w:color w:val="auto"/>
          <w:highlight w:val="none"/>
        </w:rPr>
      </w:pPr>
    </w:p>
    <w:p>
      <w:pPr>
        <w:pStyle w:val="86"/>
        <w:numPr>
          <w:ilvl w:val="1"/>
          <w:numId w:val="26"/>
        </w:numPr>
        <w:tabs>
          <w:tab w:val="left" w:pos="965"/>
        </w:tabs>
        <w:spacing w:line="400" w:lineRule="exact"/>
        <w:rPr>
          <w:rFonts w:ascii="黑体" w:hAnsi="黑体" w:eastAsia="黑体" w:cs="黑体"/>
          <w:color w:val="auto"/>
          <w:sz w:val="24"/>
          <w:szCs w:val="24"/>
          <w:highlight w:val="none"/>
        </w:rPr>
      </w:pPr>
      <w:bookmarkStart w:id="2273" w:name="_bookmark205"/>
      <w:bookmarkEnd w:id="2273"/>
      <w:bookmarkStart w:id="2274" w:name="_Toc18625"/>
      <w:bookmarkStart w:id="2275" w:name="_Toc28056"/>
      <w:bookmarkStart w:id="2276" w:name="_Toc14729"/>
      <w:bookmarkStart w:id="2277" w:name="_Toc4258"/>
      <w:bookmarkStart w:id="2278" w:name="_Toc5308"/>
      <w:bookmarkStart w:id="2279" w:name="_Toc18655"/>
      <w:bookmarkStart w:id="2280" w:name="_Toc13010"/>
      <w:bookmarkStart w:id="2281" w:name="_Toc15900"/>
      <w:bookmarkStart w:id="2282" w:name="_Toc20347"/>
      <w:r>
        <w:rPr>
          <w:rFonts w:hint="eastAsia" w:ascii="黑体" w:hAnsi="黑体" w:eastAsia="黑体" w:cs="黑体"/>
          <w:color w:val="auto"/>
          <w:sz w:val="24"/>
          <w:szCs w:val="24"/>
          <w:highlight w:val="none"/>
        </w:rPr>
        <w:t>工作时间的限制</w:t>
      </w:r>
      <w:bookmarkEnd w:id="2274"/>
      <w:bookmarkEnd w:id="2275"/>
      <w:bookmarkEnd w:id="2276"/>
      <w:bookmarkEnd w:id="2277"/>
      <w:bookmarkEnd w:id="2278"/>
      <w:bookmarkEnd w:id="2279"/>
      <w:bookmarkEnd w:id="2280"/>
      <w:bookmarkEnd w:id="2281"/>
      <w:bookmarkEnd w:id="2282"/>
    </w:p>
    <w:p>
      <w:pPr>
        <w:pStyle w:val="20"/>
        <w:spacing w:line="400" w:lineRule="exact"/>
        <w:rPr>
          <w:color w:val="auto"/>
          <w:highlight w:val="none"/>
        </w:rPr>
      </w:pPr>
    </w:p>
    <w:p>
      <w:pPr>
        <w:pStyle w:val="20"/>
        <w:spacing w:line="400" w:lineRule="exact"/>
        <w:ind w:left="424" w:right="391" w:firstLine="479"/>
        <w:rPr>
          <w:color w:val="auto"/>
          <w:highlight w:val="none"/>
        </w:rPr>
      </w:pPr>
      <w:r>
        <w:rPr>
          <w:rFonts w:hint="eastAsia"/>
          <w:color w:val="auto"/>
          <w:highlight w:val="none"/>
        </w:rPr>
        <w:t>承包人在夜间或国家规定的节假日进行永久工程的施工，应向监理人报告，以便监理人履行监理职责和义务。</w:t>
      </w:r>
    </w:p>
    <w:p>
      <w:pPr>
        <w:pStyle w:val="20"/>
        <w:spacing w:line="400" w:lineRule="exact"/>
        <w:ind w:left="424" w:right="391" w:firstLine="479"/>
        <w:rPr>
          <w:color w:val="auto"/>
          <w:highlight w:val="none"/>
        </w:rPr>
      </w:pPr>
      <w:r>
        <w:rPr>
          <w:rFonts w:hint="eastAsia"/>
          <w:color w:val="auto"/>
          <w:highlight w:val="none"/>
        </w:rPr>
        <w:t>但是，为了抢救生命或保护财产，或为了工程的安全、质量而不可避免地短暂作业，则不必事先向监理人报告。但承包人应在事后立即向监理人报告。</w:t>
      </w:r>
    </w:p>
    <w:p>
      <w:pPr>
        <w:pStyle w:val="20"/>
        <w:spacing w:line="400" w:lineRule="exact"/>
        <w:ind w:left="904"/>
        <w:rPr>
          <w:color w:val="auto"/>
          <w:highlight w:val="none"/>
        </w:rPr>
      </w:pPr>
      <w:r>
        <w:rPr>
          <w:rFonts w:hint="eastAsia"/>
          <w:color w:val="auto"/>
          <w:highlight w:val="none"/>
        </w:rPr>
        <w:t>本款规定不适用于习惯上或施工本身要求实行连续生产的作业。</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283" w:name="_bookmark206"/>
      <w:bookmarkEnd w:id="2283"/>
      <w:bookmarkStart w:id="2284" w:name="_Toc4116"/>
      <w:bookmarkStart w:id="2285" w:name="_Toc816"/>
      <w:bookmarkStart w:id="2286" w:name="_Toc4253"/>
      <w:bookmarkStart w:id="2287" w:name="_Toc24394"/>
      <w:bookmarkStart w:id="2288" w:name="_Toc27006"/>
      <w:bookmarkStart w:id="2289" w:name="_Toc7931"/>
      <w:bookmarkStart w:id="2290" w:name="_Toc13773"/>
      <w:bookmarkStart w:id="2291" w:name="_Toc3182"/>
      <w:bookmarkStart w:id="2292" w:name="_Toc24819"/>
      <w:bookmarkStart w:id="2293" w:name="_Toc11806"/>
      <w:bookmarkStart w:id="2294" w:name="_Toc23813"/>
      <w:bookmarkStart w:id="2295" w:name="_Toc6989"/>
      <w:bookmarkStart w:id="2296" w:name="_Toc22005"/>
      <w:bookmarkStart w:id="2297" w:name="_Toc10808"/>
      <w:bookmarkStart w:id="2298" w:name="_Toc28175"/>
      <w:bookmarkStart w:id="2299" w:name="_Toc7197"/>
      <w:bookmarkStart w:id="2300" w:name="_Toc1582"/>
      <w:r>
        <w:rPr>
          <w:rFonts w:hint="eastAsia" w:ascii="黑体" w:hAnsi="黑体" w:eastAsia="黑体" w:cs="黑体"/>
          <w:color w:val="auto"/>
          <w:sz w:val="24"/>
          <w:szCs w:val="24"/>
          <w:highlight w:val="none"/>
        </w:rPr>
        <w:t>暂停施工</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301" w:name="_bookmark207"/>
      <w:bookmarkEnd w:id="2301"/>
      <w:bookmarkStart w:id="2302" w:name="_Toc19500"/>
      <w:bookmarkStart w:id="2303" w:name="_Toc25129"/>
      <w:bookmarkStart w:id="2304" w:name="_Toc14980"/>
      <w:bookmarkStart w:id="2305" w:name="_Toc22270"/>
      <w:bookmarkStart w:id="2306" w:name="_Toc27898"/>
      <w:bookmarkStart w:id="2307" w:name="_Toc16779"/>
      <w:bookmarkStart w:id="2308" w:name="_Toc13126"/>
      <w:bookmarkStart w:id="2309" w:name="_Toc1475"/>
      <w:bookmarkStart w:id="2310" w:name="_Toc3587"/>
      <w:r>
        <w:rPr>
          <w:rFonts w:hint="eastAsia" w:ascii="黑体" w:hAnsi="黑体" w:eastAsia="黑体" w:cs="黑体"/>
          <w:color w:val="auto"/>
          <w:sz w:val="24"/>
          <w:szCs w:val="24"/>
          <w:highlight w:val="none"/>
        </w:rPr>
        <w:t>承包人暂停施工的责任</w:t>
      </w:r>
      <w:bookmarkEnd w:id="2302"/>
      <w:bookmarkEnd w:id="2303"/>
      <w:bookmarkEnd w:id="2304"/>
      <w:bookmarkEnd w:id="2305"/>
      <w:bookmarkEnd w:id="2306"/>
      <w:bookmarkEnd w:id="2307"/>
      <w:bookmarkEnd w:id="2308"/>
      <w:bookmarkEnd w:id="2309"/>
      <w:bookmarkEnd w:id="2310"/>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本款第（</w:t>
      </w:r>
      <w:r>
        <w:rPr>
          <w:color w:val="auto"/>
          <w:highlight w:val="none"/>
        </w:rPr>
        <w:t>5</w:t>
      </w:r>
      <w:r>
        <w:rPr>
          <w:rFonts w:hint="eastAsia"/>
          <w:color w:val="auto"/>
          <w:highlight w:val="none"/>
        </w:rPr>
        <w:t>）项细化为：</w:t>
      </w:r>
    </w:p>
    <w:p>
      <w:pPr>
        <w:pStyle w:val="20"/>
        <w:spacing w:line="400" w:lineRule="exact"/>
        <w:ind w:left="424" w:right="383" w:firstLine="479"/>
        <w:rPr>
          <w:color w:val="auto"/>
          <w:highlight w:val="none"/>
        </w:rPr>
      </w:pPr>
      <w:r>
        <w:rPr>
          <w:rFonts w:hint="eastAsia"/>
          <w:color w:val="auto"/>
          <w:highlight w:val="none"/>
        </w:rPr>
        <w:t>（</w:t>
      </w:r>
      <w:r>
        <w:rPr>
          <w:color w:val="auto"/>
          <w:highlight w:val="none"/>
        </w:rPr>
        <w:t>5</w:t>
      </w:r>
      <w:r>
        <w:rPr>
          <w:rFonts w:hint="eastAsia"/>
          <w:color w:val="auto"/>
          <w:highlight w:val="none"/>
        </w:rPr>
        <w:t>）现场气候条件导致的必要停工（</w:t>
      </w:r>
      <w:r>
        <w:rPr>
          <w:rFonts w:hint="eastAsia"/>
          <w:color w:val="auto"/>
          <w:spacing w:val="-4"/>
          <w:highlight w:val="none"/>
        </w:rPr>
        <w:t xml:space="preserve">第 </w:t>
      </w:r>
      <w:r>
        <w:rPr>
          <w:color w:val="auto"/>
          <w:spacing w:val="-3"/>
          <w:highlight w:val="none"/>
        </w:rPr>
        <w:t>11.4</w:t>
      </w:r>
      <w:r>
        <w:rPr>
          <w:rFonts w:hint="eastAsia"/>
          <w:color w:val="auto"/>
          <w:highlight w:val="none"/>
        </w:rPr>
        <w:t>款约定的异常恶劣的气候条件除外</w:t>
      </w:r>
      <w:r>
        <w:rPr>
          <w:rFonts w:hint="eastAsia"/>
          <w:color w:val="auto"/>
          <w:spacing w:val="-121"/>
          <w:highlight w:val="none"/>
        </w:rPr>
        <w:t>）</w:t>
      </w:r>
      <w:r>
        <w:rPr>
          <w:rFonts w:hint="eastAsia"/>
          <w:color w:val="auto"/>
          <w:highlight w:val="none"/>
        </w:rPr>
        <w:t>；</w:t>
      </w:r>
    </w:p>
    <w:p>
      <w:pPr>
        <w:pStyle w:val="20"/>
        <w:spacing w:line="400" w:lineRule="exact"/>
        <w:ind w:left="904"/>
        <w:rPr>
          <w:color w:val="auto"/>
          <w:highlight w:val="none"/>
        </w:rPr>
      </w:pPr>
      <w:r>
        <w:rPr>
          <w:rFonts w:hint="eastAsia"/>
          <w:color w:val="auto"/>
          <w:highlight w:val="none"/>
        </w:rPr>
        <w:t>（</w:t>
      </w:r>
      <w:r>
        <w:rPr>
          <w:color w:val="auto"/>
          <w:highlight w:val="none"/>
        </w:rPr>
        <w:t>6</w:t>
      </w:r>
      <w:r>
        <w:rPr>
          <w:rFonts w:hint="eastAsia"/>
          <w:color w:val="auto"/>
          <w:highlight w:val="none"/>
        </w:rPr>
        <w:t>）项目专用合同条款可能约定的由承包人承担的其他暂停施工。</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311" w:name="_bookmark208"/>
      <w:bookmarkEnd w:id="2311"/>
      <w:bookmarkStart w:id="2312" w:name="_Toc11015"/>
      <w:bookmarkStart w:id="2313" w:name="_Toc27782"/>
      <w:bookmarkStart w:id="2314" w:name="_Toc10757"/>
      <w:bookmarkStart w:id="2315" w:name="_Toc6520"/>
      <w:bookmarkStart w:id="2316" w:name="_Toc7315"/>
      <w:bookmarkStart w:id="2317" w:name="_Toc18091"/>
      <w:bookmarkStart w:id="2318" w:name="_Toc9134"/>
      <w:bookmarkStart w:id="2319" w:name="_Toc9476"/>
      <w:bookmarkStart w:id="2320" w:name="_Toc28101"/>
      <w:bookmarkStart w:id="2321" w:name="_Toc18103"/>
      <w:bookmarkStart w:id="2322" w:name="_Toc15948"/>
      <w:bookmarkStart w:id="2323" w:name="_Toc18395"/>
      <w:bookmarkStart w:id="2324" w:name="_Toc31459"/>
      <w:bookmarkStart w:id="2325" w:name="_Toc9941"/>
      <w:bookmarkStart w:id="2326" w:name="_Toc22001"/>
      <w:bookmarkStart w:id="2327" w:name="_Toc15834"/>
      <w:bookmarkStart w:id="2328" w:name="_Toc31420"/>
      <w:r>
        <w:rPr>
          <w:rFonts w:hint="eastAsia" w:ascii="黑体" w:hAnsi="黑体" w:eastAsia="黑体" w:cs="黑体"/>
          <w:color w:val="auto"/>
          <w:sz w:val="24"/>
          <w:szCs w:val="24"/>
          <w:highlight w:val="none"/>
        </w:rPr>
        <w:t>工程质量</w:t>
      </w:r>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329" w:name="_bookmark209"/>
      <w:bookmarkEnd w:id="2329"/>
      <w:bookmarkStart w:id="2330" w:name="_Toc8303"/>
      <w:bookmarkStart w:id="2331" w:name="_Toc6112"/>
      <w:bookmarkStart w:id="2332" w:name="_Toc28895"/>
      <w:bookmarkStart w:id="2333" w:name="_Toc22561"/>
      <w:bookmarkStart w:id="2334" w:name="_Toc32429"/>
      <w:bookmarkStart w:id="2335" w:name="_Toc9844"/>
      <w:bookmarkStart w:id="2336" w:name="_Toc2533"/>
      <w:bookmarkStart w:id="2337" w:name="_Toc7255"/>
      <w:bookmarkStart w:id="2338" w:name="_Toc25584"/>
      <w:r>
        <w:rPr>
          <w:rFonts w:hint="eastAsia" w:ascii="黑体" w:hAnsi="黑体" w:eastAsia="黑体" w:cs="黑体"/>
          <w:color w:val="auto"/>
          <w:sz w:val="24"/>
          <w:szCs w:val="24"/>
          <w:highlight w:val="none"/>
        </w:rPr>
        <w:t>工程质量要求</w:t>
      </w:r>
      <w:bookmarkEnd w:id="2330"/>
      <w:bookmarkEnd w:id="2331"/>
      <w:bookmarkEnd w:id="2332"/>
      <w:bookmarkEnd w:id="2333"/>
      <w:bookmarkEnd w:id="2334"/>
      <w:bookmarkEnd w:id="2335"/>
      <w:bookmarkEnd w:id="2336"/>
      <w:bookmarkEnd w:id="2337"/>
      <w:bookmarkEnd w:id="233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13.1.1 </w:t>
      </w:r>
      <w:r>
        <w:rPr>
          <w:rFonts w:hint="eastAsia"/>
          <w:color w:val="auto"/>
          <w:highlight w:val="none"/>
        </w:rPr>
        <w:t>项约定为：</w:t>
      </w:r>
    </w:p>
    <w:p>
      <w:pPr>
        <w:pStyle w:val="20"/>
        <w:spacing w:line="400" w:lineRule="exact"/>
        <w:ind w:left="904"/>
        <w:rPr>
          <w:color w:val="auto"/>
          <w:highlight w:val="none"/>
        </w:rPr>
      </w:pPr>
      <w:r>
        <w:rPr>
          <w:rFonts w:hint="eastAsia"/>
          <w:color w:val="auto"/>
          <w:highlight w:val="none"/>
        </w:rPr>
        <w:t>工程质量验收按技术规范及《公路工程质量检验评定标准》执行。</w:t>
      </w:r>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13.1.4 </w:t>
      </w:r>
      <w:r>
        <w:rPr>
          <w:rFonts w:hint="eastAsia"/>
          <w:color w:val="auto"/>
          <w:highlight w:val="none"/>
        </w:rPr>
        <w:t xml:space="preserve">项、第 </w:t>
      </w:r>
      <w:r>
        <w:rPr>
          <w:color w:val="auto"/>
          <w:highlight w:val="none"/>
        </w:rPr>
        <w:t xml:space="preserve">13.1.5 </w:t>
      </w:r>
      <w:r>
        <w:rPr>
          <w:rFonts w:hint="eastAsia"/>
          <w:color w:val="auto"/>
          <w:highlight w:val="none"/>
        </w:rPr>
        <w:t>项：</w:t>
      </w:r>
    </w:p>
    <w:p>
      <w:pPr>
        <w:pStyle w:val="86"/>
        <w:numPr>
          <w:ilvl w:val="2"/>
          <w:numId w:val="27"/>
        </w:numPr>
        <w:tabs>
          <w:tab w:val="left" w:pos="1625"/>
        </w:tabs>
        <w:spacing w:line="400" w:lineRule="exact"/>
        <w:ind w:right="388" w:firstLine="480"/>
        <w:rPr>
          <w:color w:val="auto"/>
          <w:sz w:val="24"/>
          <w:szCs w:val="24"/>
          <w:highlight w:val="none"/>
        </w:rPr>
      </w:pPr>
      <w:r>
        <w:rPr>
          <w:rFonts w:hint="eastAsia"/>
          <w:color w:val="auto"/>
          <w:sz w:val="24"/>
          <w:szCs w:val="24"/>
          <w:highlight w:val="none"/>
        </w:rPr>
        <w:t>发包人和承包人应严格遵守《关于严格落实公路工程质量责任制的若干意见》的相关规定，认真执行工程质量责任登记制度并按要求填写工程质量责任登记表。</w:t>
      </w:r>
    </w:p>
    <w:p>
      <w:pPr>
        <w:pStyle w:val="86"/>
        <w:numPr>
          <w:ilvl w:val="2"/>
          <w:numId w:val="27"/>
        </w:numPr>
        <w:tabs>
          <w:tab w:val="left" w:pos="1625"/>
        </w:tabs>
        <w:spacing w:line="400" w:lineRule="exact"/>
        <w:ind w:right="264" w:firstLine="480"/>
        <w:rPr>
          <w:color w:val="auto"/>
          <w:sz w:val="24"/>
          <w:szCs w:val="24"/>
          <w:highlight w:val="none"/>
        </w:rPr>
      </w:pPr>
      <w:r>
        <w:rPr>
          <w:rFonts w:hint="eastAsia"/>
          <w:color w:val="auto"/>
          <w:spacing w:val="-4"/>
          <w:sz w:val="24"/>
          <w:szCs w:val="24"/>
          <w:highlight w:val="none"/>
        </w:rPr>
        <w:t>本项目严格执行质量责任追究制度。质量事故处理实行</w:t>
      </w:r>
      <w:r>
        <w:rPr>
          <w:color w:val="auto"/>
          <w:sz w:val="24"/>
          <w:szCs w:val="24"/>
          <w:highlight w:val="none"/>
        </w:rPr>
        <w:t>“</w:t>
      </w:r>
      <w:r>
        <w:rPr>
          <w:rFonts w:hint="eastAsia"/>
          <w:color w:val="auto"/>
          <w:sz w:val="24"/>
          <w:szCs w:val="24"/>
          <w:highlight w:val="none"/>
        </w:rPr>
        <w:t>四不放过</w:t>
      </w:r>
      <w:r>
        <w:rPr>
          <w:color w:val="auto"/>
          <w:sz w:val="24"/>
          <w:szCs w:val="24"/>
          <w:highlight w:val="none"/>
        </w:rPr>
        <w:t>”</w:t>
      </w:r>
      <w:r>
        <w:rPr>
          <w:rFonts w:hint="eastAsia"/>
          <w:color w:val="auto"/>
          <w:sz w:val="24"/>
          <w:szCs w:val="24"/>
          <w:highlight w:val="none"/>
        </w:rPr>
        <w:t xml:space="preserve">原则： </w:t>
      </w:r>
      <w:r>
        <w:rPr>
          <w:rFonts w:hint="eastAsia"/>
          <w:color w:val="auto"/>
          <w:spacing w:val="-6"/>
          <w:sz w:val="24"/>
          <w:szCs w:val="24"/>
          <w:highlight w:val="none"/>
        </w:rPr>
        <w:t>事故原因调查不清不放过；事故责任者没有受到教育不放过；没有防范措施不放过； 相关责任人没受到处理不放过。</w:t>
      </w:r>
    </w:p>
    <w:p>
      <w:pPr>
        <w:pStyle w:val="20"/>
        <w:spacing w:line="400" w:lineRule="exact"/>
        <w:rPr>
          <w:color w:val="auto"/>
          <w:highlight w:val="none"/>
        </w:rPr>
      </w:pPr>
    </w:p>
    <w:p>
      <w:pPr>
        <w:pStyle w:val="86"/>
        <w:numPr>
          <w:ilvl w:val="1"/>
          <w:numId w:val="27"/>
        </w:numPr>
        <w:tabs>
          <w:tab w:val="left" w:pos="965"/>
        </w:tabs>
        <w:spacing w:line="400" w:lineRule="exact"/>
        <w:ind w:left="964" w:hanging="540"/>
        <w:jc w:val="left"/>
        <w:rPr>
          <w:rFonts w:ascii="黑体" w:hAnsi="黑体" w:eastAsia="黑体" w:cs="黑体"/>
          <w:color w:val="auto"/>
          <w:sz w:val="24"/>
          <w:szCs w:val="24"/>
          <w:highlight w:val="none"/>
        </w:rPr>
      </w:pPr>
      <w:bookmarkStart w:id="2339" w:name="_bookmark210"/>
      <w:bookmarkEnd w:id="2339"/>
      <w:bookmarkStart w:id="2340" w:name="_Toc18023"/>
      <w:bookmarkStart w:id="2341" w:name="_Toc20088"/>
      <w:bookmarkStart w:id="2342" w:name="_Toc18397"/>
      <w:bookmarkStart w:id="2343" w:name="_Toc2902"/>
      <w:bookmarkStart w:id="2344" w:name="_Toc21132"/>
      <w:bookmarkStart w:id="2345" w:name="_Toc15110"/>
      <w:bookmarkStart w:id="2346" w:name="_Toc26814"/>
      <w:bookmarkStart w:id="2347" w:name="_Toc8519"/>
      <w:bookmarkStart w:id="2348" w:name="_Toc32103"/>
      <w:r>
        <w:rPr>
          <w:rFonts w:hint="eastAsia" w:ascii="黑体" w:hAnsi="黑体" w:eastAsia="黑体" w:cs="黑体"/>
          <w:color w:val="auto"/>
          <w:sz w:val="24"/>
          <w:szCs w:val="24"/>
          <w:highlight w:val="none"/>
        </w:rPr>
        <w:t>承包人的质量管理</w:t>
      </w:r>
      <w:bookmarkEnd w:id="2340"/>
      <w:bookmarkEnd w:id="2341"/>
      <w:bookmarkEnd w:id="2342"/>
      <w:bookmarkEnd w:id="2343"/>
      <w:bookmarkEnd w:id="2344"/>
      <w:bookmarkEnd w:id="2345"/>
      <w:bookmarkEnd w:id="2346"/>
      <w:bookmarkEnd w:id="2347"/>
      <w:bookmarkEnd w:id="234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13.2.1 </w:t>
      </w:r>
      <w:r>
        <w:rPr>
          <w:rFonts w:hint="eastAsia"/>
          <w:color w:val="auto"/>
          <w:highlight w:val="none"/>
        </w:rPr>
        <w:t>项补充：</w:t>
      </w:r>
    </w:p>
    <w:p>
      <w:pPr>
        <w:pStyle w:val="20"/>
        <w:spacing w:line="400" w:lineRule="exact"/>
        <w:ind w:left="904"/>
        <w:rPr>
          <w:color w:val="auto"/>
          <w:highlight w:val="none"/>
        </w:rPr>
      </w:pPr>
      <w:r>
        <w:rPr>
          <w:rFonts w:hint="eastAsia"/>
          <w:color w:val="auto"/>
          <w:highlight w:val="none"/>
        </w:rPr>
        <w:t xml:space="preserve">承包人提交工程质量保证措施文件的期限：签订合同协议书后 </w:t>
      </w:r>
      <w:r>
        <w:rPr>
          <w:color w:val="auto"/>
          <w:highlight w:val="none"/>
        </w:rPr>
        <w:t xml:space="preserve">28 </w:t>
      </w:r>
      <w:r>
        <w:rPr>
          <w:rFonts w:hint="eastAsia"/>
          <w:color w:val="auto"/>
          <w:highlight w:val="none"/>
        </w:rPr>
        <w:t>天之内。</w:t>
      </w: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13.2.3 </w:t>
      </w:r>
      <w:r>
        <w:rPr>
          <w:rFonts w:hint="eastAsia"/>
          <w:color w:val="auto"/>
          <w:highlight w:val="none"/>
        </w:rPr>
        <w:t>项</w:t>
      </w:r>
      <w:r>
        <w:rPr>
          <w:color w:val="auto"/>
          <w:highlight w:val="none"/>
        </w:rPr>
        <w:t>~</w:t>
      </w:r>
      <w:r>
        <w:rPr>
          <w:rFonts w:hint="eastAsia"/>
          <w:color w:val="auto"/>
          <w:highlight w:val="none"/>
        </w:rPr>
        <w:t xml:space="preserve">第 </w:t>
      </w:r>
      <w:r>
        <w:rPr>
          <w:color w:val="auto"/>
          <w:highlight w:val="none"/>
        </w:rPr>
        <w:t xml:space="preserve">13.2.10 </w:t>
      </w:r>
      <w:r>
        <w:rPr>
          <w:rFonts w:hint="eastAsia"/>
          <w:color w:val="auto"/>
          <w:highlight w:val="none"/>
        </w:rPr>
        <w:t>项：</w:t>
      </w:r>
    </w:p>
    <w:p>
      <w:pPr>
        <w:pStyle w:val="86"/>
        <w:numPr>
          <w:ilvl w:val="2"/>
          <w:numId w:val="28"/>
        </w:numPr>
        <w:tabs>
          <w:tab w:val="left" w:pos="1625"/>
        </w:tabs>
        <w:spacing w:line="400" w:lineRule="exact"/>
        <w:ind w:right="389" w:firstLine="480"/>
        <w:rPr>
          <w:color w:val="auto"/>
          <w:sz w:val="24"/>
          <w:szCs w:val="24"/>
          <w:highlight w:val="none"/>
        </w:rPr>
      </w:pPr>
      <w:r>
        <w:rPr>
          <w:rFonts w:hint="eastAsia"/>
          <w:color w:val="auto"/>
          <w:sz w:val="24"/>
          <w:szCs w:val="24"/>
          <w:highlight w:val="none"/>
        </w:rPr>
        <w:t>公路工程施行质量责任终身制。承包人应当书面明确相应的项目负责人和质量负责人。承包人的相关人员按照国家法律法规和有关规定在工程合理使用年限内承担相应的质量责任。</w:t>
      </w:r>
    </w:p>
    <w:p>
      <w:pPr>
        <w:pStyle w:val="86"/>
        <w:numPr>
          <w:ilvl w:val="2"/>
          <w:numId w:val="28"/>
        </w:numPr>
        <w:tabs>
          <w:tab w:val="left" w:pos="1625"/>
        </w:tabs>
        <w:spacing w:line="400" w:lineRule="exact"/>
        <w:ind w:right="264" w:firstLine="480"/>
        <w:rPr>
          <w:color w:val="auto"/>
          <w:sz w:val="24"/>
          <w:szCs w:val="24"/>
          <w:highlight w:val="none"/>
        </w:rPr>
      </w:pPr>
      <w:r>
        <w:rPr>
          <w:rFonts w:hint="eastAsia"/>
          <w:color w:val="auto"/>
          <w:sz w:val="24"/>
          <w:szCs w:val="24"/>
          <w:highlight w:val="none"/>
        </w:rPr>
        <w:t>承包人应当建立健全工程质量保证体系，制定质量管理制度，强化工程</w:t>
      </w:r>
      <w:r>
        <w:rPr>
          <w:rFonts w:hint="eastAsia"/>
          <w:color w:val="auto"/>
          <w:spacing w:val="-8"/>
          <w:sz w:val="24"/>
          <w:szCs w:val="24"/>
          <w:highlight w:val="none"/>
        </w:rPr>
        <w:t xml:space="preserve">质量管理措施，完善工程质量目标保障机制；严格遵守国家有关法律、法规和规章， </w:t>
      </w:r>
      <w:r>
        <w:rPr>
          <w:rFonts w:hint="eastAsia"/>
          <w:color w:val="auto"/>
          <w:spacing w:val="-13"/>
          <w:sz w:val="24"/>
          <w:szCs w:val="24"/>
          <w:highlight w:val="none"/>
        </w:rPr>
        <w:t>严格执行公路工程强制性技术标准、各类技术规范及规程，全面履行工程合同义务。</w:t>
      </w:r>
    </w:p>
    <w:p>
      <w:pPr>
        <w:pStyle w:val="86"/>
        <w:numPr>
          <w:ilvl w:val="2"/>
          <w:numId w:val="28"/>
        </w:numPr>
        <w:tabs>
          <w:tab w:val="left" w:pos="1625"/>
        </w:tabs>
        <w:spacing w:line="400" w:lineRule="exact"/>
        <w:ind w:right="389" w:firstLine="480"/>
        <w:rPr>
          <w:color w:val="auto"/>
          <w:sz w:val="24"/>
          <w:szCs w:val="24"/>
          <w:highlight w:val="none"/>
        </w:rPr>
      </w:pPr>
      <w:r>
        <w:rPr>
          <w:rFonts w:hint="eastAsia"/>
          <w:color w:val="auto"/>
          <w:sz w:val="24"/>
          <w:szCs w:val="24"/>
          <w:highlight w:val="none"/>
        </w:rPr>
        <w:t>承包人对工程施工质量负责，应当按合同约定设立现场质量管理机构、配备工程技术人员和质量管理人员，落实工程施工质量责任制。</w:t>
      </w:r>
    </w:p>
    <w:p>
      <w:pPr>
        <w:pStyle w:val="86"/>
        <w:numPr>
          <w:ilvl w:val="2"/>
          <w:numId w:val="28"/>
        </w:numPr>
        <w:tabs>
          <w:tab w:val="left" w:pos="1625"/>
        </w:tabs>
        <w:spacing w:line="400" w:lineRule="exact"/>
        <w:ind w:right="263" w:firstLine="480"/>
        <w:rPr>
          <w:color w:val="auto"/>
          <w:sz w:val="24"/>
          <w:szCs w:val="24"/>
          <w:highlight w:val="none"/>
        </w:rPr>
      </w:pPr>
      <w:r>
        <w:rPr>
          <w:rFonts w:hint="eastAsia"/>
          <w:color w:val="auto"/>
          <w:sz w:val="24"/>
          <w:szCs w:val="24"/>
          <w:highlight w:val="none"/>
        </w:rPr>
        <w:t>承包人应当严格按照工程设计图纸、施工技术标准和合同约定施工，对</w:t>
      </w:r>
      <w:r>
        <w:rPr>
          <w:rFonts w:hint="eastAsia"/>
          <w:color w:val="auto"/>
          <w:spacing w:val="-9"/>
          <w:sz w:val="24"/>
          <w:szCs w:val="24"/>
          <w:highlight w:val="none"/>
        </w:rPr>
        <w:t>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pStyle w:val="86"/>
        <w:numPr>
          <w:ilvl w:val="2"/>
          <w:numId w:val="28"/>
        </w:numPr>
        <w:tabs>
          <w:tab w:val="left" w:pos="1625"/>
        </w:tabs>
        <w:spacing w:line="400" w:lineRule="exact"/>
        <w:ind w:right="389" w:firstLine="480"/>
        <w:rPr>
          <w:color w:val="auto"/>
          <w:sz w:val="24"/>
          <w:szCs w:val="24"/>
          <w:highlight w:val="none"/>
        </w:rPr>
      </w:pPr>
      <w:r>
        <w:rPr>
          <w:rFonts w:hint="eastAsia"/>
          <w:color w:val="auto"/>
          <w:sz w:val="24"/>
          <w:szCs w:val="24"/>
          <w:highlight w:val="none"/>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pStyle w:val="86"/>
        <w:numPr>
          <w:ilvl w:val="2"/>
          <w:numId w:val="28"/>
        </w:numPr>
        <w:tabs>
          <w:tab w:val="left" w:pos="1625"/>
        </w:tabs>
        <w:spacing w:line="400" w:lineRule="exact"/>
        <w:ind w:right="264" w:firstLine="480"/>
        <w:rPr>
          <w:color w:val="auto"/>
          <w:sz w:val="24"/>
          <w:szCs w:val="24"/>
          <w:highlight w:val="none"/>
        </w:rPr>
      </w:pPr>
      <w:r>
        <w:rPr>
          <w:rFonts w:hint="eastAsia"/>
          <w:color w:val="auto"/>
          <w:sz w:val="24"/>
          <w:szCs w:val="24"/>
          <w:highlight w:val="none"/>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hint="eastAsia"/>
          <w:color w:val="auto"/>
          <w:spacing w:val="-3"/>
          <w:sz w:val="24"/>
          <w:szCs w:val="24"/>
          <w:highlight w:val="none"/>
        </w:rPr>
        <w:t>人应当对其设立的工地临时试验室所出具的试验检测数据和报告的真实性、客观性、准确性负责。</w:t>
      </w:r>
    </w:p>
    <w:p>
      <w:pPr>
        <w:pStyle w:val="86"/>
        <w:numPr>
          <w:ilvl w:val="2"/>
          <w:numId w:val="28"/>
        </w:numPr>
        <w:tabs>
          <w:tab w:val="left" w:pos="1625"/>
        </w:tabs>
        <w:spacing w:line="400" w:lineRule="exact"/>
        <w:ind w:firstLine="480"/>
        <w:rPr>
          <w:color w:val="auto"/>
          <w:sz w:val="24"/>
          <w:szCs w:val="24"/>
          <w:highlight w:val="none"/>
        </w:rPr>
      </w:pPr>
      <w:r>
        <w:rPr>
          <w:rFonts w:hint="eastAsia"/>
          <w:color w:val="auto"/>
          <w:sz w:val="24"/>
          <w:szCs w:val="24"/>
          <w:highlight w:val="none"/>
        </w:rPr>
        <w:t>承包人应当依法规范分包行为，并对承担的工程质量负总责，分包单位</w:t>
      </w:r>
    </w:p>
    <w:p>
      <w:pPr>
        <w:pStyle w:val="20"/>
        <w:spacing w:line="400" w:lineRule="exact"/>
        <w:ind w:left="424"/>
        <w:rPr>
          <w:color w:val="auto"/>
          <w:highlight w:val="none"/>
        </w:rPr>
      </w:pPr>
      <w:r>
        <w:rPr>
          <w:rFonts w:hint="eastAsia"/>
          <w:color w:val="auto"/>
          <w:highlight w:val="none"/>
        </w:rPr>
        <w:t>对分包合同范围内的工程质量负责。</w:t>
      </w:r>
    </w:p>
    <w:p>
      <w:pPr>
        <w:pStyle w:val="86"/>
        <w:numPr>
          <w:ilvl w:val="2"/>
          <w:numId w:val="28"/>
        </w:numPr>
        <w:tabs>
          <w:tab w:val="left" w:pos="1745"/>
        </w:tabs>
        <w:spacing w:line="400" w:lineRule="exact"/>
        <w:ind w:right="385" w:firstLine="480"/>
        <w:rPr>
          <w:color w:val="auto"/>
          <w:sz w:val="24"/>
          <w:szCs w:val="24"/>
          <w:highlight w:val="none"/>
        </w:rPr>
      </w:pPr>
      <w:r>
        <w:rPr>
          <w:rFonts w:hint="eastAsia"/>
          <w:color w:val="auto"/>
          <w:spacing w:val="-4"/>
          <w:sz w:val="24"/>
          <w:szCs w:val="24"/>
          <w:highlight w:val="none"/>
        </w:rPr>
        <w:t>承包人驻工程现场机构应在现场驻地和重要的分部、分项工程施工现场设置明显的工程质量责任登记表公示牌。</w:t>
      </w:r>
    </w:p>
    <w:p>
      <w:pPr>
        <w:pStyle w:val="20"/>
        <w:spacing w:line="400" w:lineRule="exact"/>
        <w:rPr>
          <w:color w:val="auto"/>
          <w:highlight w:val="none"/>
        </w:rPr>
      </w:pPr>
    </w:p>
    <w:p>
      <w:pPr>
        <w:pStyle w:val="86"/>
        <w:numPr>
          <w:ilvl w:val="1"/>
          <w:numId w:val="29"/>
        </w:numPr>
        <w:tabs>
          <w:tab w:val="left" w:pos="965"/>
        </w:tabs>
        <w:spacing w:line="400" w:lineRule="exact"/>
        <w:rPr>
          <w:rFonts w:ascii="黑体" w:hAnsi="黑体" w:eastAsia="黑体" w:cs="黑体"/>
          <w:color w:val="auto"/>
          <w:sz w:val="24"/>
          <w:szCs w:val="24"/>
          <w:highlight w:val="none"/>
        </w:rPr>
      </w:pPr>
      <w:bookmarkStart w:id="2349" w:name="_bookmark211"/>
      <w:bookmarkEnd w:id="2349"/>
      <w:bookmarkStart w:id="2350" w:name="_Toc11908"/>
      <w:bookmarkStart w:id="2351" w:name="_Toc26939"/>
      <w:bookmarkStart w:id="2352" w:name="_Toc16882"/>
      <w:bookmarkStart w:id="2353" w:name="_Toc15216"/>
      <w:bookmarkStart w:id="2354" w:name="_Toc2852"/>
      <w:bookmarkStart w:id="2355" w:name="_Toc16924"/>
      <w:bookmarkStart w:id="2356" w:name="_Toc12773"/>
      <w:bookmarkStart w:id="2357" w:name="_Toc32545"/>
      <w:bookmarkStart w:id="2358" w:name="_Toc13270"/>
      <w:r>
        <w:rPr>
          <w:rFonts w:hint="eastAsia" w:ascii="黑体" w:hAnsi="黑体" w:eastAsia="黑体" w:cs="黑体"/>
          <w:color w:val="auto"/>
          <w:sz w:val="24"/>
          <w:szCs w:val="24"/>
          <w:highlight w:val="none"/>
        </w:rPr>
        <w:t>监理人的质量检查</w:t>
      </w:r>
      <w:bookmarkEnd w:id="2350"/>
      <w:bookmarkEnd w:id="2351"/>
      <w:bookmarkEnd w:id="2352"/>
      <w:bookmarkEnd w:id="2353"/>
      <w:bookmarkEnd w:id="2354"/>
      <w:bookmarkEnd w:id="2355"/>
      <w:bookmarkEnd w:id="2356"/>
      <w:bookmarkEnd w:id="2357"/>
      <w:bookmarkEnd w:id="235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本款补充：</w:t>
      </w:r>
    </w:p>
    <w:p>
      <w:pPr>
        <w:pStyle w:val="20"/>
        <w:spacing w:line="400" w:lineRule="exact"/>
        <w:ind w:left="424" w:right="184" w:firstLine="479"/>
        <w:rPr>
          <w:color w:val="auto"/>
          <w:highlight w:val="none"/>
        </w:rPr>
      </w:pPr>
      <w:r>
        <w:rPr>
          <w:rFonts w:hint="eastAsia"/>
          <w:color w:val="auto"/>
          <w:highlight w:val="none"/>
        </w:rPr>
        <w:t>监理人及其委派的检验人员，应能进入工程现场，以及材料或工程设备的制造、加工或制配的车间和场所，包括不属于承包人的车间或场所进行检查，承包人应为此提供便利和协助。</w:t>
      </w:r>
    </w:p>
    <w:p>
      <w:pPr>
        <w:pStyle w:val="20"/>
        <w:spacing w:line="400" w:lineRule="exact"/>
        <w:ind w:left="424" w:right="388" w:firstLine="479"/>
        <w:rPr>
          <w:color w:val="auto"/>
          <w:highlight w:val="none"/>
        </w:rPr>
      </w:pPr>
      <w:r>
        <w:rPr>
          <w:rFonts w:hint="eastAsia"/>
          <w:color w:val="auto"/>
          <w:highlight w:val="none"/>
        </w:rPr>
        <w:t xml:space="preserve">监理人可以将材料或工程设备的检查和检验委托给一家独立的有质量检验认证资格的检验单位。该独立检验单位的检验结果应视为监理人完成的。监理人应将这种委托的通知书不少于 </w:t>
      </w:r>
      <w:r>
        <w:rPr>
          <w:color w:val="auto"/>
          <w:highlight w:val="none"/>
        </w:rPr>
        <w:t xml:space="preserve">7 </w:t>
      </w:r>
      <w:r>
        <w:rPr>
          <w:rFonts w:hint="eastAsia"/>
          <w:color w:val="auto"/>
          <w:highlight w:val="none"/>
        </w:rPr>
        <w:t>天前交给承包人。</w:t>
      </w:r>
    </w:p>
    <w:p>
      <w:pPr>
        <w:pStyle w:val="86"/>
        <w:numPr>
          <w:ilvl w:val="1"/>
          <w:numId w:val="29"/>
        </w:numPr>
        <w:tabs>
          <w:tab w:val="left" w:pos="965"/>
        </w:tabs>
        <w:spacing w:line="400" w:lineRule="exact"/>
        <w:rPr>
          <w:rFonts w:ascii="黑体" w:hAnsi="黑体" w:eastAsia="黑体" w:cs="黑体"/>
          <w:color w:val="auto"/>
          <w:sz w:val="24"/>
          <w:szCs w:val="24"/>
          <w:highlight w:val="none"/>
        </w:rPr>
      </w:pPr>
      <w:bookmarkStart w:id="2359" w:name="_bookmark212"/>
      <w:bookmarkEnd w:id="2359"/>
      <w:bookmarkStart w:id="2360" w:name="_Toc5257"/>
      <w:bookmarkStart w:id="2361" w:name="_Toc25945"/>
      <w:bookmarkStart w:id="2362" w:name="_Toc28303"/>
      <w:bookmarkStart w:id="2363" w:name="_Toc7868"/>
      <w:bookmarkStart w:id="2364" w:name="_Toc22034"/>
      <w:bookmarkStart w:id="2365" w:name="_Toc5320"/>
      <w:bookmarkStart w:id="2366" w:name="_Toc32016"/>
      <w:bookmarkStart w:id="2367" w:name="_Toc3740"/>
      <w:bookmarkStart w:id="2368" w:name="_Toc28434"/>
      <w:r>
        <w:rPr>
          <w:rFonts w:hint="eastAsia" w:ascii="黑体" w:hAnsi="黑体" w:eastAsia="黑体" w:cs="黑体"/>
          <w:color w:val="auto"/>
          <w:sz w:val="24"/>
          <w:szCs w:val="24"/>
          <w:highlight w:val="none"/>
        </w:rPr>
        <w:t>工程隐蔽部位覆盖前的检查</w:t>
      </w:r>
      <w:bookmarkEnd w:id="2360"/>
      <w:bookmarkEnd w:id="2361"/>
      <w:bookmarkEnd w:id="2362"/>
      <w:bookmarkEnd w:id="2363"/>
      <w:bookmarkEnd w:id="2364"/>
      <w:bookmarkEnd w:id="2365"/>
      <w:bookmarkEnd w:id="2366"/>
      <w:bookmarkEnd w:id="2367"/>
      <w:bookmarkEnd w:id="236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13.5.1 </w:t>
      </w:r>
      <w:r>
        <w:rPr>
          <w:rFonts w:hint="eastAsia"/>
          <w:color w:val="auto"/>
          <w:highlight w:val="none"/>
        </w:rPr>
        <w:t>项补充：</w:t>
      </w:r>
    </w:p>
    <w:p>
      <w:pPr>
        <w:pStyle w:val="20"/>
        <w:spacing w:line="400" w:lineRule="exact"/>
        <w:ind w:left="424" w:right="391" w:firstLine="479"/>
        <w:rPr>
          <w:color w:val="auto"/>
          <w:highlight w:val="none"/>
        </w:rPr>
      </w:pPr>
      <w:r>
        <w:rPr>
          <w:rFonts w:hint="eastAsia"/>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pPr>
        <w:pStyle w:val="20"/>
        <w:spacing w:line="400" w:lineRule="exact"/>
        <w:rPr>
          <w:color w:val="auto"/>
          <w:highlight w:val="none"/>
        </w:rPr>
      </w:pPr>
    </w:p>
    <w:p>
      <w:pPr>
        <w:pStyle w:val="86"/>
        <w:numPr>
          <w:ilvl w:val="1"/>
          <w:numId w:val="29"/>
        </w:numPr>
        <w:tabs>
          <w:tab w:val="left" w:pos="965"/>
        </w:tabs>
        <w:spacing w:line="400" w:lineRule="exact"/>
        <w:rPr>
          <w:rFonts w:ascii="黑体" w:hAnsi="黑体" w:eastAsia="黑体" w:cs="黑体"/>
          <w:color w:val="auto"/>
          <w:sz w:val="24"/>
          <w:szCs w:val="24"/>
          <w:highlight w:val="none"/>
        </w:rPr>
      </w:pPr>
      <w:bookmarkStart w:id="2369" w:name="_bookmark213"/>
      <w:bookmarkEnd w:id="2369"/>
      <w:bookmarkStart w:id="2370" w:name="_Toc4559"/>
      <w:bookmarkStart w:id="2371" w:name="_Toc25728"/>
      <w:bookmarkStart w:id="2372" w:name="_Toc11190"/>
      <w:bookmarkStart w:id="2373" w:name="_Toc25211"/>
      <w:bookmarkStart w:id="2374" w:name="_Toc27331"/>
      <w:bookmarkStart w:id="2375" w:name="_Toc24930"/>
      <w:bookmarkStart w:id="2376" w:name="_Toc6673"/>
      <w:bookmarkStart w:id="2377" w:name="_Toc29086"/>
      <w:bookmarkStart w:id="2378" w:name="_Toc19965"/>
      <w:r>
        <w:rPr>
          <w:rFonts w:hint="eastAsia" w:ascii="黑体" w:hAnsi="黑体" w:eastAsia="黑体" w:cs="黑体"/>
          <w:color w:val="auto"/>
          <w:sz w:val="24"/>
          <w:szCs w:val="24"/>
          <w:highlight w:val="none"/>
        </w:rPr>
        <w:t>清除不合格工程</w:t>
      </w:r>
      <w:bookmarkEnd w:id="2370"/>
      <w:bookmarkEnd w:id="2371"/>
      <w:bookmarkEnd w:id="2372"/>
      <w:bookmarkEnd w:id="2373"/>
      <w:bookmarkEnd w:id="2374"/>
      <w:bookmarkEnd w:id="2375"/>
      <w:bookmarkEnd w:id="2376"/>
      <w:bookmarkEnd w:id="2377"/>
      <w:bookmarkEnd w:id="237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13.6.1 </w:t>
      </w:r>
      <w:r>
        <w:rPr>
          <w:rFonts w:hint="eastAsia"/>
          <w:color w:val="auto"/>
          <w:highlight w:val="none"/>
        </w:rPr>
        <w:t>项细化为：</w:t>
      </w:r>
    </w:p>
    <w:p>
      <w:pPr>
        <w:pStyle w:val="20"/>
        <w:spacing w:line="400" w:lineRule="exact"/>
        <w:ind w:left="424" w:right="386" w:firstLine="479"/>
        <w:rPr>
          <w:color w:val="auto"/>
          <w:highlight w:val="none"/>
        </w:rPr>
      </w:pPr>
      <w:r>
        <w:rPr>
          <w:rFonts w:hint="eastAsia"/>
          <w:color w:val="auto"/>
          <w:spacing w:val="-8"/>
          <w:highlight w:val="none"/>
        </w:rPr>
        <w:t>（</w:t>
      </w:r>
      <w:r>
        <w:rPr>
          <w:color w:val="auto"/>
          <w:spacing w:val="-8"/>
          <w:highlight w:val="none"/>
        </w:rPr>
        <w:t>1</w:t>
      </w:r>
      <w:r>
        <w:rPr>
          <w:rFonts w:hint="eastAsia"/>
          <w:color w:val="auto"/>
          <w:spacing w:val="-8"/>
          <w:highlight w:val="none"/>
        </w:rPr>
        <w:t>）</w:t>
      </w:r>
      <w:r>
        <w:rPr>
          <w:rFonts w:hint="eastAsia"/>
          <w:color w:val="auto"/>
          <w:spacing w:val="-5"/>
          <w:highlight w:val="none"/>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w:t>
      </w:r>
      <w:r>
        <w:rPr>
          <w:rFonts w:hint="eastAsia"/>
          <w:color w:val="auto"/>
          <w:highlight w:val="none"/>
        </w:rPr>
        <w:t>（或） 工期延误由承包人承担。</w:t>
      </w:r>
    </w:p>
    <w:p>
      <w:pPr>
        <w:pStyle w:val="20"/>
        <w:spacing w:line="400" w:lineRule="exact"/>
        <w:ind w:left="424" w:right="265" w:firstLine="479"/>
        <w:rPr>
          <w:color w:val="auto"/>
          <w:highlight w:val="none"/>
        </w:rPr>
      </w:pPr>
      <w:r>
        <w:rPr>
          <w:rFonts w:hint="eastAsia"/>
          <w:color w:val="auto"/>
          <w:highlight w:val="none"/>
        </w:rPr>
        <w:t>（</w:t>
      </w:r>
      <w:r>
        <w:rPr>
          <w:color w:val="auto"/>
          <w:highlight w:val="none"/>
        </w:rPr>
        <w:t>2</w:t>
      </w:r>
      <w:r>
        <w:rPr>
          <w:rFonts w:hint="eastAsia"/>
          <w:color w:val="auto"/>
          <w:spacing w:val="-104"/>
          <w:highlight w:val="none"/>
        </w:rPr>
        <w:t>）</w:t>
      </w:r>
      <w:r>
        <w:rPr>
          <w:rFonts w:hint="eastAsia"/>
          <w:color w:val="auto"/>
          <w:spacing w:val="-5"/>
          <w:highlight w:val="none"/>
        </w:rPr>
        <w:t>如果承包人未在规定时间内执行监理人的指示，发包人有权雇用他人执行，由此增加的费用和（或）工期延误由承包人承担。</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379" w:name="_bookmark214"/>
      <w:bookmarkEnd w:id="2379"/>
      <w:bookmarkStart w:id="2380" w:name="_Toc6778"/>
      <w:bookmarkStart w:id="2381" w:name="_Toc15365"/>
      <w:bookmarkStart w:id="2382" w:name="_Toc16898"/>
      <w:bookmarkStart w:id="2383" w:name="_Toc31917"/>
      <w:bookmarkStart w:id="2384" w:name="_Toc19057"/>
      <w:bookmarkStart w:id="2385" w:name="_Toc26777"/>
      <w:bookmarkStart w:id="2386" w:name="_Toc5332"/>
      <w:bookmarkStart w:id="2387" w:name="_Toc16987"/>
      <w:bookmarkStart w:id="2388" w:name="_Toc30301"/>
      <w:bookmarkStart w:id="2389" w:name="_Toc28222"/>
      <w:bookmarkStart w:id="2390" w:name="_Toc19495"/>
      <w:bookmarkStart w:id="2391" w:name="_Toc15392"/>
      <w:bookmarkStart w:id="2392" w:name="_Toc26058"/>
      <w:bookmarkStart w:id="2393" w:name="_Toc24851"/>
      <w:bookmarkStart w:id="2394" w:name="_Toc17598"/>
      <w:bookmarkStart w:id="2395" w:name="_Toc12268"/>
      <w:bookmarkStart w:id="2396" w:name="_Toc24108"/>
      <w:r>
        <w:rPr>
          <w:rFonts w:hint="eastAsia" w:ascii="黑体" w:hAnsi="黑体" w:eastAsia="黑体" w:cs="黑体"/>
          <w:color w:val="auto"/>
          <w:sz w:val="24"/>
          <w:szCs w:val="24"/>
          <w:highlight w:val="none"/>
        </w:rPr>
        <w:t>试验和检验</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pPr>
        <w:pStyle w:val="20"/>
        <w:spacing w:line="400" w:lineRule="exact"/>
        <w:rPr>
          <w:color w:val="auto"/>
          <w:highlight w:val="none"/>
        </w:rPr>
      </w:pPr>
    </w:p>
    <w:p>
      <w:pPr>
        <w:pStyle w:val="20"/>
        <w:spacing w:line="400" w:lineRule="exact"/>
        <w:ind w:left="424"/>
        <w:rPr>
          <w:color w:val="auto"/>
          <w:highlight w:val="none"/>
        </w:rPr>
      </w:pPr>
      <w:r>
        <w:rPr>
          <w:rFonts w:hint="eastAsia"/>
          <w:color w:val="auto"/>
          <w:highlight w:val="none"/>
        </w:rPr>
        <w:t xml:space="preserve">本条补充第 </w:t>
      </w:r>
      <w:r>
        <w:rPr>
          <w:color w:val="auto"/>
          <w:highlight w:val="none"/>
        </w:rPr>
        <w:t xml:space="preserve">14.4 </w:t>
      </w:r>
      <w:r>
        <w:rPr>
          <w:rFonts w:hint="eastAsia"/>
          <w:color w:val="auto"/>
          <w:highlight w:val="none"/>
        </w:rPr>
        <w:t>款：</w:t>
      </w:r>
    </w:p>
    <w:p>
      <w:pPr>
        <w:pStyle w:val="20"/>
        <w:spacing w:line="400" w:lineRule="exact"/>
        <w:rPr>
          <w:color w:val="auto"/>
          <w:highlight w:val="none"/>
        </w:rPr>
      </w:pPr>
    </w:p>
    <w:p>
      <w:pPr>
        <w:pStyle w:val="20"/>
        <w:spacing w:line="400" w:lineRule="exact"/>
        <w:ind w:left="424"/>
        <w:rPr>
          <w:rFonts w:ascii="黑体" w:hAnsi="黑体" w:eastAsia="黑体" w:cs="黑体"/>
          <w:color w:val="auto"/>
          <w:highlight w:val="none"/>
        </w:rPr>
      </w:pPr>
      <w:bookmarkStart w:id="2397" w:name="_bookmark215"/>
      <w:bookmarkEnd w:id="2397"/>
      <w:bookmarkStart w:id="2398" w:name="_Toc9779"/>
      <w:bookmarkStart w:id="2399" w:name="_Toc3099"/>
      <w:bookmarkStart w:id="2400" w:name="_Toc29775"/>
      <w:bookmarkStart w:id="2401" w:name="_Toc31709"/>
      <w:bookmarkStart w:id="2402" w:name="_Toc1486"/>
      <w:bookmarkStart w:id="2403" w:name="_Toc3217"/>
      <w:bookmarkStart w:id="2404" w:name="_Toc9743"/>
      <w:bookmarkStart w:id="2405" w:name="_Toc12050"/>
      <w:bookmarkStart w:id="2406" w:name="_Toc31690"/>
      <w:r>
        <w:rPr>
          <w:rFonts w:hint="eastAsia" w:ascii="黑体" w:hAnsi="黑体" w:eastAsia="黑体" w:cs="黑体"/>
          <w:color w:val="auto"/>
          <w:highlight w:val="none"/>
        </w:rPr>
        <w:t>14.4试验和检验费用</w:t>
      </w:r>
      <w:bookmarkEnd w:id="2398"/>
      <w:bookmarkEnd w:id="2399"/>
      <w:bookmarkEnd w:id="2400"/>
      <w:bookmarkEnd w:id="2401"/>
      <w:bookmarkEnd w:id="2402"/>
      <w:bookmarkEnd w:id="2403"/>
      <w:bookmarkEnd w:id="2404"/>
      <w:bookmarkEnd w:id="2405"/>
      <w:bookmarkEnd w:id="2406"/>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w:t>
      </w:r>
      <w:r>
        <w:rPr>
          <w:color w:val="auto"/>
          <w:highlight w:val="none"/>
        </w:rPr>
        <w:t>1</w:t>
      </w:r>
      <w:r>
        <w:rPr>
          <w:rFonts w:hint="eastAsia"/>
          <w:color w:val="auto"/>
          <w:highlight w:val="none"/>
        </w:rPr>
        <w:t>）承包人应负责提供合同和技术规范规定的试验和检验所需的全部样品，并</w:t>
      </w:r>
    </w:p>
    <w:p>
      <w:pPr>
        <w:pStyle w:val="20"/>
        <w:spacing w:line="400" w:lineRule="exact"/>
        <w:ind w:left="424"/>
        <w:rPr>
          <w:color w:val="auto"/>
          <w:highlight w:val="none"/>
        </w:rPr>
      </w:pPr>
      <w:r>
        <w:rPr>
          <w:rFonts w:hint="eastAsia"/>
          <w:color w:val="auto"/>
          <w:highlight w:val="none"/>
        </w:rPr>
        <w:t>承担其费用。</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2</w:t>
      </w:r>
      <w:r>
        <w:rPr>
          <w:rFonts w:hint="eastAsia"/>
          <w:color w:val="auto"/>
          <w:highlight w:val="none"/>
        </w:rPr>
        <w:t>）在合同中明确规定的试验和检验，包括无须在工程量清单中单独列项和已在工程量清单中单独列项的试验和检验，其试验和检验的费用由承包人承担。</w:t>
      </w:r>
    </w:p>
    <w:p>
      <w:pPr>
        <w:pStyle w:val="20"/>
        <w:spacing w:line="400" w:lineRule="exact"/>
        <w:ind w:left="424" w:right="382" w:firstLine="479"/>
        <w:rPr>
          <w:color w:val="auto"/>
          <w:highlight w:val="none"/>
        </w:rPr>
      </w:pPr>
      <w:r>
        <w:rPr>
          <w:rFonts w:hint="eastAsia"/>
          <w:color w:val="auto"/>
          <w:spacing w:val="-28"/>
          <w:highlight w:val="none"/>
        </w:rPr>
        <w:t>（</w:t>
      </w:r>
      <w:r>
        <w:rPr>
          <w:color w:val="auto"/>
          <w:spacing w:val="-28"/>
          <w:highlight w:val="none"/>
        </w:rPr>
        <w:t>3</w:t>
      </w:r>
      <w:r>
        <w:rPr>
          <w:rFonts w:hint="eastAsia"/>
          <w:color w:val="auto"/>
          <w:spacing w:val="-28"/>
          <w:highlight w:val="none"/>
        </w:rPr>
        <w:t>）</w:t>
      </w:r>
      <w:r>
        <w:rPr>
          <w:rFonts w:hint="eastAsia"/>
          <w:color w:val="auto"/>
          <w:highlight w:val="none"/>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407" w:name="_bookmark216"/>
      <w:bookmarkEnd w:id="2407"/>
      <w:bookmarkStart w:id="2408" w:name="_Toc15357"/>
      <w:bookmarkStart w:id="2409" w:name="_Toc16732"/>
      <w:bookmarkStart w:id="2410" w:name="_Toc20600"/>
      <w:bookmarkStart w:id="2411" w:name="_Toc26657"/>
      <w:bookmarkStart w:id="2412" w:name="_Toc9732"/>
      <w:bookmarkStart w:id="2413" w:name="_Toc8202"/>
      <w:bookmarkStart w:id="2414" w:name="_Toc829"/>
      <w:bookmarkStart w:id="2415" w:name="_Toc10252"/>
      <w:bookmarkStart w:id="2416" w:name="_Toc7175"/>
      <w:bookmarkStart w:id="2417" w:name="_Toc12351"/>
      <w:bookmarkStart w:id="2418" w:name="_Toc4512"/>
      <w:bookmarkStart w:id="2419" w:name="_Toc11766"/>
      <w:bookmarkStart w:id="2420" w:name="_Toc16988"/>
      <w:bookmarkStart w:id="2421" w:name="_Toc12178"/>
      <w:bookmarkStart w:id="2422" w:name="_Toc4776"/>
      <w:bookmarkStart w:id="2423" w:name="_Toc7439"/>
      <w:bookmarkStart w:id="2424" w:name="_Toc11553"/>
      <w:r>
        <w:rPr>
          <w:rFonts w:hint="eastAsia" w:ascii="黑体" w:hAnsi="黑体" w:eastAsia="黑体" w:cs="黑体"/>
          <w:color w:val="auto"/>
          <w:sz w:val="24"/>
          <w:szCs w:val="24"/>
          <w:highlight w:val="none"/>
        </w:rPr>
        <w:t>变更</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425" w:name="_bookmark217"/>
      <w:bookmarkEnd w:id="2425"/>
      <w:bookmarkStart w:id="2426" w:name="_Toc8655"/>
      <w:bookmarkStart w:id="2427" w:name="_Toc8398"/>
      <w:bookmarkStart w:id="2428" w:name="_Toc11094"/>
      <w:bookmarkStart w:id="2429" w:name="_Toc20467"/>
      <w:bookmarkStart w:id="2430" w:name="_Toc28974"/>
      <w:bookmarkStart w:id="2431" w:name="_Toc22257"/>
      <w:bookmarkStart w:id="2432" w:name="_Toc6597"/>
      <w:bookmarkStart w:id="2433" w:name="_Toc18578"/>
      <w:bookmarkStart w:id="2434" w:name="_Toc20170"/>
      <w:r>
        <w:rPr>
          <w:rFonts w:hint="eastAsia" w:ascii="黑体" w:hAnsi="黑体" w:eastAsia="黑体" w:cs="黑体"/>
          <w:color w:val="auto"/>
          <w:sz w:val="24"/>
          <w:szCs w:val="24"/>
          <w:highlight w:val="none"/>
        </w:rPr>
        <w:t>变更的范围和内容</w:t>
      </w:r>
      <w:bookmarkEnd w:id="2426"/>
      <w:bookmarkEnd w:id="2427"/>
      <w:bookmarkEnd w:id="2428"/>
      <w:bookmarkEnd w:id="2429"/>
      <w:bookmarkEnd w:id="2430"/>
      <w:bookmarkEnd w:id="2431"/>
      <w:bookmarkEnd w:id="2432"/>
      <w:bookmarkEnd w:id="2433"/>
      <w:bookmarkEnd w:id="243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本款第（</w:t>
      </w:r>
      <w:r>
        <w:rPr>
          <w:color w:val="auto"/>
          <w:highlight w:val="none"/>
        </w:rPr>
        <w:t>1</w:t>
      </w:r>
      <w:r>
        <w:rPr>
          <w:rFonts w:hint="eastAsia"/>
          <w:color w:val="auto"/>
          <w:highlight w:val="none"/>
        </w:rPr>
        <w:t>）项细化为：</w:t>
      </w:r>
    </w:p>
    <w:p>
      <w:pPr>
        <w:pStyle w:val="20"/>
        <w:spacing w:line="400" w:lineRule="exact"/>
        <w:ind w:left="424" w:right="264" w:firstLine="479"/>
        <w:rPr>
          <w:color w:val="auto"/>
          <w:highlight w:val="none"/>
        </w:rPr>
      </w:pPr>
      <w:r>
        <w:rPr>
          <w:rFonts w:hint="eastAsia"/>
          <w:color w:val="auto"/>
          <w:highlight w:val="none"/>
        </w:rPr>
        <w:t>（</w:t>
      </w:r>
      <w:r>
        <w:rPr>
          <w:color w:val="auto"/>
          <w:highlight w:val="none"/>
        </w:rPr>
        <w:t>1</w:t>
      </w:r>
      <w:r>
        <w:rPr>
          <w:rFonts w:hint="eastAsia"/>
          <w:color w:val="auto"/>
          <w:spacing w:val="-104"/>
          <w:highlight w:val="none"/>
        </w:rPr>
        <w:t>）</w:t>
      </w:r>
      <w:r>
        <w:rPr>
          <w:rFonts w:hint="eastAsia"/>
          <w:color w:val="auto"/>
          <w:spacing w:val="-9"/>
          <w:highlight w:val="none"/>
        </w:rPr>
        <w:t>取消合同中任何一项工作，但被取消的工作不能转由发包人或其他人实施，由于承包人违约造成的情况除外；</w:t>
      </w:r>
    </w:p>
    <w:p>
      <w:pPr>
        <w:pStyle w:val="20"/>
        <w:spacing w:line="400" w:lineRule="exact"/>
        <w:rPr>
          <w:color w:val="auto"/>
          <w:highlight w:val="none"/>
        </w:rPr>
      </w:pPr>
    </w:p>
    <w:p>
      <w:pPr>
        <w:pStyle w:val="86"/>
        <w:numPr>
          <w:ilvl w:val="1"/>
          <w:numId w:val="30"/>
        </w:numPr>
        <w:tabs>
          <w:tab w:val="left" w:pos="965"/>
        </w:tabs>
        <w:spacing w:line="400" w:lineRule="exact"/>
        <w:rPr>
          <w:rFonts w:ascii="黑体" w:hAnsi="黑体" w:eastAsia="黑体" w:cs="黑体"/>
          <w:color w:val="auto"/>
          <w:sz w:val="24"/>
          <w:szCs w:val="24"/>
          <w:highlight w:val="none"/>
        </w:rPr>
      </w:pPr>
      <w:bookmarkStart w:id="2435" w:name="_bookmark218"/>
      <w:bookmarkEnd w:id="2435"/>
      <w:bookmarkStart w:id="2436" w:name="_Toc31861"/>
      <w:bookmarkStart w:id="2437" w:name="_Toc11927"/>
      <w:bookmarkStart w:id="2438" w:name="_Toc18868"/>
      <w:bookmarkStart w:id="2439" w:name="_Toc1191"/>
      <w:bookmarkStart w:id="2440" w:name="_Toc29516"/>
      <w:bookmarkStart w:id="2441" w:name="_Toc11355"/>
      <w:bookmarkStart w:id="2442" w:name="_Toc28253"/>
      <w:bookmarkStart w:id="2443" w:name="_Toc10147"/>
      <w:bookmarkStart w:id="2444" w:name="_Toc13912"/>
      <w:r>
        <w:rPr>
          <w:rFonts w:hint="eastAsia" w:ascii="黑体" w:hAnsi="黑体" w:eastAsia="黑体" w:cs="黑体"/>
          <w:color w:val="auto"/>
          <w:sz w:val="24"/>
          <w:szCs w:val="24"/>
          <w:highlight w:val="none"/>
        </w:rPr>
        <w:t>变更程序</w:t>
      </w:r>
      <w:bookmarkEnd w:id="2436"/>
      <w:bookmarkEnd w:id="2437"/>
      <w:bookmarkEnd w:id="2438"/>
      <w:bookmarkEnd w:id="2439"/>
      <w:bookmarkEnd w:id="2440"/>
      <w:bookmarkEnd w:id="2441"/>
      <w:bookmarkEnd w:id="2442"/>
      <w:bookmarkEnd w:id="2443"/>
      <w:bookmarkEnd w:id="244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15.3.4 </w:t>
      </w:r>
      <w:r>
        <w:rPr>
          <w:rFonts w:hint="eastAsia"/>
          <w:color w:val="auto"/>
          <w:highlight w:val="none"/>
        </w:rPr>
        <w:t>项：</w:t>
      </w:r>
    </w:p>
    <w:p>
      <w:pPr>
        <w:pStyle w:val="20"/>
        <w:spacing w:line="400" w:lineRule="exact"/>
        <w:ind w:left="904"/>
        <w:rPr>
          <w:color w:val="auto"/>
          <w:highlight w:val="none"/>
        </w:rPr>
      </w:pPr>
      <w:r>
        <w:rPr>
          <w:color w:val="auto"/>
          <w:highlight w:val="none"/>
        </w:rPr>
        <w:t xml:space="preserve">15.3.4 </w:t>
      </w:r>
      <w:r>
        <w:rPr>
          <w:rFonts w:hint="eastAsia"/>
          <w:color w:val="auto"/>
          <w:highlight w:val="none"/>
        </w:rPr>
        <w:t>设计变更程序应执行《公路工程设计变更管理办法》的相关规定。</w:t>
      </w:r>
    </w:p>
    <w:p>
      <w:pPr>
        <w:pStyle w:val="20"/>
        <w:spacing w:line="400" w:lineRule="exact"/>
        <w:rPr>
          <w:rFonts w:ascii="黑体" w:hAnsi="黑体" w:eastAsia="黑体" w:cs="黑体"/>
          <w:color w:val="auto"/>
          <w:highlight w:val="none"/>
        </w:rPr>
      </w:pPr>
    </w:p>
    <w:p>
      <w:pPr>
        <w:pStyle w:val="86"/>
        <w:numPr>
          <w:ilvl w:val="1"/>
          <w:numId w:val="30"/>
        </w:numPr>
        <w:tabs>
          <w:tab w:val="left" w:pos="965"/>
        </w:tabs>
        <w:spacing w:line="400" w:lineRule="exact"/>
        <w:rPr>
          <w:rFonts w:ascii="黑体" w:hAnsi="黑体" w:eastAsia="黑体" w:cs="黑体"/>
          <w:color w:val="auto"/>
          <w:sz w:val="24"/>
          <w:szCs w:val="24"/>
          <w:highlight w:val="none"/>
        </w:rPr>
      </w:pPr>
      <w:bookmarkStart w:id="2445" w:name="_bookmark219"/>
      <w:bookmarkEnd w:id="2445"/>
      <w:bookmarkStart w:id="2446" w:name="_Toc14812"/>
      <w:bookmarkStart w:id="2447" w:name="_Toc13668"/>
      <w:bookmarkStart w:id="2448" w:name="_Toc5172"/>
      <w:bookmarkStart w:id="2449" w:name="_Toc5027"/>
      <w:bookmarkStart w:id="2450" w:name="_Toc1811"/>
      <w:bookmarkStart w:id="2451" w:name="_Toc4264"/>
      <w:bookmarkStart w:id="2452" w:name="_Toc24984"/>
      <w:bookmarkStart w:id="2453" w:name="_Toc26478"/>
      <w:bookmarkStart w:id="2454" w:name="_Toc2950"/>
      <w:r>
        <w:rPr>
          <w:rFonts w:hint="eastAsia" w:ascii="黑体" w:hAnsi="黑体" w:eastAsia="黑体" w:cs="黑体"/>
          <w:color w:val="auto"/>
          <w:sz w:val="24"/>
          <w:szCs w:val="24"/>
          <w:highlight w:val="none"/>
        </w:rPr>
        <w:t>变更的估价原则</w:t>
      </w:r>
      <w:bookmarkEnd w:id="2446"/>
      <w:bookmarkEnd w:id="2447"/>
      <w:bookmarkEnd w:id="2448"/>
      <w:bookmarkEnd w:id="2449"/>
      <w:bookmarkEnd w:id="2450"/>
      <w:bookmarkEnd w:id="2451"/>
      <w:bookmarkEnd w:id="2452"/>
      <w:bookmarkEnd w:id="2453"/>
      <w:bookmarkEnd w:id="2454"/>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904"/>
        <w:rPr>
          <w:color w:val="auto"/>
          <w:highlight w:val="none"/>
        </w:rPr>
      </w:pPr>
      <w:r>
        <w:rPr>
          <w:rFonts w:hint="eastAsia"/>
          <w:color w:val="auto"/>
          <w:highlight w:val="none"/>
        </w:rPr>
        <w:t>除项目专用合同条款另有约定外，因变更引起的价格调整按照本款约定处理。</w:t>
      </w:r>
    </w:p>
    <w:p>
      <w:pPr>
        <w:pStyle w:val="86"/>
        <w:numPr>
          <w:ilvl w:val="2"/>
          <w:numId w:val="30"/>
        </w:numPr>
        <w:tabs>
          <w:tab w:val="left" w:pos="1625"/>
        </w:tabs>
        <w:spacing w:line="400" w:lineRule="exact"/>
        <w:ind w:firstLine="480"/>
        <w:rPr>
          <w:color w:val="auto"/>
          <w:sz w:val="24"/>
          <w:szCs w:val="24"/>
          <w:highlight w:val="none"/>
        </w:rPr>
      </w:pPr>
      <w:r>
        <w:rPr>
          <w:rFonts w:hint="eastAsia"/>
          <w:color w:val="auto"/>
          <w:sz w:val="24"/>
          <w:szCs w:val="24"/>
          <w:highlight w:val="none"/>
        </w:rPr>
        <w:t>如果取消某项工作，则该项工作的总额价不予支付。</w:t>
      </w:r>
    </w:p>
    <w:p>
      <w:pPr>
        <w:pStyle w:val="86"/>
        <w:numPr>
          <w:ilvl w:val="2"/>
          <w:numId w:val="30"/>
        </w:numPr>
        <w:tabs>
          <w:tab w:val="left" w:pos="1625"/>
        </w:tabs>
        <w:spacing w:line="400" w:lineRule="exact"/>
        <w:ind w:firstLine="480"/>
        <w:rPr>
          <w:color w:val="auto"/>
          <w:sz w:val="24"/>
          <w:szCs w:val="24"/>
          <w:highlight w:val="none"/>
        </w:rPr>
      </w:pPr>
      <w:r>
        <w:rPr>
          <w:rFonts w:hint="eastAsia"/>
          <w:color w:val="auto"/>
          <w:sz w:val="24"/>
          <w:szCs w:val="24"/>
          <w:highlight w:val="none"/>
        </w:rPr>
        <w:t>已标价工程量清单中有适用于变更工作的子目的，采用该子目的单价。</w:t>
      </w:r>
    </w:p>
    <w:p>
      <w:pPr>
        <w:pStyle w:val="86"/>
        <w:numPr>
          <w:ilvl w:val="2"/>
          <w:numId w:val="30"/>
        </w:numPr>
        <w:tabs>
          <w:tab w:val="left" w:pos="1625"/>
        </w:tabs>
        <w:spacing w:line="400" w:lineRule="exact"/>
        <w:ind w:right="264" w:firstLine="480"/>
        <w:rPr>
          <w:color w:val="auto"/>
          <w:sz w:val="24"/>
          <w:szCs w:val="24"/>
          <w:highlight w:val="none"/>
        </w:rPr>
      </w:pPr>
      <w:r>
        <w:rPr>
          <w:rFonts w:hint="eastAsia"/>
          <w:color w:val="auto"/>
          <w:sz w:val="24"/>
          <w:szCs w:val="24"/>
          <w:highlight w:val="none"/>
        </w:rPr>
        <w:t>已标价工程量清单中无适用于变更工作的子目，但有类似子目的，可在</w:t>
      </w:r>
      <w:r>
        <w:rPr>
          <w:rFonts w:hint="eastAsia"/>
          <w:color w:val="auto"/>
          <w:spacing w:val="-5"/>
          <w:sz w:val="24"/>
          <w:szCs w:val="24"/>
          <w:highlight w:val="none"/>
        </w:rPr>
        <w:t xml:space="preserve">合理范围内参照类似子目的单价，由监理人按第 </w:t>
      </w:r>
      <w:r>
        <w:rPr>
          <w:color w:val="auto"/>
          <w:sz w:val="24"/>
          <w:szCs w:val="24"/>
          <w:highlight w:val="none"/>
        </w:rPr>
        <w:t xml:space="preserve">3.5 </w:t>
      </w:r>
      <w:r>
        <w:rPr>
          <w:rFonts w:hint="eastAsia"/>
          <w:color w:val="auto"/>
          <w:sz w:val="24"/>
          <w:szCs w:val="24"/>
          <w:highlight w:val="none"/>
        </w:rPr>
        <w:t>款商定或确定变更工作的单价。</w:t>
      </w:r>
    </w:p>
    <w:p>
      <w:pPr>
        <w:pStyle w:val="86"/>
        <w:numPr>
          <w:ilvl w:val="2"/>
          <w:numId w:val="30"/>
        </w:numPr>
        <w:tabs>
          <w:tab w:val="left" w:pos="1625"/>
        </w:tabs>
        <w:spacing w:line="400" w:lineRule="exact"/>
        <w:ind w:right="383" w:firstLine="480"/>
        <w:rPr>
          <w:color w:val="auto"/>
          <w:sz w:val="24"/>
          <w:szCs w:val="24"/>
          <w:highlight w:val="none"/>
        </w:rPr>
      </w:pPr>
      <w:r>
        <w:rPr>
          <w:rFonts w:hint="eastAsia"/>
          <w:color w:val="auto"/>
          <w:sz w:val="24"/>
          <w:szCs w:val="24"/>
          <w:highlight w:val="none"/>
        </w:rPr>
        <w:t>已标价工程量清单中无适用或类似子目的单价，可在综合考虑承包人在</w:t>
      </w:r>
      <w:r>
        <w:rPr>
          <w:rFonts w:hint="eastAsia"/>
          <w:color w:val="auto"/>
          <w:spacing w:val="-1"/>
          <w:sz w:val="24"/>
          <w:szCs w:val="24"/>
          <w:highlight w:val="none"/>
        </w:rPr>
        <w:t xml:space="preserve">投标时所提供的单价分析表的基础上，由监理人按第 </w:t>
      </w:r>
      <w:r>
        <w:rPr>
          <w:color w:val="auto"/>
          <w:sz w:val="24"/>
          <w:szCs w:val="24"/>
          <w:highlight w:val="none"/>
        </w:rPr>
        <w:t>3.5</w:t>
      </w:r>
      <w:r>
        <w:rPr>
          <w:rFonts w:hint="eastAsia"/>
          <w:color w:val="auto"/>
          <w:sz w:val="24"/>
          <w:szCs w:val="24"/>
          <w:highlight w:val="none"/>
        </w:rPr>
        <w:t>款商定或确定变更工作的单价。</w:t>
      </w:r>
    </w:p>
    <w:p>
      <w:pPr>
        <w:pStyle w:val="86"/>
        <w:numPr>
          <w:ilvl w:val="2"/>
          <w:numId w:val="30"/>
        </w:numPr>
        <w:tabs>
          <w:tab w:val="left" w:pos="1625"/>
        </w:tabs>
        <w:spacing w:line="400" w:lineRule="exact"/>
        <w:ind w:right="387" w:firstLine="480"/>
        <w:rPr>
          <w:color w:val="auto"/>
          <w:sz w:val="24"/>
          <w:szCs w:val="24"/>
          <w:highlight w:val="none"/>
        </w:rPr>
      </w:pPr>
      <w:r>
        <w:rPr>
          <w:rFonts w:hint="eastAsia"/>
          <w:color w:val="auto"/>
          <w:sz w:val="24"/>
          <w:szCs w:val="24"/>
          <w:highlight w:val="none"/>
        </w:rPr>
        <w:t>如果本工程的变更指示是因承包人过错、承包人违反合同或承包人责任造成的，则这种违约引起的任何额外费用应由承包人承担。</w:t>
      </w:r>
    </w:p>
    <w:p>
      <w:pPr>
        <w:pStyle w:val="86"/>
        <w:numPr>
          <w:ilvl w:val="1"/>
          <w:numId w:val="30"/>
        </w:numPr>
        <w:tabs>
          <w:tab w:val="left" w:pos="965"/>
        </w:tabs>
        <w:spacing w:line="400" w:lineRule="exact"/>
        <w:rPr>
          <w:rFonts w:ascii="黑体" w:hAnsi="黑体" w:eastAsia="黑体" w:cs="黑体"/>
          <w:color w:val="auto"/>
          <w:sz w:val="24"/>
          <w:szCs w:val="24"/>
          <w:highlight w:val="none"/>
        </w:rPr>
      </w:pPr>
      <w:bookmarkStart w:id="2455" w:name="_bookmark220"/>
      <w:bookmarkEnd w:id="2455"/>
      <w:bookmarkStart w:id="2456" w:name="_Toc13660"/>
      <w:bookmarkStart w:id="2457" w:name="_Toc23888"/>
      <w:bookmarkStart w:id="2458" w:name="_Toc32059"/>
      <w:bookmarkStart w:id="2459" w:name="_Toc9924"/>
      <w:bookmarkStart w:id="2460" w:name="_Toc2259"/>
      <w:bookmarkStart w:id="2461" w:name="_Toc25763"/>
      <w:bookmarkStart w:id="2462" w:name="_Toc19896"/>
      <w:bookmarkStart w:id="2463" w:name="_Toc13164"/>
      <w:bookmarkStart w:id="2464" w:name="_Toc9100"/>
      <w:r>
        <w:rPr>
          <w:rFonts w:hint="eastAsia" w:ascii="黑体" w:hAnsi="黑体" w:eastAsia="黑体" w:cs="黑体"/>
          <w:color w:val="auto"/>
          <w:sz w:val="24"/>
          <w:szCs w:val="24"/>
          <w:highlight w:val="none"/>
        </w:rPr>
        <w:t>承包人的合理化建议</w:t>
      </w:r>
      <w:bookmarkEnd w:id="2456"/>
      <w:bookmarkEnd w:id="2457"/>
      <w:bookmarkEnd w:id="2458"/>
      <w:bookmarkEnd w:id="2459"/>
      <w:bookmarkEnd w:id="2460"/>
      <w:bookmarkEnd w:id="2461"/>
      <w:bookmarkEnd w:id="2462"/>
      <w:bookmarkEnd w:id="2463"/>
      <w:bookmarkEnd w:id="2464"/>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 xml:space="preserve">第 </w:t>
      </w:r>
      <w:r>
        <w:rPr>
          <w:color w:val="auto"/>
          <w:highlight w:val="none"/>
        </w:rPr>
        <w:t xml:space="preserve">15.5.2 </w:t>
      </w:r>
      <w:r>
        <w:rPr>
          <w:rFonts w:hint="eastAsia"/>
          <w:color w:val="auto"/>
          <w:highlight w:val="none"/>
        </w:rPr>
        <w:t>项约定为：</w:t>
      </w:r>
    </w:p>
    <w:p>
      <w:pPr>
        <w:pStyle w:val="20"/>
        <w:spacing w:line="400" w:lineRule="exact"/>
        <w:ind w:left="815" w:right="383"/>
        <w:rPr>
          <w:color w:val="auto"/>
          <w:highlight w:val="none"/>
        </w:rPr>
      </w:pPr>
      <w:r>
        <w:rPr>
          <w:rFonts w:hint="eastAsia"/>
          <w:color w:val="auto"/>
          <w:highlight w:val="none"/>
        </w:rPr>
        <w:t xml:space="preserve">承包人提出的合理化建议缩短了工期，发包人按第 </w:t>
      </w:r>
      <w:r>
        <w:rPr>
          <w:color w:val="auto"/>
          <w:highlight w:val="none"/>
        </w:rPr>
        <w:t xml:space="preserve">11.6 </w:t>
      </w:r>
      <w:r>
        <w:rPr>
          <w:rFonts w:hint="eastAsia"/>
          <w:color w:val="auto"/>
          <w:highlight w:val="none"/>
        </w:rPr>
        <w:t>款的规定给予奖励。承包人提出的合理化建议降低了合同价格或者提高了工程经济效益的，发包人按</w:t>
      </w:r>
    </w:p>
    <w:p>
      <w:pPr>
        <w:pStyle w:val="20"/>
        <w:spacing w:line="400" w:lineRule="exact"/>
        <w:ind w:left="424"/>
        <w:rPr>
          <w:color w:val="auto"/>
          <w:highlight w:val="none"/>
        </w:rPr>
      </w:pPr>
      <w:r>
        <w:rPr>
          <w:rFonts w:hint="eastAsia"/>
          <w:color w:val="auto"/>
          <w:highlight w:val="none"/>
        </w:rPr>
        <w:t>项目专用合同条款数据表中规定的金额给予奖励。</w:t>
      </w:r>
    </w:p>
    <w:p>
      <w:pPr>
        <w:pStyle w:val="20"/>
        <w:spacing w:line="400" w:lineRule="exact"/>
        <w:rPr>
          <w:color w:val="auto"/>
          <w:highlight w:val="none"/>
        </w:rPr>
      </w:pPr>
    </w:p>
    <w:p>
      <w:pPr>
        <w:pStyle w:val="86"/>
        <w:numPr>
          <w:ilvl w:val="1"/>
          <w:numId w:val="30"/>
        </w:numPr>
        <w:tabs>
          <w:tab w:val="left" w:pos="905"/>
        </w:tabs>
        <w:spacing w:line="400" w:lineRule="exact"/>
        <w:ind w:left="904" w:hanging="480"/>
        <w:rPr>
          <w:rFonts w:ascii="黑体" w:hAnsi="黑体" w:eastAsia="黑体" w:cs="黑体"/>
          <w:color w:val="auto"/>
          <w:sz w:val="24"/>
          <w:szCs w:val="24"/>
          <w:highlight w:val="none"/>
        </w:rPr>
      </w:pPr>
      <w:bookmarkStart w:id="2465" w:name="_bookmark221"/>
      <w:bookmarkEnd w:id="2465"/>
      <w:bookmarkStart w:id="2466" w:name="_Toc2637"/>
      <w:bookmarkStart w:id="2467" w:name="_Toc8230"/>
      <w:bookmarkStart w:id="2468" w:name="_Toc17844"/>
      <w:bookmarkStart w:id="2469" w:name="_Toc19171"/>
      <w:bookmarkStart w:id="2470" w:name="_Toc1848"/>
      <w:bookmarkStart w:id="2471" w:name="_Toc6612"/>
      <w:bookmarkStart w:id="2472" w:name="_Toc21033"/>
      <w:bookmarkStart w:id="2473" w:name="_Toc24953"/>
      <w:bookmarkStart w:id="2474" w:name="_Toc32335"/>
      <w:r>
        <w:rPr>
          <w:rFonts w:hint="eastAsia" w:ascii="黑体" w:hAnsi="黑体" w:eastAsia="黑体" w:cs="黑体"/>
          <w:color w:val="auto"/>
          <w:sz w:val="24"/>
          <w:szCs w:val="24"/>
          <w:highlight w:val="none"/>
        </w:rPr>
        <w:t>暂列金额</w:t>
      </w:r>
      <w:bookmarkEnd w:id="2466"/>
      <w:bookmarkEnd w:id="2467"/>
      <w:bookmarkEnd w:id="2468"/>
      <w:bookmarkEnd w:id="2469"/>
      <w:bookmarkEnd w:id="2470"/>
      <w:bookmarkEnd w:id="2471"/>
      <w:bookmarkEnd w:id="2472"/>
      <w:bookmarkEnd w:id="2473"/>
      <w:bookmarkEnd w:id="2474"/>
    </w:p>
    <w:p>
      <w:pPr>
        <w:pStyle w:val="20"/>
        <w:spacing w:line="400" w:lineRule="exact"/>
        <w:rPr>
          <w:color w:val="auto"/>
          <w:highlight w:val="none"/>
        </w:rPr>
      </w:pPr>
    </w:p>
    <w:p>
      <w:pPr>
        <w:pStyle w:val="20"/>
        <w:spacing w:line="400" w:lineRule="exact"/>
        <w:ind w:left="815"/>
        <w:rPr>
          <w:color w:val="auto"/>
          <w:highlight w:val="none"/>
        </w:rPr>
      </w:pPr>
      <w:r>
        <w:rPr>
          <w:rFonts w:hint="eastAsia"/>
          <w:color w:val="auto"/>
          <w:highlight w:val="none"/>
        </w:rPr>
        <w:t>本款细化为：</w:t>
      </w:r>
    </w:p>
    <w:p>
      <w:pPr>
        <w:pStyle w:val="86"/>
        <w:numPr>
          <w:ilvl w:val="2"/>
          <w:numId w:val="30"/>
        </w:numPr>
        <w:tabs>
          <w:tab w:val="left" w:pos="1536"/>
        </w:tabs>
        <w:spacing w:line="400" w:lineRule="exact"/>
        <w:ind w:right="385" w:firstLine="391"/>
        <w:rPr>
          <w:color w:val="auto"/>
          <w:sz w:val="24"/>
          <w:szCs w:val="24"/>
          <w:highlight w:val="none"/>
        </w:rPr>
      </w:pPr>
      <w:r>
        <w:rPr>
          <w:rFonts w:hint="eastAsia"/>
          <w:color w:val="auto"/>
          <w:spacing w:val="-5"/>
          <w:sz w:val="24"/>
          <w:szCs w:val="24"/>
          <w:highlight w:val="none"/>
        </w:rPr>
        <w:t>暂列金额应由监理人报发包人批准后指令全部或部分地使用，或者根本不予动用。</w:t>
      </w:r>
    </w:p>
    <w:p>
      <w:pPr>
        <w:pStyle w:val="86"/>
        <w:numPr>
          <w:ilvl w:val="2"/>
          <w:numId w:val="30"/>
        </w:numPr>
        <w:tabs>
          <w:tab w:val="left" w:pos="1536"/>
        </w:tabs>
        <w:spacing w:line="400" w:lineRule="exact"/>
        <w:ind w:right="385" w:firstLine="391"/>
        <w:rPr>
          <w:color w:val="auto"/>
          <w:sz w:val="24"/>
          <w:szCs w:val="24"/>
          <w:highlight w:val="none"/>
        </w:rPr>
      </w:pPr>
      <w:r>
        <w:rPr>
          <w:rFonts w:hint="eastAsia"/>
          <w:color w:val="auto"/>
          <w:spacing w:val="-7"/>
          <w:sz w:val="24"/>
          <w:szCs w:val="24"/>
          <w:highlight w:val="none"/>
        </w:rPr>
        <w:t>对于经发包人批准的每一笔暂列金额，监理人有权向承包人发出实施工程或提供材料、工程设备或服务的指令。这些指令应由承包人完成，监理人应根据第</w:t>
      </w:r>
    </w:p>
    <w:p>
      <w:pPr>
        <w:pStyle w:val="20"/>
        <w:spacing w:line="400" w:lineRule="exact"/>
        <w:ind w:left="424"/>
        <w:rPr>
          <w:color w:val="auto"/>
          <w:highlight w:val="none"/>
        </w:rPr>
      </w:pPr>
      <w:r>
        <w:rPr>
          <w:color w:val="auto"/>
          <w:highlight w:val="none"/>
        </w:rPr>
        <w:t xml:space="preserve">15.4 </w:t>
      </w:r>
      <w:r>
        <w:rPr>
          <w:rFonts w:hint="eastAsia"/>
          <w:color w:val="auto"/>
          <w:highlight w:val="none"/>
        </w:rPr>
        <w:t xml:space="preserve">款约定的变更估价原则和第 </w:t>
      </w:r>
      <w:r>
        <w:rPr>
          <w:color w:val="auto"/>
          <w:highlight w:val="none"/>
        </w:rPr>
        <w:t xml:space="preserve">15.7 </w:t>
      </w:r>
      <w:r>
        <w:rPr>
          <w:rFonts w:hint="eastAsia"/>
          <w:color w:val="auto"/>
          <w:highlight w:val="none"/>
        </w:rPr>
        <w:t>款的规定，对合同价格进行相应调整。</w:t>
      </w:r>
    </w:p>
    <w:p>
      <w:pPr>
        <w:pStyle w:val="20"/>
        <w:spacing w:line="400" w:lineRule="exact"/>
        <w:ind w:left="424" w:right="384" w:firstLine="391"/>
        <w:rPr>
          <w:color w:val="auto"/>
          <w:highlight w:val="none"/>
        </w:rPr>
      </w:pPr>
      <w:r>
        <w:rPr>
          <w:color w:val="auto"/>
          <w:highlight w:val="none"/>
        </w:rPr>
        <w:t xml:space="preserve">15.6.3 </w:t>
      </w:r>
      <w:r>
        <w:rPr>
          <w:rFonts w:hint="eastAsia"/>
          <w:color w:val="auto"/>
          <w:spacing w:val="-8"/>
          <w:highlight w:val="none"/>
        </w:rPr>
        <w:t>当监理人提出要求时，承包人应提供有关暂列金额支出的所有报价单、发票、凭证和账单或收据，除非该工作是根据已标价工程量清单列明的单价或总额价进行的估价。</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475" w:name="_bookmark222"/>
      <w:bookmarkEnd w:id="2475"/>
      <w:bookmarkStart w:id="2476" w:name="_Toc7979"/>
      <w:bookmarkStart w:id="2477" w:name="_Toc13543"/>
      <w:bookmarkStart w:id="2478" w:name="_Toc20"/>
      <w:bookmarkStart w:id="2479" w:name="_Toc2388"/>
      <w:bookmarkStart w:id="2480" w:name="_Toc10375"/>
      <w:bookmarkStart w:id="2481" w:name="_Toc7076"/>
      <w:bookmarkStart w:id="2482" w:name="_Toc6279"/>
      <w:bookmarkStart w:id="2483" w:name="_Toc10451"/>
      <w:bookmarkStart w:id="2484" w:name="_Toc19961"/>
      <w:bookmarkStart w:id="2485" w:name="_Toc32374"/>
      <w:bookmarkStart w:id="2486" w:name="_Toc14639"/>
      <w:bookmarkStart w:id="2487" w:name="_Toc22851"/>
      <w:bookmarkStart w:id="2488" w:name="_Toc9389"/>
      <w:bookmarkStart w:id="2489" w:name="_Toc1036"/>
      <w:bookmarkStart w:id="2490" w:name="_Toc15443"/>
      <w:bookmarkStart w:id="2491" w:name="_Toc29138"/>
      <w:bookmarkStart w:id="2492" w:name="_Toc1059"/>
      <w:r>
        <w:rPr>
          <w:rFonts w:hint="eastAsia" w:ascii="黑体" w:hAnsi="黑体" w:eastAsia="黑体" w:cs="黑体"/>
          <w:color w:val="auto"/>
          <w:sz w:val="24"/>
          <w:szCs w:val="24"/>
          <w:highlight w:val="none"/>
        </w:rPr>
        <w:t>价格调整</w:t>
      </w:r>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493" w:name="_bookmark223"/>
      <w:bookmarkEnd w:id="2493"/>
      <w:bookmarkStart w:id="2494" w:name="_Toc29565"/>
      <w:bookmarkStart w:id="2495" w:name="_Toc28920"/>
      <w:bookmarkStart w:id="2496" w:name="_Toc16182"/>
      <w:bookmarkStart w:id="2497" w:name="_Toc5223"/>
      <w:bookmarkStart w:id="2498" w:name="_Toc1785"/>
      <w:bookmarkStart w:id="2499" w:name="_Toc27368"/>
      <w:bookmarkStart w:id="2500" w:name="_Toc31818"/>
      <w:bookmarkStart w:id="2501" w:name="_Toc25081"/>
      <w:bookmarkStart w:id="2502" w:name="_Toc4879"/>
      <w:r>
        <w:rPr>
          <w:rFonts w:hint="eastAsia" w:ascii="黑体" w:hAnsi="黑体" w:eastAsia="黑体" w:cs="黑体"/>
          <w:color w:val="auto"/>
          <w:sz w:val="24"/>
          <w:szCs w:val="24"/>
          <w:highlight w:val="none"/>
        </w:rPr>
        <w:t>物价波动引起的价格调整</w:t>
      </w:r>
      <w:bookmarkEnd w:id="2494"/>
      <w:bookmarkEnd w:id="2495"/>
      <w:bookmarkEnd w:id="2496"/>
      <w:bookmarkEnd w:id="2497"/>
      <w:bookmarkEnd w:id="2498"/>
      <w:bookmarkEnd w:id="2499"/>
      <w:bookmarkEnd w:id="2500"/>
      <w:bookmarkEnd w:id="2501"/>
      <w:bookmarkEnd w:id="2502"/>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本款约定为：</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1</w:t>
      </w:r>
      <w:r>
        <w:rPr>
          <w:rFonts w:hint="eastAsia"/>
          <w:color w:val="auto"/>
          <w:highlight w:val="none"/>
        </w:rPr>
        <w:t xml:space="preserve">）除项目专用合同条款另有约定外，因物价波动引起的价格调整应按项目专用合同条款数据表的规定，按照第 </w:t>
      </w:r>
      <w:r>
        <w:rPr>
          <w:color w:val="auto"/>
          <w:highlight w:val="none"/>
        </w:rPr>
        <w:t xml:space="preserve">16.1.1 </w:t>
      </w:r>
      <w:r>
        <w:rPr>
          <w:rFonts w:hint="eastAsia"/>
          <w:color w:val="auto"/>
          <w:highlight w:val="none"/>
        </w:rPr>
        <w:t xml:space="preserve">项或第 </w:t>
      </w:r>
      <w:r>
        <w:rPr>
          <w:color w:val="auto"/>
          <w:highlight w:val="none"/>
        </w:rPr>
        <w:t xml:space="preserve">16.1.2 </w:t>
      </w:r>
      <w:r>
        <w:rPr>
          <w:rFonts w:hint="eastAsia"/>
          <w:color w:val="auto"/>
          <w:highlight w:val="none"/>
        </w:rPr>
        <w:t>项约定的原则处理；或者</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2</w:t>
      </w:r>
      <w:r>
        <w:rPr>
          <w:rFonts w:hint="eastAsia"/>
          <w:color w:val="auto"/>
          <w:highlight w:val="none"/>
        </w:rPr>
        <w:t>）在合同执行期间（包括工期拖延期间）由于人工、材料和设备价格的上涨而引起工程施工成本增加的风险由承包人自行承担，合同价格不会因此而调整。</w:t>
      </w:r>
    </w:p>
    <w:p>
      <w:pPr>
        <w:pStyle w:val="20"/>
        <w:spacing w:line="400" w:lineRule="exact"/>
        <w:ind w:left="894"/>
        <w:rPr>
          <w:color w:val="auto"/>
          <w:highlight w:val="none"/>
        </w:rPr>
      </w:pPr>
      <w:r>
        <w:rPr>
          <w:color w:val="auto"/>
          <w:highlight w:val="none"/>
        </w:rPr>
        <w:t xml:space="preserve">16.1.1 </w:t>
      </w:r>
      <w:r>
        <w:rPr>
          <w:rFonts w:hint="eastAsia"/>
          <w:color w:val="auto"/>
          <w:highlight w:val="none"/>
        </w:rPr>
        <w:t>采用价格指数调整价格差额</w:t>
      </w:r>
    </w:p>
    <w:p>
      <w:pPr>
        <w:pStyle w:val="20"/>
        <w:spacing w:line="400" w:lineRule="exact"/>
        <w:ind w:left="904"/>
        <w:rPr>
          <w:color w:val="auto"/>
          <w:highlight w:val="none"/>
        </w:rPr>
      </w:pPr>
      <w:r>
        <w:rPr>
          <w:color w:val="auto"/>
          <w:highlight w:val="none"/>
        </w:rPr>
        <w:t xml:space="preserve">16.1.1.1 </w:t>
      </w:r>
      <w:r>
        <w:rPr>
          <w:rFonts w:hint="eastAsia"/>
          <w:color w:val="auto"/>
          <w:highlight w:val="none"/>
        </w:rPr>
        <w:t>价格调整公式</w:t>
      </w:r>
    </w:p>
    <w:p>
      <w:pPr>
        <w:pStyle w:val="20"/>
        <w:spacing w:line="400" w:lineRule="exact"/>
        <w:ind w:left="904"/>
        <w:rPr>
          <w:color w:val="auto"/>
          <w:highlight w:val="none"/>
        </w:rPr>
      </w:pPr>
      <w:r>
        <w:rPr>
          <w:rFonts w:hint="eastAsia"/>
          <w:color w:val="auto"/>
          <w:highlight w:val="none"/>
        </w:rPr>
        <w:t>价格调整公式后增加备注如下：</w:t>
      </w:r>
    </w:p>
    <w:p>
      <w:pPr>
        <w:spacing w:line="400" w:lineRule="exact"/>
        <w:ind w:left="904" w:right="4062" w:firstLine="266"/>
        <w:rPr>
          <w:color w:val="auto"/>
          <w:sz w:val="24"/>
          <w:szCs w:val="24"/>
          <w:highlight w:val="none"/>
        </w:rPr>
      </w:pPr>
      <w:r>
        <w:rPr>
          <w:rFonts w:hint="eastAsia"/>
          <w:color w:val="auto"/>
          <w:sz w:val="24"/>
          <w:szCs w:val="24"/>
          <w:highlight w:val="none"/>
        </w:rPr>
        <w:t>式中，</w:t>
      </w:r>
      <w:r>
        <w:rPr>
          <w:b/>
          <w:color w:val="auto"/>
          <w:sz w:val="24"/>
          <w:szCs w:val="24"/>
          <w:highlight w:val="none"/>
        </w:rPr>
        <w:t>A=</w:t>
      </w:r>
      <w:r>
        <w:rPr>
          <w:b/>
          <w:color w:val="auto"/>
          <w:spacing w:val="-1"/>
          <w:sz w:val="24"/>
          <w:szCs w:val="24"/>
          <w:highlight w:val="none"/>
        </w:rPr>
        <w:t>1</w:t>
      </w:r>
      <w:r>
        <w:rPr>
          <w:rFonts w:hint="eastAsia"/>
          <w:b/>
          <w:color w:val="auto"/>
          <w:spacing w:val="1"/>
          <w:w w:val="99"/>
          <w:sz w:val="24"/>
          <w:szCs w:val="24"/>
          <w:highlight w:val="none"/>
        </w:rPr>
        <w:t>－</w:t>
      </w:r>
      <w:r>
        <w:rPr>
          <w:rFonts w:hint="eastAsia"/>
          <w:b/>
          <w:color w:val="auto"/>
          <w:spacing w:val="2"/>
          <w:w w:val="99"/>
          <w:sz w:val="24"/>
          <w:szCs w:val="24"/>
          <w:highlight w:val="none"/>
        </w:rPr>
        <w:t>（</w:t>
      </w:r>
      <w:r>
        <w:rPr>
          <w:b/>
          <w:color w:val="auto"/>
          <w:spacing w:val="-2"/>
          <w:sz w:val="24"/>
          <w:szCs w:val="24"/>
          <w:highlight w:val="none"/>
        </w:rPr>
        <w:t>B</w:t>
      </w:r>
      <w:r>
        <w:rPr>
          <w:b/>
          <w:color w:val="auto"/>
          <w:spacing w:val="-2"/>
          <w:w w:val="97"/>
          <w:sz w:val="24"/>
          <w:szCs w:val="24"/>
          <w:highlight w:val="none"/>
          <w:vertAlign w:val="subscript"/>
        </w:rPr>
        <w:t>1</w:t>
      </w:r>
      <w:r>
        <w:rPr>
          <w:rFonts w:hint="eastAsia"/>
          <w:b/>
          <w:color w:val="auto"/>
          <w:spacing w:val="1"/>
          <w:w w:val="99"/>
          <w:sz w:val="24"/>
          <w:szCs w:val="24"/>
          <w:highlight w:val="none"/>
        </w:rPr>
        <w:t>＋</w:t>
      </w:r>
      <w:r>
        <w:rPr>
          <w:b/>
          <w:color w:val="auto"/>
          <w:sz w:val="24"/>
          <w:szCs w:val="24"/>
          <w:highlight w:val="none"/>
        </w:rPr>
        <w:t>B</w:t>
      </w:r>
      <w:r>
        <w:rPr>
          <w:b/>
          <w:color w:val="auto"/>
          <w:spacing w:val="-2"/>
          <w:w w:val="97"/>
          <w:sz w:val="24"/>
          <w:szCs w:val="24"/>
          <w:highlight w:val="none"/>
          <w:vertAlign w:val="subscript"/>
        </w:rPr>
        <w:t>2</w:t>
      </w:r>
      <w:r>
        <w:rPr>
          <w:rFonts w:hint="eastAsia"/>
          <w:b/>
          <w:color w:val="auto"/>
          <w:spacing w:val="1"/>
          <w:w w:val="99"/>
          <w:sz w:val="24"/>
          <w:szCs w:val="24"/>
          <w:highlight w:val="none"/>
        </w:rPr>
        <w:t>＋</w:t>
      </w:r>
      <w:r>
        <w:rPr>
          <w:b/>
          <w:color w:val="auto"/>
          <w:spacing w:val="-2"/>
          <w:sz w:val="24"/>
          <w:szCs w:val="24"/>
          <w:highlight w:val="none"/>
        </w:rPr>
        <w:t>B</w:t>
      </w:r>
      <w:r>
        <w:rPr>
          <w:b/>
          <w:color w:val="auto"/>
          <w:w w:val="97"/>
          <w:sz w:val="24"/>
          <w:szCs w:val="24"/>
          <w:highlight w:val="none"/>
          <w:vertAlign w:val="subscript"/>
        </w:rPr>
        <w:t>3</w:t>
      </w:r>
      <w:r>
        <w:rPr>
          <w:rFonts w:hint="eastAsia"/>
          <w:b/>
          <w:color w:val="auto"/>
          <w:spacing w:val="1"/>
          <w:w w:val="99"/>
          <w:sz w:val="24"/>
          <w:szCs w:val="24"/>
          <w:highlight w:val="none"/>
        </w:rPr>
        <w:t>＋</w:t>
      </w:r>
      <w:r>
        <w:rPr>
          <w:b/>
          <w:color w:val="auto"/>
          <w:spacing w:val="-2"/>
          <w:w w:val="97"/>
          <w:sz w:val="24"/>
          <w:szCs w:val="24"/>
          <w:highlight w:val="none"/>
          <w:vertAlign w:val="subscript"/>
        </w:rPr>
        <w:t>……</w:t>
      </w:r>
      <w:r>
        <w:rPr>
          <w:rFonts w:hint="eastAsia"/>
          <w:b/>
          <w:color w:val="auto"/>
          <w:w w:val="99"/>
          <w:sz w:val="24"/>
          <w:szCs w:val="24"/>
          <w:highlight w:val="none"/>
        </w:rPr>
        <w:t>＋</w:t>
      </w:r>
      <w:r>
        <w:rPr>
          <w:b/>
          <w:color w:val="auto"/>
          <w:sz w:val="24"/>
          <w:szCs w:val="24"/>
          <w:highlight w:val="none"/>
        </w:rPr>
        <w:t>B</w:t>
      </w:r>
      <w:r>
        <w:rPr>
          <w:b/>
          <w:color w:val="auto"/>
          <w:spacing w:val="-1"/>
          <w:w w:val="97"/>
          <w:sz w:val="24"/>
          <w:szCs w:val="24"/>
          <w:highlight w:val="none"/>
          <w:vertAlign w:val="subscript"/>
        </w:rPr>
        <w:t>n</w:t>
      </w:r>
      <w:r>
        <w:rPr>
          <w:rFonts w:hint="eastAsia"/>
          <w:b/>
          <w:color w:val="auto"/>
          <w:spacing w:val="-118"/>
          <w:w w:val="99"/>
          <w:sz w:val="24"/>
          <w:szCs w:val="24"/>
          <w:highlight w:val="none"/>
        </w:rPr>
        <w:t>）</w:t>
      </w:r>
      <w:r>
        <w:rPr>
          <w:rFonts w:hint="eastAsia"/>
          <w:color w:val="auto"/>
          <w:sz w:val="24"/>
          <w:szCs w:val="24"/>
          <w:highlight w:val="none"/>
        </w:rPr>
        <w:t>。本目最后一段文字细化为：</w:t>
      </w:r>
    </w:p>
    <w:p>
      <w:pPr>
        <w:pStyle w:val="20"/>
        <w:spacing w:line="400" w:lineRule="exact"/>
        <w:ind w:left="904"/>
        <w:rPr>
          <w:color w:val="auto"/>
          <w:highlight w:val="none"/>
        </w:rPr>
      </w:pPr>
      <w:r>
        <w:rPr>
          <w:rFonts w:hint="eastAsia"/>
          <w:color w:val="auto"/>
          <w:highlight w:val="none"/>
        </w:rPr>
        <w:t>在采用价格调整公式进行调价时，还应遵守以下规定：</w:t>
      </w:r>
    </w:p>
    <w:p>
      <w:pPr>
        <w:pStyle w:val="20"/>
        <w:spacing w:line="400" w:lineRule="exact"/>
        <w:ind w:left="424" w:right="265" w:firstLine="477"/>
        <w:rPr>
          <w:color w:val="auto"/>
          <w:highlight w:val="none"/>
        </w:rPr>
      </w:pPr>
      <w:r>
        <w:rPr>
          <w:rFonts w:hint="eastAsia"/>
          <w:color w:val="auto"/>
          <w:spacing w:val="-10"/>
          <w:highlight w:val="none"/>
        </w:rPr>
        <w:t>（</w:t>
      </w:r>
      <w:r>
        <w:rPr>
          <w:color w:val="auto"/>
          <w:spacing w:val="-10"/>
          <w:highlight w:val="none"/>
        </w:rPr>
        <w:t>1</w:t>
      </w:r>
      <w:r>
        <w:rPr>
          <w:rFonts w:hint="eastAsia"/>
          <w:color w:val="auto"/>
          <w:spacing w:val="-10"/>
          <w:highlight w:val="none"/>
        </w:rPr>
        <w:t>）</w:t>
      </w:r>
      <w:r>
        <w:rPr>
          <w:rFonts w:hint="eastAsia"/>
          <w:color w:val="auto"/>
          <w:spacing w:val="-4"/>
          <w:highlight w:val="none"/>
        </w:rPr>
        <w:t>以上价格调整公式中的各可调因子、定值权重，以及基本价格指数及其来</w:t>
      </w:r>
      <w:r>
        <w:rPr>
          <w:rFonts w:hint="eastAsia"/>
          <w:color w:val="auto"/>
          <w:spacing w:val="-8"/>
          <w:highlight w:val="none"/>
        </w:rPr>
        <w:t>源由发包人在投标函附录价格指数和权重表中约定。价格指数应首先采用国家或省、</w:t>
      </w:r>
    </w:p>
    <w:p>
      <w:pPr>
        <w:pStyle w:val="20"/>
        <w:spacing w:line="400" w:lineRule="exact"/>
        <w:ind w:left="424" w:right="391"/>
        <w:rPr>
          <w:color w:val="auto"/>
          <w:highlight w:val="none"/>
        </w:rPr>
      </w:pPr>
      <w:r>
        <w:rPr>
          <w:rFonts w:hint="eastAsia"/>
          <w:color w:val="auto"/>
          <w:highlight w:val="none"/>
        </w:rPr>
        <w:t>自治区、直辖市价格部门或统计部门提供的价格指数，缺乏上述价格指数时，可采用上述部门提供的价格代替。</w:t>
      </w:r>
    </w:p>
    <w:p>
      <w:pPr>
        <w:pStyle w:val="20"/>
        <w:spacing w:line="400" w:lineRule="exact"/>
        <w:ind w:left="424" w:right="301" w:firstLine="477"/>
        <w:rPr>
          <w:color w:val="auto"/>
          <w:highlight w:val="none"/>
        </w:rPr>
      </w:pPr>
      <w:r>
        <w:rPr>
          <w:rFonts w:hint="eastAsia"/>
          <w:color w:val="auto"/>
          <w:highlight w:val="none"/>
        </w:rPr>
        <w:t>（</w:t>
      </w:r>
      <w:r>
        <w:rPr>
          <w:color w:val="auto"/>
          <w:highlight w:val="none"/>
        </w:rPr>
        <w:t>2</w:t>
      </w:r>
      <w:r>
        <w:rPr>
          <w:rFonts w:hint="eastAsia"/>
          <w:color w:val="auto"/>
          <w:highlight w:val="none"/>
        </w:rPr>
        <w:t>）价格调整公式中的变值权重，由发包人根据项目实际情况测算确定范围， 并在投标函附录价格指数和权重表中约定范围；承包人在投标时在此范围内填写各可调因子的权重，合同实施期间将按此权重进行调价。</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503" w:name="_bookmark224"/>
      <w:bookmarkEnd w:id="2503"/>
      <w:bookmarkStart w:id="2504" w:name="_Toc22585"/>
      <w:bookmarkStart w:id="2505" w:name="_Toc17818"/>
      <w:bookmarkStart w:id="2506" w:name="_Toc7670"/>
      <w:bookmarkStart w:id="2507" w:name="_Toc3934"/>
      <w:bookmarkStart w:id="2508" w:name="_Toc8297"/>
      <w:bookmarkStart w:id="2509" w:name="_Toc23031"/>
      <w:bookmarkStart w:id="2510" w:name="_Toc19503"/>
      <w:bookmarkStart w:id="2511" w:name="_Toc28982"/>
      <w:bookmarkStart w:id="2512" w:name="_Toc25841"/>
      <w:bookmarkStart w:id="2513" w:name="_Toc3102"/>
      <w:bookmarkStart w:id="2514" w:name="_Toc5516"/>
      <w:bookmarkStart w:id="2515" w:name="_Toc2050"/>
      <w:bookmarkStart w:id="2516" w:name="_Toc1463"/>
      <w:bookmarkStart w:id="2517" w:name="_Toc15669"/>
      <w:bookmarkStart w:id="2518" w:name="_Toc28819"/>
      <w:bookmarkStart w:id="2519" w:name="_Toc19996"/>
      <w:bookmarkStart w:id="2520" w:name="_Toc3388"/>
      <w:r>
        <w:rPr>
          <w:rFonts w:hint="eastAsia" w:ascii="黑体" w:hAnsi="黑体" w:eastAsia="黑体" w:cs="黑体"/>
          <w:color w:val="auto"/>
          <w:sz w:val="24"/>
          <w:szCs w:val="24"/>
          <w:highlight w:val="none"/>
        </w:rPr>
        <w:t>计量与支付</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521" w:name="_bookmark225"/>
      <w:bookmarkEnd w:id="2521"/>
      <w:bookmarkStart w:id="2522" w:name="_Toc11325"/>
      <w:bookmarkStart w:id="2523" w:name="_Toc21928"/>
      <w:bookmarkStart w:id="2524" w:name="_Toc25370"/>
      <w:bookmarkStart w:id="2525" w:name="_Toc2489"/>
      <w:bookmarkStart w:id="2526" w:name="_Toc10318"/>
      <w:bookmarkStart w:id="2527" w:name="_Toc10098"/>
      <w:bookmarkStart w:id="2528" w:name="_Toc10972"/>
      <w:bookmarkStart w:id="2529" w:name="_Toc28238"/>
      <w:bookmarkStart w:id="2530" w:name="_Toc15826"/>
      <w:r>
        <w:rPr>
          <w:rFonts w:hint="eastAsia" w:ascii="黑体" w:hAnsi="黑体" w:eastAsia="黑体" w:cs="黑体"/>
          <w:color w:val="auto"/>
          <w:sz w:val="24"/>
          <w:szCs w:val="24"/>
          <w:highlight w:val="none"/>
        </w:rPr>
        <w:t>计量</w:t>
      </w:r>
      <w:bookmarkEnd w:id="2522"/>
      <w:bookmarkEnd w:id="2523"/>
      <w:bookmarkEnd w:id="2524"/>
      <w:bookmarkEnd w:id="2525"/>
      <w:bookmarkEnd w:id="2526"/>
      <w:bookmarkEnd w:id="2527"/>
      <w:bookmarkEnd w:id="2528"/>
      <w:bookmarkEnd w:id="2529"/>
      <w:bookmarkEnd w:id="2530"/>
    </w:p>
    <w:p>
      <w:pPr>
        <w:pStyle w:val="20"/>
        <w:spacing w:line="400" w:lineRule="exact"/>
        <w:rPr>
          <w:color w:val="auto"/>
          <w:highlight w:val="none"/>
        </w:rPr>
      </w:pPr>
    </w:p>
    <w:p>
      <w:pPr>
        <w:pStyle w:val="86"/>
        <w:numPr>
          <w:ilvl w:val="2"/>
          <w:numId w:val="15"/>
        </w:numPr>
        <w:tabs>
          <w:tab w:val="left" w:pos="1615"/>
        </w:tabs>
        <w:spacing w:line="400" w:lineRule="exact"/>
        <w:ind w:left="1614" w:hanging="720"/>
        <w:rPr>
          <w:color w:val="auto"/>
          <w:sz w:val="24"/>
          <w:szCs w:val="24"/>
          <w:highlight w:val="none"/>
        </w:rPr>
      </w:pPr>
      <w:r>
        <w:rPr>
          <w:rFonts w:hint="eastAsia"/>
          <w:color w:val="auto"/>
          <w:sz w:val="24"/>
          <w:szCs w:val="24"/>
          <w:highlight w:val="none"/>
        </w:rPr>
        <w:t>计量方法</w:t>
      </w:r>
    </w:p>
    <w:p>
      <w:pPr>
        <w:pStyle w:val="20"/>
        <w:spacing w:line="400" w:lineRule="exact"/>
        <w:ind w:left="904"/>
        <w:rPr>
          <w:color w:val="auto"/>
          <w:highlight w:val="none"/>
        </w:rPr>
      </w:pPr>
      <w:r>
        <w:rPr>
          <w:rFonts w:hint="eastAsia"/>
          <w:color w:val="auto"/>
          <w:highlight w:val="none"/>
        </w:rPr>
        <w:t>本项约定为：</w:t>
      </w:r>
    </w:p>
    <w:p>
      <w:pPr>
        <w:pStyle w:val="20"/>
        <w:spacing w:line="400" w:lineRule="exact"/>
        <w:ind w:left="424" w:right="388" w:firstLine="479"/>
        <w:rPr>
          <w:color w:val="auto"/>
          <w:highlight w:val="none"/>
        </w:rPr>
      </w:pPr>
      <w:r>
        <w:rPr>
          <w:rFonts w:hint="eastAsia"/>
          <w:color w:val="auto"/>
          <w:highlight w:val="none"/>
        </w:rPr>
        <w:t>工程的计量应以净值为准，除非项目专用合同条款另有约定。工程量清单中各个子目的具体计量方法按本合同文件工程量清单计量规则中的规定执行。</w:t>
      </w:r>
    </w:p>
    <w:p>
      <w:pPr>
        <w:pStyle w:val="86"/>
        <w:numPr>
          <w:ilvl w:val="2"/>
          <w:numId w:val="31"/>
        </w:numPr>
        <w:tabs>
          <w:tab w:val="left" w:pos="1615"/>
        </w:tabs>
        <w:spacing w:line="400" w:lineRule="exact"/>
        <w:rPr>
          <w:color w:val="auto"/>
          <w:sz w:val="24"/>
          <w:szCs w:val="24"/>
          <w:highlight w:val="none"/>
        </w:rPr>
      </w:pPr>
      <w:r>
        <w:rPr>
          <w:rFonts w:hint="eastAsia"/>
          <w:color w:val="auto"/>
          <w:sz w:val="24"/>
          <w:szCs w:val="24"/>
          <w:highlight w:val="none"/>
        </w:rPr>
        <w:t>单价子目的计量</w:t>
      </w:r>
    </w:p>
    <w:p>
      <w:pPr>
        <w:pStyle w:val="20"/>
        <w:spacing w:line="400" w:lineRule="exact"/>
        <w:ind w:left="904"/>
        <w:rPr>
          <w:color w:val="auto"/>
          <w:highlight w:val="none"/>
        </w:rPr>
      </w:pPr>
      <w:r>
        <w:rPr>
          <w:rFonts w:hint="eastAsia"/>
          <w:color w:val="auto"/>
          <w:highlight w:val="none"/>
        </w:rPr>
        <w:t>本项补充：</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7</w:t>
      </w:r>
      <w:r>
        <w:rPr>
          <w:rFonts w:hint="eastAsia"/>
          <w:color w:val="auto"/>
          <w:highlight w:val="none"/>
        </w:rPr>
        <w:t>）承包人未在已标价工程量清单中填入单价或总额价的工程子目，将被认为其已包含在本合同的其他子目的单价和总额价中，发包人将不另行支付。</w:t>
      </w:r>
    </w:p>
    <w:p>
      <w:pPr>
        <w:pStyle w:val="86"/>
        <w:numPr>
          <w:ilvl w:val="2"/>
          <w:numId w:val="31"/>
        </w:numPr>
        <w:tabs>
          <w:tab w:val="left" w:pos="1615"/>
        </w:tabs>
        <w:spacing w:line="400" w:lineRule="exact"/>
        <w:rPr>
          <w:color w:val="auto"/>
          <w:sz w:val="24"/>
          <w:szCs w:val="24"/>
          <w:highlight w:val="none"/>
        </w:rPr>
      </w:pPr>
      <w:r>
        <w:rPr>
          <w:rFonts w:hint="eastAsia"/>
          <w:color w:val="auto"/>
          <w:sz w:val="24"/>
          <w:szCs w:val="24"/>
          <w:highlight w:val="none"/>
        </w:rPr>
        <w:t>总价子目的计量</w:t>
      </w:r>
    </w:p>
    <w:p>
      <w:pPr>
        <w:pStyle w:val="20"/>
        <w:spacing w:line="400" w:lineRule="exact"/>
        <w:ind w:left="894"/>
        <w:rPr>
          <w:color w:val="auto"/>
          <w:highlight w:val="none"/>
        </w:rPr>
      </w:pPr>
      <w:r>
        <w:rPr>
          <w:rFonts w:hint="eastAsia"/>
          <w:color w:val="auto"/>
          <w:highlight w:val="none"/>
        </w:rPr>
        <w:t>本项补充：</w:t>
      </w:r>
    </w:p>
    <w:p>
      <w:pPr>
        <w:pStyle w:val="20"/>
        <w:spacing w:line="400" w:lineRule="exact"/>
        <w:ind w:left="424" w:right="381" w:firstLine="470"/>
        <w:rPr>
          <w:color w:val="auto"/>
          <w:highlight w:val="none"/>
        </w:rPr>
      </w:pPr>
      <w:r>
        <w:rPr>
          <w:rFonts w:hint="eastAsia"/>
          <w:color w:val="auto"/>
          <w:highlight w:val="none"/>
        </w:rPr>
        <w:t>本项目工程量清单中要求承包人以“总额”方式报价的子目，各子目的支付原则和支付进度按项目专用合同条款的规定执行。</w:t>
      </w:r>
    </w:p>
    <w:p>
      <w:pPr>
        <w:pStyle w:val="20"/>
        <w:spacing w:line="400" w:lineRule="exact"/>
        <w:rPr>
          <w:color w:val="auto"/>
          <w:highlight w:val="none"/>
        </w:rPr>
      </w:pPr>
    </w:p>
    <w:p>
      <w:pPr>
        <w:pStyle w:val="86"/>
        <w:numPr>
          <w:ilvl w:val="1"/>
          <w:numId w:val="31"/>
        </w:numPr>
        <w:tabs>
          <w:tab w:val="left" w:pos="965"/>
        </w:tabs>
        <w:spacing w:line="400" w:lineRule="exact"/>
        <w:ind w:left="964" w:hanging="540"/>
        <w:jc w:val="left"/>
        <w:rPr>
          <w:rFonts w:ascii="黑体" w:hAnsi="黑体" w:eastAsia="黑体" w:cs="黑体"/>
          <w:color w:val="auto"/>
          <w:sz w:val="24"/>
          <w:szCs w:val="24"/>
          <w:highlight w:val="none"/>
        </w:rPr>
      </w:pPr>
      <w:bookmarkStart w:id="2531" w:name="_bookmark226"/>
      <w:bookmarkEnd w:id="2531"/>
      <w:bookmarkStart w:id="2532" w:name="_Toc9216"/>
      <w:bookmarkStart w:id="2533" w:name="_Toc21133"/>
      <w:bookmarkStart w:id="2534" w:name="_Toc17046"/>
      <w:bookmarkStart w:id="2535" w:name="_Toc19161"/>
      <w:bookmarkStart w:id="2536" w:name="_Toc18870"/>
      <w:bookmarkStart w:id="2537" w:name="_Toc14543"/>
      <w:bookmarkStart w:id="2538" w:name="_Toc640"/>
      <w:bookmarkStart w:id="2539" w:name="_Toc22041"/>
      <w:bookmarkStart w:id="2540" w:name="_Toc1223"/>
      <w:r>
        <w:rPr>
          <w:rFonts w:hint="eastAsia" w:ascii="黑体" w:hAnsi="黑体" w:eastAsia="黑体" w:cs="黑体"/>
          <w:color w:val="auto"/>
          <w:sz w:val="24"/>
          <w:szCs w:val="24"/>
          <w:highlight w:val="none"/>
        </w:rPr>
        <w:t>预付款</w:t>
      </w:r>
      <w:bookmarkEnd w:id="2532"/>
      <w:bookmarkEnd w:id="2533"/>
      <w:bookmarkEnd w:id="2534"/>
      <w:bookmarkEnd w:id="2535"/>
      <w:bookmarkEnd w:id="2536"/>
      <w:bookmarkEnd w:id="2537"/>
      <w:bookmarkEnd w:id="2538"/>
      <w:bookmarkEnd w:id="2539"/>
      <w:bookmarkEnd w:id="2540"/>
    </w:p>
    <w:p>
      <w:pPr>
        <w:pStyle w:val="20"/>
        <w:spacing w:line="400" w:lineRule="exact"/>
        <w:rPr>
          <w:color w:val="auto"/>
          <w:highlight w:val="none"/>
        </w:rPr>
      </w:pPr>
    </w:p>
    <w:p>
      <w:pPr>
        <w:adjustRightInd w:val="0"/>
        <w:snapToGrid w:val="0"/>
        <w:spacing w:line="400" w:lineRule="exact"/>
        <w:ind w:firstLine="1020" w:firstLineChars="425"/>
        <w:rPr>
          <w:color w:val="auto"/>
          <w:sz w:val="24"/>
          <w:highlight w:val="none"/>
        </w:rPr>
      </w:pPr>
      <w:r>
        <w:rPr>
          <w:rFonts w:hint="eastAsia"/>
          <w:color w:val="auto"/>
          <w:sz w:val="24"/>
          <w:highlight w:val="none"/>
        </w:rPr>
        <w:t>17.2.1 预付款</w:t>
      </w:r>
    </w:p>
    <w:p>
      <w:pPr>
        <w:adjustRightInd w:val="0"/>
        <w:snapToGrid w:val="0"/>
        <w:spacing w:line="400" w:lineRule="exact"/>
        <w:ind w:firstLine="1020" w:firstLineChars="425"/>
        <w:rPr>
          <w:color w:val="auto"/>
          <w:sz w:val="24"/>
          <w:highlight w:val="none"/>
        </w:rPr>
      </w:pPr>
      <w:r>
        <w:rPr>
          <w:rFonts w:hint="eastAsia"/>
          <w:color w:val="auto"/>
          <w:sz w:val="24"/>
          <w:highlight w:val="none"/>
        </w:rPr>
        <w:t>本项约定为：</w:t>
      </w:r>
    </w:p>
    <w:p>
      <w:pPr>
        <w:adjustRightInd w:val="0"/>
        <w:snapToGrid w:val="0"/>
        <w:spacing w:line="400" w:lineRule="exact"/>
        <w:ind w:firstLine="1020" w:firstLineChars="425"/>
        <w:rPr>
          <w:color w:val="auto"/>
          <w:sz w:val="24"/>
          <w:highlight w:val="none"/>
        </w:rPr>
      </w:pPr>
      <w:r>
        <w:rPr>
          <w:rFonts w:hint="eastAsia"/>
          <w:color w:val="auto"/>
          <w:sz w:val="24"/>
          <w:highlight w:val="none"/>
        </w:rPr>
        <w:t>预付款包括开工预付款和材料、设备预付款。具体额度和预付办法如下：</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（1）开工预付款的金额在项目专用合同条款数据表中约定。在承包人签订了合同协议书且承包人的承诺的主要设备进场后，监理人应在当期进度付款证书中向承包人支付开工预付款。</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承包人不得将该预付款用于与本工程无关的支出，监理人有权监督承包人对该项费用的使用，如经查实承包人滥用开工预付款，发包人有权立即通过向银行索赔履约保证金，并解除合同。</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pPr>
        <w:adjustRightInd w:val="0"/>
        <w:snapToGrid w:val="0"/>
        <w:spacing w:line="400" w:lineRule="exact"/>
        <w:ind w:firstLine="1020" w:firstLineChars="425"/>
        <w:rPr>
          <w:color w:val="auto"/>
          <w:sz w:val="24"/>
          <w:highlight w:val="none"/>
        </w:rPr>
      </w:pPr>
      <w:r>
        <w:rPr>
          <w:rFonts w:hint="eastAsia"/>
          <w:color w:val="auto"/>
          <w:sz w:val="24"/>
          <w:highlight w:val="none"/>
        </w:rPr>
        <w:t>a．材料、设备符合规范要求并经监理人认可；</w:t>
      </w:r>
    </w:p>
    <w:p>
      <w:pPr>
        <w:adjustRightInd w:val="0"/>
        <w:snapToGrid w:val="0"/>
        <w:spacing w:line="400" w:lineRule="exact"/>
        <w:ind w:firstLine="1020" w:firstLineChars="425"/>
        <w:rPr>
          <w:color w:val="auto"/>
          <w:sz w:val="24"/>
          <w:highlight w:val="none"/>
        </w:rPr>
      </w:pPr>
      <w:r>
        <w:rPr>
          <w:rFonts w:hint="eastAsia"/>
          <w:color w:val="auto"/>
          <w:sz w:val="24"/>
          <w:highlight w:val="none"/>
        </w:rPr>
        <w:t>b．承包人已出具材料、设备费用凭证或支付单据；</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c．材料、设备已在现场交货，且存储良好，监理人认为材料、设备的存储方法</w:t>
      </w:r>
      <w:r>
        <w:rPr>
          <w:rFonts w:hint="eastAsia"/>
          <w:color w:val="auto"/>
          <w:sz w:val="24"/>
          <w:highlight w:val="none"/>
          <w:lang w:val="en-US"/>
        </w:rPr>
        <w:t xml:space="preserve">  </w:t>
      </w:r>
      <w:r>
        <w:rPr>
          <w:rFonts w:hint="eastAsia"/>
          <w:color w:val="auto"/>
          <w:sz w:val="24"/>
          <w:highlight w:val="none"/>
        </w:rPr>
        <w:t>符合要求。</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则监理人应将此项金额作为材料、设备预付款计入下一次的进度付款证书中。在预计交工前3个月，将不再支付材料、设备预付款。</w:t>
      </w:r>
    </w:p>
    <w:p>
      <w:pPr>
        <w:adjustRightInd w:val="0"/>
        <w:snapToGrid w:val="0"/>
        <w:spacing w:line="400" w:lineRule="exact"/>
        <w:ind w:firstLine="1020" w:firstLineChars="425"/>
        <w:rPr>
          <w:color w:val="auto"/>
          <w:sz w:val="24"/>
          <w:highlight w:val="none"/>
        </w:rPr>
      </w:pPr>
      <w:r>
        <w:rPr>
          <w:rFonts w:hint="eastAsia"/>
          <w:color w:val="auto"/>
          <w:sz w:val="24"/>
          <w:highlight w:val="none"/>
        </w:rPr>
        <w:t>17.2.2 预付款保函</w:t>
      </w:r>
    </w:p>
    <w:p>
      <w:pPr>
        <w:adjustRightInd w:val="0"/>
        <w:snapToGrid w:val="0"/>
        <w:spacing w:line="400" w:lineRule="exact"/>
        <w:ind w:firstLine="1020" w:firstLineChars="425"/>
        <w:rPr>
          <w:color w:val="auto"/>
          <w:sz w:val="24"/>
          <w:highlight w:val="none"/>
        </w:rPr>
      </w:pPr>
      <w:r>
        <w:rPr>
          <w:rFonts w:hint="eastAsia"/>
          <w:color w:val="auto"/>
          <w:sz w:val="24"/>
          <w:highlight w:val="none"/>
        </w:rPr>
        <w:t>本项细化为：</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承包人无须向发包人提交预付款保函。发包人向承包人支付的预付款，应按照本合同第17.2.1项规定使用，承包人提交的履约保证金对预付款的正常使用承担保证责任。</w:t>
      </w:r>
    </w:p>
    <w:p>
      <w:pPr>
        <w:adjustRightInd w:val="0"/>
        <w:snapToGrid w:val="0"/>
        <w:spacing w:line="400" w:lineRule="exact"/>
        <w:ind w:firstLine="1020" w:firstLineChars="425"/>
        <w:rPr>
          <w:color w:val="auto"/>
          <w:sz w:val="24"/>
          <w:highlight w:val="none"/>
        </w:rPr>
      </w:pPr>
      <w:r>
        <w:rPr>
          <w:rFonts w:hint="eastAsia"/>
          <w:color w:val="auto"/>
          <w:sz w:val="24"/>
          <w:highlight w:val="none"/>
        </w:rPr>
        <w:t>17.2.3 预付款的扣回和还清</w:t>
      </w:r>
    </w:p>
    <w:p>
      <w:pPr>
        <w:adjustRightInd w:val="0"/>
        <w:snapToGrid w:val="0"/>
        <w:spacing w:line="400" w:lineRule="exact"/>
        <w:ind w:firstLine="1020" w:firstLineChars="425"/>
        <w:rPr>
          <w:color w:val="auto"/>
          <w:sz w:val="24"/>
          <w:highlight w:val="none"/>
        </w:rPr>
      </w:pPr>
      <w:r>
        <w:rPr>
          <w:rFonts w:hint="eastAsia"/>
          <w:color w:val="auto"/>
          <w:sz w:val="24"/>
          <w:highlight w:val="none"/>
        </w:rPr>
        <w:t>本项约定为：</w:t>
      </w:r>
    </w:p>
    <w:p>
      <w:pPr>
        <w:adjustRightInd w:val="0"/>
        <w:snapToGrid w:val="0"/>
        <w:spacing w:line="400" w:lineRule="exact"/>
        <w:ind w:left="480" w:leftChars="218" w:firstLine="540" w:firstLineChars="225"/>
        <w:rPr>
          <w:color w:val="auto"/>
          <w:sz w:val="24"/>
          <w:highlight w:val="none"/>
        </w:rPr>
      </w:pPr>
      <w:r>
        <w:rPr>
          <w:rFonts w:hint="eastAsia"/>
          <w:color w:val="auto"/>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款证书的累计金额达到签约合同价的80％时扣完。</w:t>
      </w:r>
    </w:p>
    <w:p>
      <w:pPr>
        <w:pStyle w:val="20"/>
        <w:adjustRightInd w:val="0"/>
        <w:snapToGrid w:val="0"/>
        <w:spacing w:line="400" w:lineRule="exact"/>
        <w:ind w:left="480" w:leftChars="218" w:firstLine="480" w:firstLineChars="200"/>
        <w:rPr>
          <w:color w:val="auto"/>
          <w:szCs w:val="22"/>
          <w:highlight w:val="none"/>
        </w:rPr>
      </w:pPr>
      <w:r>
        <w:rPr>
          <w:rFonts w:hint="eastAsia"/>
          <w:color w:val="auto"/>
          <w:szCs w:val="22"/>
          <w:highlight w:val="none"/>
        </w:rPr>
        <w:t>（2）当材料、设备已用于或安装在永久工程之中时，材料、设备预付款应从进度付款证书中扣回，扣回期不超过3个月。已经支付材料、设备预付款的材料、设备的所有权应属于发包人。</w:t>
      </w:r>
    </w:p>
    <w:p>
      <w:pPr>
        <w:pStyle w:val="20"/>
        <w:spacing w:line="400" w:lineRule="exact"/>
        <w:rPr>
          <w:color w:val="auto"/>
          <w:highlight w:val="none"/>
        </w:rPr>
      </w:pPr>
    </w:p>
    <w:p>
      <w:pPr>
        <w:pStyle w:val="86"/>
        <w:numPr>
          <w:ilvl w:val="1"/>
          <w:numId w:val="31"/>
        </w:numPr>
        <w:tabs>
          <w:tab w:val="left" w:pos="965"/>
        </w:tabs>
        <w:spacing w:line="400" w:lineRule="exact"/>
        <w:ind w:left="964" w:hanging="540"/>
        <w:jc w:val="left"/>
        <w:rPr>
          <w:rFonts w:ascii="黑体" w:hAnsi="黑体" w:eastAsia="黑体" w:cs="黑体"/>
          <w:color w:val="auto"/>
          <w:sz w:val="24"/>
          <w:szCs w:val="24"/>
          <w:highlight w:val="none"/>
        </w:rPr>
      </w:pPr>
      <w:bookmarkStart w:id="2541" w:name="_bookmark227"/>
      <w:bookmarkEnd w:id="2541"/>
      <w:bookmarkStart w:id="2542" w:name="_Toc22778"/>
      <w:bookmarkStart w:id="2543" w:name="_Toc32424"/>
      <w:bookmarkStart w:id="2544" w:name="_Toc1207"/>
      <w:bookmarkStart w:id="2545" w:name="_Toc14018"/>
      <w:bookmarkStart w:id="2546" w:name="_Toc27157"/>
      <w:bookmarkStart w:id="2547" w:name="_Toc18332"/>
      <w:bookmarkStart w:id="2548" w:name="_Toc10951"/>
      <w:bookmarkStart w:id="2549" w:name="_Toc32005"/>
      <w:bookmarkStart w:id="2550" w:name="_Toc28420"/>
      <w:r>
        <w:rPr>
          <w:rFonts w:hint="eastAsia" w:ascii="黑体" w:hAnsi="黑体" w:eastAsia="黑体" w:cs="黑体"/>
          <w:color w:val="auto"/>
          <w:sz w:val="24"/>
          <w:szCs w:val="24"/>
          <w:highlight w:val="none"/>
        </w:rPr>
        <w:t>工程进度付款</w:t>
      </w:r>
      <w:bookmarkEnd w:id="2542"/>
      <w:bookmarkEnd w:id="2543"/>
      <w:bookmarkEnd w:id="2544"/>
      <w:bookmarkEnd w:id="2545"/>
      <w:bookmarkEnd w:id="2546"/>
      <w:bookmarkEnd w:id="2547"/>
      <w:bookmarkEnd w:id="2548"/>
      <w:bookmarkEnd w:id="2549"/>
      <w:bookmarkEnd w:id="2550"/>
    </w:p>
    <w:p>
      <w:pPr>
        <w:pStyle w:val="20"/>
        <w:spacing w:line="400" w:lineRule="exact"/>
        <w:rPr>
          <w:color w:val="auto"/>
          <w:highlight w:val="none"/>
        </w:rPr>
      </w:pPr>
    </w:p>
    <w:p>
      <w:pPr>
        <w:spacing w:line="360" w:lineRule="auto"/>
        <w:ind w:firstLine="1020" w:firstLineChars="425"/>
        <w:rPr>
          <w:color w:val="auto"/>
          <w:sz w:val="24"/>
          <w:highlight w:val="none"/>
        </w:rPr>
      </w:pPr>
      <w:r>
        <w:rPr>
          <w:rFonts w:hint="eastAsia"/>
          <w:color w:val="auto"/>
          <w:sz w:val="24"/>
          <w:highlight w:val="none"/>
        </w:rPr>
        <w:t>17.3.3 进度付款证书和支付时间</w:t>
      </w:r>
    </w:p>
    <w:p>
      <w:pPr>
        <w:spacing w:line="360" w:lineRule="auto"/>
        <w:ind w:firstLine="1020" w:firstLineChars="425"/>
        <w:rPr>
          <w:color w:val="auto"/>
          <w:sz w:val="24"/>
          <w:highlight w:val="none"/>
        </w:rPr>
      </w:pPr>
      <w:r>
        <w:rPr>
          <w:rFonts w:hint="eastAsia"/>
          <w:color w:val="auto"/>
          <w:sz w:val="24"/>
          <w:highlight w:val="none"/>
        </w:rPr>
        <w:t>本项（1）目补充：</w:t>
      </w:r>
    </w:p>
    <w:p>
      <w:pPr>
        <w:spacing w:line="360" w:lineRule="auto"/>
        <w:ind w:left="480" w:leftChars="218" w:firstLine="540" w:firstLineChars="225"/>
        <w:rPr>
          <w:color w:val="auto"/>
          <w:sz w:val="24"/>
          <w:highlight w:val="none"/>
        </w:rPr>
      </w:pPr>
      <w:r>
        <w:rPr>
          <w:rFonts w:hint="eastAsia"/>
          <w:color w:val="auto"/>
          <w:sz w:val="24"/>
          <w:highlight w:val="none"/>
        </w:rPr>
        <w:t>如果该预付款周期应结算的价款经扣留和扣回后的款额少于项目专用合同条款数据表中列明的进度付款证书的最低金额，则该预付款周期监理人可不核证支付，上述款额将按付款周期结转，直至累计应支付的款额达到项目专用合同条款数据表中列明的进度付款证书的最低金额为止。</w:t>
      </w:r>
    </w:p>
    <w:p>
      <w:pPr>
        <w:spacing w:line="360" w:lineRule="auto"/>
        <w:ind w:firstLine="1020" w:firstLineChars="425"/>
        <w:rPr>
          <w:color w:val="auto"/>
          <w:sz w:val="24"/>
          <w:highlight w:val="none"/>
        </w:rPr>
      </w:pPr>
      <w:r>
        <w:rPr>
          <w:rFonts w:hint="eastAsia"/>
          <w:color w:val="auto"/>
          <w:sz w:val="24"/>
          <w:highlight w:val="none"/>
        </w:rPr>
        <w:t>本项（2）目约定为：</w:t>
      </w:r>
    </w:p>
    <w:p>
      <w:pPr>
        <w:spacing w:line="360" w:lineRule="auto"/>
        <w:ind w:left="480" w:leftChars="218" w:firstLine="540" w:firstLineChars="225"/>
        <w:rPr>
          <w:color w:val="auto"/>
          <w:sz w:val="24"/>
          <w:highlight w:val="none"/>
        </w:rPr>
      </w:pPr>
      <w:r>
        <w:rPr>
          <w:rFonts w:hint="eastAsia"/>
          <w:color w:val="auto"/>
          <w:sz w:val="24"/>
          <w:highlight w:val="none"/>
        </w:rPr>
        <w:t>发包人应在监理人收到进度付款申请单且承包人提交了合格的增值税专用发票后的28天内，将进度应付款支付给承包人。</w:t>
      </w:r>
    </w:p>
    <w:p>
      <w:pPr>
        <w:spacing w:line="360" w:lineRule="auto"/>
        <w:ind w:left="480" w:leftChars="218" w:firstLine="540" w:firstLineChars="225"/>
        <w:rPr>
          <w:color w:val="auto"/>
          <w:sz w:val="24"/>
          <w:highlight w:val="none"/>
        </w:rPr>
      </w:pPr>
      <w:r>
        <w:rPr>
          <w:rFonts w:hint="eastAsia"/>
          <w:color w:val="auto"/>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pPr>
        <w:spacing w:line="360" w:lineRule="auto"/>
        <w:ind w:firstLine="1020" w:firstLineChars="425"/>
        <w:rPr>
          <w:color w:val="auto"/>
          <w:sz w:val="24"/>
          <w:highlight w:val="none"/>
        </w:rPr>
      </w:pPr>
      <w:r>
        <w:rPr>
          <w:rFonts w:hint="eastAsia"/>
          <w:color w:val="auto"/>
          <w:sz w:val="24"/>
          <w:highlight w:val="none"/>
        </w:rPr>
        <w:t>本款补充第17.3.5项：</w:t>
      </w:r>
    </w:p>
    <w:p>
      <w:pPr>
        <w:spacing w:line="360" w:lineRule="auto"/>
        <w:ind w:firstLine="1020" w:firstLineChars="425"/>
        <w:rPr>
          <w:color w:val="auto"/>
          <w:sz w:val="24"/>
          <w:highlight w:val="none"/>
        </w:rPr>
      </w:pPr>
      <w:r>
        <w:rPr>
          <w:rFonts w:hint="eastAsia"/>
          <w:color w:val="auto"/>
          <w:sz w:val="24"/>
          <w:highlight w:val="none"/>
        </w:rPr>
        <w:t>拨款进度与省财政计划列支及拨付进度同步</w:t>
      </w:r>
    </w:p>
    <w:p>
      <w:pPr>
        <w:spacing w:line="360" w:lineRule="auto"/>
        <w:ind w:firstLine="1020" w:firstLineChars="425"/>
        <w:rPr>
          <w:color w:val="auto"/>
          <w:sz w:val="24"/>
          <w:highlight w:val="none"/>
        </w:rPr>
      </w:pPr>
      <w:r>
        <w:rPr>
          <w:rFonts w:hint="eastAsia"/>
          <w:color w:val="auto"/>
          <w:sz w:val="24"/>
          <w:highlight w:val="none"/>
        </w:rPr>
        <w:t>17.3.5 农民工工资保证金</w:t>
      </w:r>
    </w:p>
    <w:p>
      <w:pPr>
        <w:spacing w:line="360" w:lineRule="auto"/>
        <w:ind w:left="480" w:leftChars="218" w:firstLine="540" w:firstLineChars="225"/>
        <w:rPr>
          <w:color w:val="auto"/>
          <w:sz w:val="24"/>
          <w:highlight w:val="none"/>
        </w:rPr>
      </w:pPr>
      <w:r>
        <w:rPr>
          <w:rFonts w:hint="eastAsia"/>
          <w:color w:val="auto"/>
          <w:sz w:val="24"/>
          <w:highlight w:val="none"/>
        </w:rPr>
        <w:t>（1）为确保施工过程中农民工工资实时、足额发放到位，承包人应按照项目专用合同条款约定的时间和金额缴存农民工工资保证金。</w:t>
      </w:r>
    </w:p>
    <w:p>
      <w:pPr>
        <w:spacing w:line="360" w:lineRule="auto"/>
        <w:ind w:left="480" w:leftChars="218" w:firstLine="540" w:firstLineChars="225"/>
        <w:rPr>
          <w:color w:val="auto"/>
          <w:sz w:val="24"/>
          <w:highlight w:val="none"/>
        </w:rPr>
      </w:pPr>
      <w:r>
        <w:rPr>
          <w:rFonts w:hint="eastAsia"/>
          <w:color w:val="auto"/>
          <w:sz w:val="24"/>
          <w:highlight w:val="none"/>
        </w:rPr>
        <w:t>（2）农民工工资保证金可采用银行保函或先进、支票形式。采用银行保函时，出具保函的银行须具有相应担保能力，且按照发包人批准的格式出具，所需费用由承包人承担。</w:t>
      </w:r>
    </w:p>
    <w:p>
      <w:pPr>
        <w:spacing w:line="360" w:lineRule="auto"/>
        <w:ind w:left="480" w:leftChars="218" w:firstLine="540" w:firstLineChars="225"/>
        <w:rPr>
          <w:color w:val="auto"/>
          <w:sz w:val="24"/>
          <w:highlight w:val="none"/>
        </w:rPr>
      </w:pPr>
      <w:r>
        <w:rPr>
          <w:rFonts w:hint="eastAsia"/>
          <w:color w:val="auto"/>
          <w:sz w:val="24"/>
          <w:highlight w:val="none"/>
        </w:rPr>
        <w:t>（3）农民工工资保证金的扣留条件、返还时间按照项目专用合同条款的约定执行。</w:t>
      </w:r>
    </w:p>
    <w:p>
      <w:pPr>
        <w:pStyle w:val="86"/>
        <w:numPr>
          <w:ilvl w:val="1"/>
          <w:numId w:val="31"/>
        </w:numPr>
        <w:tabs>
          <w:tab w:val="left" w:pos="965"/>
        </w:tabs>
        <w:spacing w:line="400" w:lineRule="exact"/>
        <w:ind w:left="964" w:hanging="540"/>
        <w:jc w:val="left"/>
        <w:rPr>
          <w:rFonts w:ascii="黑体" w:hAnsi="黑体" w:eastAsia="黑体" w:cs="黑体"/>
          <w:color w:val="auto"/>
          <w:sz w:val="24"/>
          <w:szCs w:val="24"/>
          <w:highlight w:val="none"/>
        </w:rPr>
      </w:pPr>
      <w:bookmarkStart w:id="2551" w:name="_bookmark228"/>
      <w:bookmarkEnd w:id="2551"/>
      <w:bookmarkStart w:id="2552" w:name="_Toc14887"/>
      <w:bookmarkStart w:id="2553" w:name="_Toc14855"/>
      <w:bookmarkStart w:id="2554" w:name="_Toc7896"/>
      <w:bookmarkStart w:id="2555" w:name="_Toc30061"/>
      <w:bookmarkStart w:id="2556" w:name="_Toc27108"/>
      <w:bookmarkStart w:id="2557" w:name="_Toc1753"/>
      <w:bookmarkStart w:id="2558" w:name="_Toc16974"/>
      <w:bookmarkStart w:id="2559" w:name="_Toc258"/>
      <w:bookmarkStart w:id="2560" w:name="_Toc9215"/>
      <w:r>
        <w:rPr>
          <w:rFonts w:hint="eastAsia" w:ascii="黑体" w:hAnsi="黑体" w:eastAsia="黑体" w:cs="黑体"/>
          <w:color w:val="auto"/>
          <w:sz w:val="24"/>
          <w:szCs w:val="24"/>
          <w:highlight w:val="none"/>
        </w:rPr>
        <w:t>质量保证金</w:t>
      </w:r>
      <w:bookmarkEnd w:id="2552"/>
      <w:bookmarkEnd w:id="2553"/>
      <w:bookmarkEnd w:id="2554"/>
      <w:bookmarkEnd w:id="2555"/>
      <w:bookmarkEnd w:id="2556"/>
      <w:bookmarkEnd w:id="2557"/>
      <w:bookmarkEnd w:id="2558"/>
      <w:bookmarkEnd w:id="2559"/>
      <w:bookmarkEnd w:id="2560"/>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17.4.1 </w:t>
      </w:r>
      <w:r>
        <w:rPr>
          <w:rFonts w:hint="eastAsia"/>
          <w:color w:val="auto"/>
          <w:highlight w:val="none"/>
        </w:rPr>
        <w:t xml:space="preserve">项、第 </w:t>
      </w:r>
      <w:r>
        <w:rPr>
          <w:color w:val="auto"/>
          <w:highlight w:val="none"/>
        </w:rPr>
        <w:t xml:space="preserve">17.4.2 </w:t>
      </w:r>
      <w:r>
        <w:rPr>
          <w:rFonts w:hint="eastAsia"/>
          <w:color w:val="auto"/>
          <w:highlight w:val="none"/>
        </w:rPr>
        <w:t>项细化为：</w:t>
      </w:r>
    </w:p>
    <w:p>
      <w:pPr>
        <w:pStyle w:val="86"/>
        <w:tabs>
          <w:tab w:val="left" w:pos="1625"/>
        </w:tabs>
        <w:spacing w:line="400" w:lineRule="exact"/>
        <w:ind w:left="480" w:leftChars="218" w:right="385" w:firstLine="456" w:firstLineChars="200"/>
        <w:rPr>
          <w:color w:val="auto"/>
          <w:sz w:val="24"/>
          <w:szCs w:val="24"/>
          <w:highlight w:val="none"/>
        </w:rPr>
      </w:pPr>
      <w:r>
        <w:rPr>
          <w:rFonts w:hint="eastAsia"/>
          <w:color w:val="auto"/>
          <w:spacing w:val="-6"/>
          <w:sz w:val="24"/>
          <w:szCs w:val="24"/>
          <w:highlight w:val="none"/>
          <w:lang w:val="en-US"/>
        </w:rPr>
        <w:t>17.4.1</w:t>
      </w:r>
      <w:r>
        <w:rPr>
          <w:rFonts w:hint="eastAsia"/>
          <w:color w:val="auto"/>
          <w:spacing w:val="-6"/>
          <w:sz w:val="24"/>
          <w:szCs w:val="24"/>
          <w:highlight w:val="none"/>
        </w:rPr>
        <w:t xml:space="preserve">交工验收证书签发后 </w:t>
      </w:r>
      <w:r>
        <w:rPr>
          <w:color w:val="auto"/>
          <w:sz w:val="24"/>
          <w:szCs w:val="24"/>
          <w:highlight w:val="none"/>
        </w:rPr>
        <w:t xml:space="preserve">14 </w:t>
      </w:r>
      <w:r>
        <w:rPr>
          <w:rFonts w:hint="eastAsia"/>
          <w:color w:val="auto"/>
          <w:spacing w:val="-9"/>
          <w:sz w:val="24"/>
          <w:szCs w:val="24"/>
          <w:highlight w:val="none"/>
        </w:rPr>
        <w:t>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pPr>
        <w:pStyle w:val="20"/>
        <w:spacing w:line="400" w:lineRule="exact"/>
        <w:ind w:left="424" w:right="391" w:firstLine="479"/>
        <w:rPr>
          <w:color w:val="auto"/>
          <w:highlight w:val="none"/>
        </w:rPr>
      </w:pPr>
      <w:r>
        <w:rPr>
          <w:rFonts w:hint="eastAsia"/>
          <w:color w:val="auto"/>
          <w:highlight w:val="none"/>
        </w:rPr>
        <w:t xml:space="preserve">质量保证金采用现金、支票形式提交的，发包人应在项目专用合同条款数据表中明确是否计付利息以及利息的计算方式。 </w:t>
      </w:r>
    </w:p>
    <w:p>
      <w:pPr>
        <w:pStyle w:val="86"/>
        <w:tabs>
          <w:tab w:val="left" w:pos="1625"/>
        </w:tabs>
        <w:spacing w:line="400" w:lineRule="exact"/>
        <w:ind w:left="480" w:leftChars="218" w:right="301" w:firstLine="400" w:firstLineChars="200"/>
        <w:rPr>
          <w:color w:val="auto"/>
          <w:sz w:val="24"/>
          <w:szCs w:val="24"/>
          <w:highlight w:val="none"/>
        </w:rPr>
      </w:pPr>
      <w:r>
        <w:rPr>
          <w:rFonts w:hint="eastAsia"/>
          <w:color w:val="auto"/>
          <w:spacing w:val="-20"/>
          <w:sz w:val="24"/>
          <w:szCs w:val="24"/>
          <w:highlight w:val="none"/>
          <w:lang w:val="en-US"/>
        </w:rPr>
        <w:t>17.4.2</w:t>
      </w:r>
      <w:r>
        <w:rPr>
          <w:rFonts w:hint="eastAsia"/>
          <w:color w:val="auto"/>
          <w:spacing w:val="-20"/>
          <w:sz w:val="24"/>
          <w:szCs w:val="24"/>
          <w:highlight w:val="none"/>
        </w:rPr>
        <w:t xml:space="preserve">在第 </w:t>
      </w:r>
      <w:r>
        <w:rPr>
          <w:color w:val="auto"/>
          <w:sz w:val="24"/>
          <w:szCs w:val="24"/>
          <w:highlight w:val="none"/>
        </w:rPr>
        <w:t xml:space="preserve">1.1.4.5 </w:t>
      </w:r>
      <w:r>
        <w:rPr>
          <w:rFonts w:hint="eastAsia"/>
          <w:color w:val="auto"/>
          <w:spacing w:val="-3"/>
          <w:sz w:val="24"/>
          <w:szCs w:val="24"/>
          <w:highlight w:val="none"/>
        </w:rPr>
        <w:t xml:space="preserve">目约定的缺陷责任期满，且质量监督机构已按规定对工程质量检测鉴定合格，承包人向发包人申请到期应返还承包人剩余的质量保证金金额， </w:t>
      </w:r>
      <w:r>
        <w:rPr>
          <w:rFonts w:hint="eastAsia"/>
          <w:color w:val="auto"/>
          <w:spacing w:val="-13"/>
          <w:sz w:val="24"/>
          <w:szCs w:val="24"/>
          <w:highlight w:val="none"/>
        </w:rPr>
        <w:t xml:space="preserve">发包人应在 </w:t>
      </w:r>
      <w:r>
        <w:rPr>
          <w:color w:val="auto"/>
          <w:sz w:val="24"/>
          <w:szCs w:val="24"/>
          <w:highlight w:val="none"/>
        </w:rPr>
        <w:t xml:space="preserve">14 </w:t>
      </w:r>
      <w:r>
        <w:rPr>
          <w:rFonts w:hint="eastAsia"/>
          <w:color w:val="auto"/>
          <w:sz w:val="24"/>
          <w:szCs w:val="24"/>
          <w:highlight w:val="none"/>
        </w:rPr>
        <w:t>天内会同承包人按照合同约定的内容核实承包人是否完成缺陷责任。如无异议，发包人应当在核实后将剩余保证金返还承包人。</w:t>
      </w:r>
    </w:p>
    <w:p>
      <w:pPr>
        <w:pStyle w:val="20"/>
        <w:spacing w:line="400" w:lineRule="exact"/>
        <w:rPr>
          <w:color w:val="auto"/>
          <w:highlight w:val="none"/>
        </w:rPr>
      </w:pPr>
    </w:p>
    <w:p>
      <w:pPr>
        <w:pStyle w:val="86"/>
        <w:numPr>
          <w:ilvl w:val="1"/>
          <w:numId w:val="31"/>
        </w:numPr>
        <w:tabs>
          <w:tab w:val="left" w:pos="965"/>
        </w:tabs>
        <w:spacing w:line="400" w:lineRule="exact"/>
        <w:ind w:left="964" w:hanging="540"/>
        <w:jc w:val="left"/>
        <w:rPr>
          <w:rFonts w:ascii="黑体" w:hAnsi="黑体" w:eastAsia="黑体" w:cs="黑体"/>
          <w:color w:val="auto"/>
          <w:sz w:val="24"/>
          <w:szCs w:val="24"/>
          <w:highlight w:val="none"/>
        </w:rPr>
      </w:pPr>
      <w:bookmarkStart w:id="2561" w:name="_bookmark229"/>
      <w:bookmarkEnd w:id="2561"/>
      <w:bookmarkStart w:id="2562" w:name="_Toc10027"/>
      <w:bookmarkStart w:id="2563" w:name="_Toc23889"/>
      <w:bookmarkStart w:id="2564" w:name="_Toc18336"/>
      <w:bookmarkStart w:id="2565" w:name="_Toc19669"/>
      <w:bookmarkStart w:id="2566" w:name="_Toc18337"/>
      <w:bookmarkStart w:id="2567" w:name="_Toc12899"/>
      <w:bookmarkStart w:id="2568" w:name="_Toc17770"/>
      <w:bookmarkStart w:id="2569" w:name="_Toc18264"/>
      <w:bookmarkStart w:id="2570" w:name="_Toc30048"/>
      <w:r>
        <w:rPr>
          <w:rFonts w:hint="eastAsia" w:ascii="黑体" w:hAnsi="黑体" w:eastAsia="黑体" w:cs="黑体"/>
          <w:color w:val="auto"/>
          <w:sz w:val="24"/>
          <w:szCs w:val="24"/>
          <w:highlight w:val="none"/>
        </w:rPr>
        <w:t>交工结算</w:t>
      </w:r>
      <w:bookmarkEnd w:id="2562"/>
      <w:bookmarkEnd w:id="2563"/>
      <w:bookmarkEnd w:id="2564"/>
      <w:bookmarkEnd w:id="2565"/>
      <w:bookmarkEnd w:id="2566"/>
      <w:bookmarkEnd w:id="2567"/>
      <w:bookmarkEnd w:id="2568"/>
      <w:bookmarkEnd w:id="2569"/>
      <w:bookmarkEnd w:id="2570"/>
    </w:p>
    <w:p>
      <w:pPr>
        <w:pStyle w:val="20"/>
        <w:spacing w:line="400" w:lineRule="exact"/>
        <w:rPr>
          <w:color w:val="auto"/>
          <w:highlight w:val="none"/>
        </w:rPr>
      </w:pPr>
    </w:p>
    <w:p>
      <w:pPr>
        <w:pStyle w:val="86"/>
        <w:tabs>
          <w:tab w:val="left" w:pos="1615"/>
        </w:tabs>
        <w:spacing w:line="400" w:lineRule="exact"/>
        <w:ind w:left="894" w:firstLine="0"/>
        <w:rPr>
          <w:color w:val="auto"/>
          <w:sz w:val="24"/>
          <w:szCs w:val="24"/>
          <w:highlight w:val="none"/>
        </w:rPr>
      </w:pPr>
      <w:r>
        <w:rPr>
          <w:rFonts w:hint="eastAsia"/>
          <w:color w:val="auto"/>
          <w:sz w:val="24"/>
          <w:szCs w:val="24"/>
          <w:highlight w:val="none"/>
          <w:lang w:val="en-US"/>
        </w:rPr>
        <w:t>17.5.1</w:t>
      </w:r>
      <w:r>
        <w:rPr>
          <w:rFonts w:hint="eastAsia"/>
          <w:color w:val="auto"/>
          <w:sz w:val="24"/>
          <w:szCs w:val="24"/>
          <w:highlight w:val="none"/>
        </w:rPr>
        <w:t>交工付款申请单</w:t>
      </w:r>
    </w:p>
    <w:p>
      <w:pPr>
        <w:pStyle w:val="20"/>
        <w:spacing w:line="400" w:lineRule="exact"/>
        <w:ind w:left="904"/>
        <w:rPr>
          <w:color w:val="auto"/>
          <w:highlight w:val="none"/>
        </w:rPr>
      </w:pPr>
      <w:r>
        <w:rPr>
          <w:rFonts w:hint="eastAsia"/>
          <w:color w:val="auto"/>
          <w:highlight w:val="none"/>
        </w:rPr>
        <w:t>本项（</w:t>
      </w:r>
      <w:r>
        <w:rPr>
          <w:color w:val="auto"/>
          <w:highlight w:val="none"/>
        </w:rPr>
        <w:t>1</w:t>
      </w:r>
      <w:r>
        <w:rPr>
          <w:rFonts w:hint="eastAsia"/>
          <w:color w:val="auto"/>
          <w:highlight w:val="none"/>
        </w:rPr>
        <w:t>）目约定为：</w:t>
      </w:r>
    </w:p>
    <w:p>
      <w:pPr>
        <w:pStyle w:val="20"/>
        <w:spacing w:line="400" w:lineRule="exact"/>
        <w:ind w:left="424" w:right="387" w:firstLine="479"/>
        <w:rPr>
          <w:color w:val="auto"/>
          <w:highlight w:val="none"/>
        </w:rPr>
      </w:pPr>
      <w:r>
        <w:rPr>
          <w:rFonts w:hint="eastAsia"/>
          <w:color w:val="auto"/>
          <w:highlight w:val="none"/>
        </w:rPr>
        <w:t xml:space="preserve">承包人向监理人提交交工付款申请单（包括相关证明材料）的份数在项目专用合同条款数据表中约定；期限：交工验收证书签发后 </w:t>
      </w:r>
      <w:r>
        <w:rPr>
          <w:color w:val="auto"/>
          <w:highlight w:val="none"/>
        </w:rPr>
        <w:t xml:space="preserve">42 </w:t>
      </w:r>
      <w:r>
        <w:rPr>
          <w:rFonts w:hint="eastAsia"/>
          <w:color w:val="auto"/>
          <w:highlight w:val="none"/>
        </w:rPr>
        <w:t>天内。</w:t>
      </w:r>
    </w:p>
    <w:p>
      <w:pPr>
        <w:pStyle w:val="86"/>
        <w:tabs>
          <w:tab w:val="left" w:pos="1615"/>
        </w:tabs>
        <w:spacing w:line="400" w:lineRule="exact"/>
        <w:ind w:left="894" w:firstLine="0"/>
        <w:rPr>
          <w:color w:val="auto"/>
          <w:sz w:val="24"/>
          <w:szCs w:val="24"/>
          <w:highlight w:val="none"/>
        </w:rPr>
      </w:pPr>
      <w:r>
        <w:rPr>
          <w:rFonts w:hint="eastAsia"/>
          <w:color w:val="auto"/>
          <w:sz w:val="24"/>
          <w:szCs w:val="24"/>
          <w:highlight w:val="none"/>
          <w:lang w:val="en-US"/>
        </w:rPr>
        <w:t>17.5.2</w:t>
      </w:r>
      <w:r>
        <w:rPr>
          <w:rFonts w:hint="eastAsia"/>
          <w:color w:val="auto"/>
          <w:sz w:val="24"/>
          <w:szCs w:val="24"/>
          <w:highlight w:val="none"/>
        </w:rPr>
        <w:t>交工付款证书及支付时间</w:t>
      </w:r>
    </w:p>
    <w:p>
      <w:pPr>
        <w:pStyle w:val="20"/>
        <w:spacing w:line="400" w:lineRule="exact"/>
        <w:ind w:left="894"/>
        <w:rPr>
          <w:color w:val="auto"/>
          <w:highlight w:val="none"/>
        </w:rPr>
      </w:pPr>
      <w:r>
        <w:rPr>
          <w:rFonts w:hint="eastAsia"/>
          <w:color w:val="auto"/>
          <w:highlight w:val="none"/>
        </w:rPr>
        <w:t>本项（</w:t>
      </w:r>
      <w:r>
        <w:rPr>
          <w:color w:val="auto"/>
          <w:highlight w:val="none"/>
        </w:rPr>
        <w:t>2</w:t>
      </w:r>
      <w:r>
        <w:rPr>
          <w:rFonts w:hint="eastAsia"/>
          <w:color w:val="auto"/>
          <w:highlight w:val="none"/>
        </w:rPr>
        <w:t>）目细化为：</w:t>
      </w:r>
    </w:p>
    <w:p>
      <w:pPr>
        <w:pStyle w:val="20"/>
        <w:spacing w:line="400" w:lineRule="exact"/>
        <w:ind w:left="904"/>
        <w:rPr>
          <w:color w:val="auto"/>
          <w:highlight w:val="none"/>
        </w:rPr>
      </w:pPr>
      <w:r>
        <w:rPr>
          <w:rFonts w:hint="eastAsia"/>
          <w:color w:val="auto"/>
          <w:highlight w:val="none"/>
        </w:rPr>
        <w:t>发包人应在监理人出具交工付款证书且承包人提交了合格的增值税专用发票后</w:t>
      </w:r>
    </w:p>
    <w:p>
      <w:pPr>
        <w:pStyle w:val="20"/>
        <w:spacing w:line="400" w:lineRule="exact"/>
        <w:ind w:left="424" w:right="334"/>
        <w:rPr>
          <w:color w:val="auto"/>
          <w:highlight w:val="none"/>
        </w:rPr>
      </w:pPr>
      <w:r>
        <w:rPr>
          <w:rFonts w:hint="eastAsia"/>
          <w:color w:val="auto"/>
          <w:highlight w:val="none"/>
        </w:rPr>
        <w:t xml:space="preserve">的 </w:t>
      </w:r>
      <w:r>
        <w:rPr>
          <w:color w:val="auto"/>
          <w:highlight w:val="none"/>
        </w:rPr>
        <w:t xml:space="preserve">14 </w:t>
      </w:r>
      <w:r>
        <w:rPr>
          <w:rFonts w:hint="eastAsia"/>
          <w:color w:val="auto"/>
          <w:highlight w:val="none"/>
        </w:rPr>
        <w:t xml:space="preserve">天内，将应支付款支付给承包人。发包人不按期支付的，按第 </w:t>
      </w:r>
      <w:r>
        <w:rPr>
          <w:color w:val="auto"/>
          <w:highlight w:val="none"/>
        </w:rPr>
        <w:t>17.3.3</w:t>
      </w:r>
      <w:r>
        <w:rPr>
          <w:rFonts w:hint="eastAsia"/>
          <w:color w:val="auto"/>
          <w:highlight w:val="none"/>
        </w:rPr>
        <w:t>（</w:t>
      </w:r>
      <w:r>
        <w:rPr>
          <w:color w:val="auto"/>
          <w:highlight w:val="none"/>
        </w:rPr>
        <w:t>2</w:t>
      </w:r>
      <w:r>
        <w:rPr>
          <w:rFonts w:hint="eastAsia"/>
          <w:color w:val="auto"/>
          <w:highlight w:val="none"/>
        </w:rPr>
        <w:t>）目的约定，将逾期付款违约金支付给承包人。</w:t>
      </w:r>
    </w:p>
    <w:p>
      <w:pPr>
        <w:pStyle w:val="20"/>
        <w:spacing w:line="400" w:lineRule="exact"/>
        <w:rPr>
          <w:color w:val="auto"/>
          <w:highlight w:val="none"/>
        </w:rPr>
      </w:pPr>
    </w:p>
    <w:p>
      <w:pPr>
        <w:pStyle w:val="86"/>
        <w:numPr>
          <w:ilvl w:val="1"/>
          <w:numId w:val="31"/>
        </w:numPr>
        <w:tabs>
          <w:tab w:val="left" w:pos="965"/>
        </w:tabs>
        <w:spacing w:line="400" w:lineRule="exact"/>
        <w:ind w:left="964" w:hanging="540"/>
        <w:jc w:val="left"/>
        <w:rPr>
          <w:rFonts w:ascii="黑体" w:hAnsi="黑体" w:eastAsia="黑体" w:cs="黑体"/>
          <w:color w:val="auto"/>
          <w:sz w:val="24"/>
          <w:szCs w:val="24"/>
          <w:highlight w:val="none"/>
        </w:rPr>
      </w:pPr>
      <w:bookmarkStart w:id="2571" w:name="_bookmark230"/>
      <w:bookmarkEnd w:id="2571"/>
      <w:bookmarkStart w:id="2572" w:name="_Toc22505"/>
      <w:bookmarkStart w:id="2573" w:name="_Toc26455"/>
      <w:bookmarkStart w:id="2574" w:name="_Toc7415"/>
      <w:bookmarkStart w:id="2575" w:name="_Toc23644"/>
      <w:bookmarkStart w:id="2576" w:name="_Toc19544"/>
      <w:bookmarkStart w:id="2577" w:name="_Toc19253"/>
      <w:bookmarkStart w:id="2578" w:name="_Toc31317"/>
      <w:bookmarkStart w:id="2579" w:name="_Toc9796"/>
      <w:bookmarkStart w:id="2580" w:name="_Toc21354"/>
      <w:r>
        <w:rPr>
          <w:rFonts w:hint="eastAsia" w:ascii="黑体" w:hAnsi="黑体" w:eastAsia="黑体" w:cs="黑体"/>
          <w:color w:val="auto"/>
          <w:sz w:val="24"/>
          <w:szCs w:val="24"/>
          <w:highlight w:val="none"/>
        </w:rPr>
        <w:t>最终结清</w:t>
      </w:r>
      <w:bookmarkEnd w:id="2572"/>
      <w:bookmarkEnd w:id="2573"/>
      <w:bookmarkEnd w:id="2574"/>
      <w:bookmarkEnd w:id="2575"/>
      <w:bookmarkEnd w:id="2576"/>
      <w:bookmarkEnd w:id="2577"/>
      <w:bookmarkEnd w:id="2578"/>
      <w:bookmarkEnd w:id="2579"/>
      <w:bookmarkEnd w:id="2580"/>
    </w:p>
    <w:p>
      <w:pPr>
        <w:pStyle w:val="20"/>
        <w:spacing w:line="400" w:lineRule="exact"/>
        <w:rPr>
          <w:color w:val="auto"/>
          <w:highlight w:val="none"/>
        </w:rPr>
      </w:pPr>
    </w:p>
    <w:p>
      <w:pPr>
        <w:pStyle w:val="86"/>
        <w:tabs>
          <w:tab w:val="left" w:pos="1615"/>
        </w:tabs>
        <w:spacing w:line="400" w:lineRule="exact"/>
        <w:ind w:left="894" w:firstLine="0"/>
        <w:rPr>
          <w:color w:val="auto"/>
          <w:sz w:val="24"/>
          <w:szCs w:val="24"/>
          <w:highlight w:val="none"/>
        </w:rPr>
      </w:pPr>
      <w:r>
        <w:rPr>
          <w:rFonts w:hint="eastAsia"/>
          <w:color w:val="auto"/>
          <w:sz w:val="24"/>
          <w:szCs w:val="24"/>
          <w:highlight w:val="none"/>
          <w:lang w:val="en-US"/>
        </w:rPr>
        <w:t>17.6.1</w:t>
      </w:r>
      <w:r>
        <w:rPr>
          <w:rFonts w:hint="eastAsia"/>
          <w:color w:val="auto"/>
          <w:sz w:val="24"/>
          <w:szCs w:val="24"/>
          <w:highlight w:val="none"/>
        </w:rPr>
        <w:t>最终结清申请单</w:t>
      </w:r>
    </w:p>
    <w:p>
      <w:pPr>
        <w:pStyle w:val="20"/>
        <w:spacing w:line="400" w:lineRule="exact"/>
        <w:ind w:left="904"/>
        <w:rPr>
          <w:color w:val="auto"/>
          <w:highlight w:val="none"/>
        </w:rPr>
      </w:pPr>
      <w:r>
        <w:rPr>
          <w:rFonts w:hint="eastAsia"/>
          <w:color w:val="auto"/>
          <w:highlight w:val="none"/>
        </w:rPr>
        <w:t>本项（</w:t>
      </w:r>
      <w:r>
        <w:rPr>
          <w:color w:val="auto"/>
          <w:highlight w:val="none"/>
        </w:rPr>
        <w:t>1</w:t>
      </w:r>
      <w:r>
        <w:rPr>
          <w:rFonts w:hint="eastAsia"/>
          <w:color w:val="auto"/>
          <w:highlight w:val="none"/>
        </w:rPr>
        <w:t>）目约定为：</w:t>
      </w:r>
    </w:p>
    <w:p>
      <w:pPr>
        <w:pStyle w:val="20"/>
        <w:spacing w:line="400" w:lineRule="exact"/>
        <w:ind w:left="424" w:right="387" w:firstLine="479"/>
        <w:rPr>
          <w:color w:val="auto"/>
          <w:highlight w:val="none"/>
        </w:rPr>
      </w:pPr>
      <w:r>
        <w:rPr>
          <w:rFonts w:hint="eastAsia"/>
          <w:color w:val="auto"/>
          <w:highlight w:val="none"/>
        </w:rPr>
        <w:t xml:space="preserve">承包人向监理人提交最终结清申请单（包括相关证明材料）的份数在项目专用合同条款数据表中约定；期限：缺陷责任期终止证书签发后 </w:t>
      </w:r>
      <w:r>
        <w:rPr>
          <w:color w:val="auto"/>
          <w:highlight w:val="none"/>
        </w:rPr>
        <w:t xml:space="preserve">28 </w:t>
      </w:r>
      <w:r>
        <w:rPr>
          <w:rFonts w:hint="eastAsia"/>
          <w:color w:val="auto"/>
          <w:highlight w:val="none"/>
        </w:rPr>
        <w:t>天内。</w:t>
      </w:r>
    </w:p>
    <w:p>
      <w:pPr>
        <w:pStyle w:val="20"/>
        <w:spacing w:line="400" w:lineRule="exact"/>
        <w:ind w:left="424" w:right="391" w:firstLine="479"/>
        <w:rPr>
          <w:color w:val="auto"/>
          <w:highlight w:val="none"/>
        </w:rPr>
      </w:pPr>
      <w:r>
        <w:rPr>
          <w:rFonts w:hint="eastAsia"/>
          <w:color w:val="auto"/>
          <w:highlight w:val="none"/>
        </w:rPr>
        <w:t>最终结清申请单中的总金额应认为是代表了根据合同规定应付给承包人的全部款项的最后结算。</w:t>
      </w:r>
    </w:p>
    <w:p>
      <w:pPr>
        <w:pStyle w:val="86"/>
        <w:tabs>
          <w:tab w:val="left" w:pos="1615"/>
        </w:tabs>
        <w:spacing w:line="400" w:lineRule="exact"/>
        <w:ind w:left="894" w:firstLine="0"/>
        <w:rPr>
          <w:color w:val="auto"/>
          <w:sz w:val="24"/>
          <w:szCs w:val="24"/>
          <w:highlight w:val="none"/>
        </w:rPr>
      </w:pPr>
      <w:r>
        <w:rPr>
          <w:rFonts w:hint="eastAsia"/>
          <w:color w:val="auto"/>
          <w:sz w:val="24"/>
          <w:szCs w:val="24"/>
          <w:highlight w:val="none"/>
          <w:lang w:val="en-US"/>
        </w:rPr>
        <w:t>17.6.2</w:t>
      </w:r>
      <w:r>
        <w:rPr>
          <w:rFonts w:hint="eastAsia"/>
          <w:color w:val="auto"/>
          <w:sz w:val="24"/>
          <w:szCs w:val="24"/>
          <w:highlight w:val="none"/>
        </w:rPr>
        <w:t>最终结清证书和支付时间</w:t>
      </w:r>
    </w:p>
    <w:p>
      <w:pPr>
        <w:pStyle w:val="20"/>
        <w:spacing w:line="400" w:lineRule="exact"/>
        <w:ind w:left="904"/>
        <w:rPr>
          <w:color w:val="auto"/>
          <w:highlight w:val="none"/>
        </w:rPr>
      </w:pPr>
      <w:r>
        <w:rPr>
          <w:rFonts w:hint="eastAsia"/>
          <w:color w:val="auto"/>
          <w:highlight w:val="none"/>
        </w:rPr>
        <w:t>本项（</w:t>
      </w:r>
      <w:r>
        <w:rPr>
          <w:color w:val="auto"/>
          <w:highlight w:val="none"/>
        </w:rPr>
        <w:t>2</w:t>
      </w:r>
      <w:r>
        <w:rPr>
          <w:rFonts w:hint="eastAsia"/>
          <w:color w:val="auto"/>
          <w:highlight w:val="none"/>
        </w:rPr>
        <w:t>）目细化为：</w:t>
      </w:r>
    </w:p>
    <w:p>
      <w:pPr>
        <w:pStyle w:val="20"/>
        <w:spacing w:line="400" w:lineRule="exact"/>
        <w:ind w:left="424" w:right="264" w:firstLine="479"/>
        <w:rPr>
          <w:color w:val="auto"/>
          <w:highlight w:val="none"/>
        </w:rPr>
      </w:pPr>
      <w:r>
        <w:rPr>
          <w:rFonts w:hint="eastAsia"/>
          <w:color w:val="auto"/>
          <w:spacing w:val="-28"/>
          <w:highlight w:val="none"/>
        </w:rPr>
        <w:t>（</w:t>
      </w:r>
      <w:r>
        <w:rPr>
          <w:color w:val="auto"/>
          <w:spacing w:val="-28"/>
          <w:highlight w:val="none"/>
        </w:rPr>
        <w:t>2</w:t>
      </w:r>
      <w:r>
        <w:rPr>
          <w:rFonts w:hint="eastAsia"/>
          <w:color w:val="auto"/>
          <w:spacing w:val="-28"/>
          <w:highlight w:val="none"/>
        </w:rPr>
        <w:t>）</w:t>
      </w:r>
      <w:r>
        <w:rPr>
          <w:rFonts w:hint="eastAsia"/>
          <w:color w:val="auto"/>
          <w:highlight w:val="none"/>
        </w:rPr>
        <w:t>发包人应在监理人出具最终结清证书且承包人提交了合格的增值税专用发</w:t>
      </w:r>
      <w:r>
        <w:rPr>
          <w:rFonts w:hint="eastAsia"/>
          <w:color w:val="auto"/>
          <w:spacing w:val="-16"/>
          <w:highlight w:val="none"/>
        </w:rPr>
        <w:t xml:space="preserve">票后的 </w:t>
      </w:r>
      <w:r>
        <w:rPr>
          <w:color w:val="auto"/>
          <w:highlight w:val="none"/>
        </w:rPr>
        <w:t xml:space="preserve">14 </w:t>
      </w:r>
      <w:r>
        <w:rPr>
          <w:rFonts w:hint="eastAsia"/>
          <w:color w:val="auto"/>
          <w:spacing w:val="-7"/>
          <w:highlight w:val="none"/>
        </w:rPr>
        <w:t xml:space="preserve">天内，将应支付款支付给承包人。发包人不按期支付的，按第 </w:t>
      </w:r>
      <w:r>
        <w:rPr>
          <w:color w:val="auto"/>
          <w:highlight w:val="none"/>
        </w:rPr>
        <w:t>17.3.3</w:t>
      </w:r>
      <w:r>
        <w:rPr>
          <w:rFonts w:hint="eastAsia"/>
          <w:color w:val="auto"/>
          <w:highlight w:val="none"/>
          <w:lang w:val="en-US"/>
        </w:rPr>
        <w:t>(</w:t>
      </w:r>
      <w:r>
        <w:rPr>
          <w:color w:val="auto"/>
          <w:highlight w:val="none"/>
        </w:rPr>
        <w:t>2</w:t>
      </w:r>
      <w:r>
        <w:rPr>
          <w:rFonts w:hint="eastAsia"/>
          <w:color w:val="auto"/>
          <w:highlight w:val="none"/>
          <w:lang w:val="en-US"/>
        </w:rPr>
        <w:t>)</w:t>
      </w:r>
      <w:r>
        <w:rPr>
          <w:rFonts w:hint="eastAsia"/>
          <w:color w:val="auto"/>
          <w:highlight w:val="none"/>
        </w:rPr>
        <w:t>目的约定，将逾期付款违约金支付给承包人。</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581" w:name="_bookmark231"/>
      <w:bookmarkEnd w:id="2581"/>
      <w:bookmarkStart w:id="2582" w:name="_Toc14974"/>
      <w:bookmarkStart w:id="2583" w:name="_Toc12626"/>
      <w:bookmarkStart w:id="2584" w:name="_Toc17159"/>
      <w:bookmarkStart w:id="2585" w:name="_Toc23326"/>
      <w:bookmarkStart w:id="2586" w:name="_Toc32135"/>
      <w:bookmarkStart w:id="2587" w:name="_Toc3715"/>
      <w:bookmarkStart w:id="2588" w:name="_Toc15984"/>
      <w:bookmarkStart w:id="2589" w:name="_Toc19193"/>
      <w:bookmarkStart w:id="2590" w:name="_Toc5494"/>
      <w:bookmarkStart w:id="2591" w:name="_Toc23708"/>
      <w:bookmarkStart w:id="2592" w:name="_Toc19127"/>
      <w:bookmarkStart w:id="2593" w:name="_Toc10015"/>
      <w:bookmarkStart w:id="2594" w:name="_Toc13464"/>
      <w:bookmarkStart w:id="2595" w:name="_Toc20821"/>
      <w:bookmarkStart w:id="2596" w:name="_Toc5197"/>
      <w:bookmarkStart w:id="2597" w:name="_Toc7919"/>
      <w:bookmarkStart w:id="2598" w:name="_Toc28704"/>
      <w:r>
        <w:rPr>
          <w:rFonts w:hint="eastAsia" w:ascii="黑体" w:hAnsi="黑体" w:eastAsia="黑体" w:cs="黑体"/>
          <w:color w:val="auto"/>
          <w:sz w:val="24"/>
          <w:szCs w:val="24"/>
          <w:highlight w:val="none"/>
        </w:rPr>
        <w:t>交工验收</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pPr>
        <w:pStyle w:val="20"/>
        <w:spacing w:line="400" w:lineRule="exact"/>
        <w:rPr>
          <w:rFonts w:ascii="黑体" w:hAnsi="黑体" w:eastAsia="黑体" w:cs="黑体"/>
          <w:color w:val="auto"/>
          <w:highlight w:val="none"/>
        </w:rPr>
      </w:pPr>
    </w:p>
    <w:p>
      <w:pPr>
        <w:pStyle w:val="86"/>
        <w:numPr>
          <w:ilvl w:val="1"/>
          <w:numId w:val="32"/>
        </w:numPr>
        <w:tabs>
          <w:tab w:val="left" w:pos="965"/>
        </w:tabs>
        <w:spacing w:line="400" w:lineRule="exact"/>
        <w:rPr>
          <w:rFonts w:ascii="黑体" w:hAnsi="黑体" w:eastAsia="黑体" w:cs="黑体"/>
          <w:color w:val="auto"/>
          <w:sz w:val="24"/>
          <w:szCs w:val="24"/>
          <w:highlight w:val="none"/>
        </w:rPr>
      </w:pPr>
      <w:bookmarkStart w:id="2599" w:name="_bookmark232"/>
      <w:bookmarkEnd w:id="2599"/>
      <w:bookmarkStart w:id="2600" w:name="_Toc9325"/>
      <w:bookmarkStart w:id="2601" w:name="_Toc12809"/>
      <w:bookmarkStart w:id="2602" w:name="_Toc20529"/>
      <w:bookmarkStart w:id="2603" w:name="_Toc16095"/>
      <w:bookmarkStart w:id="2604" w:name="_Toc2341"/>
      <w:bookmarkStart w:id="2605" w:name="_Toc10614"/>
      <w:bookmarkStart w:id="2606" w:name="_Toc26932"/>
      <w:bookmarkStart w:id="2607" w:name="_Toc23654"/>
      <w:bookmarkStart w:id="2608" w:name="_Toc23513"/>
      <w:r>
        <w:rPr>
          <w:rFonts w:hint="eastAsia" w:ascii="黑体" w:hAnsi="黑体" w:eastAsia="黑体" w:cs="黑体"/>
          <w:color w:val="auto"/>
          <w:sz w:val="24"/>
          <w:szCs w:val="24"/>
          <w:highlight w:val="none"/>
        </w:rPr>
        <w:t>交工验收申请报告</w:t>
      </w:r>
      <w:bookmarkEnd w:id="2600"/>
      <w:bookmarkEnd w:id="2601"/>
      <w:bookmarkEnd w:id="2602"/>
      <w:bookmarkEnd w:id="2603"/>
      <w:bookmarkEnd w:id="2604"/>
      <w:bookmarkEnd w:id="2605"/>
      <w:bookmarkEnd w:id="2606"/>
      <w:bookmarkEnd w:id="2607"/>
      <w:bookmarkEnd w:id="260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本款第（</w:t>
      </w:r>
      <w:r>
        <w:rPr>
          <w:color w:val="auto"/>
          <w:highlight w:val="none"/>
        </w:rPr>
        <w:t>2</w:t>
      </w:r>
      <w:r>
        <w:rPr>
          <w:rFonts w:hint="eastAsia"/>
          <w:color w:val="auto"/>
          <w:highlight w:val="none"/>
        </w:rPr>
        <w:t>）项约定为：</w:t>
      </w:r>
    </w:p>
    <w:p>
      <w:pPr>
        <w:pStyle w:val="20"/>
        <w:spacing w:line="400" w:lineRule="exact"/>
        <w:ind w:left="424" w:right="388" w:firstLine="479"/>
        <w:rPr>
          <w:color w:val="auto"/>
          <w:highlight w:val="none"/>
        </w:rPr>
      </w:pPr>
      <w:r>
        <w:rPr>
          <w:rFonts w:hint="eastAsia"/>
          <w:color w:val="auto"/>
          <w:highlight w:val="none"/>
        </w:rPr>
        <w:t>竣工资料的内容：承包人应按照《公路工程竣（交）工验收办法》和相关规定编制竣工资料。</w:t>
      </w:r>
    </w:p>
    <w:p>
      <w:pPr>
        <w:pStyle w:val="20"/>
        <w:spacing w:line="400" w:lineRule="exact"/>
        <w:ind w:left="904"/>
        <w:rPr>
          <w:color w:val="auto"/>
          <w:highlight w:val="none"/>
        </w:rPr>
      </w:pPr>
      <w:r>
        <w:rPr>
          <w:rFonts w:hint="eastAsia"/>
          <w:color w:val="auto"/>
          <w:highlight w:val="none"/>
        </w:rPr>
        <w:t>竣工资料的份数在项目专用合同条款数据表中约定。</w:t>
      </w:r>
    </w:p>
    <w:p>
      <w:pPr>
        <w:pStyle w:val="20"/>
        <w:spacing w:line="400" w:lineRule="exact"/>
        <w:rPr>
          <w:color w:val="auto"/>
          <w:highlight w:val="none"/>
        </w:rPr>
      </w:pPr>
    </w:p>
    <w:p>
      <w:pPr>
        <w:pStyle w:val="86"/>
        <w:numPr>
          <w:ilvl w:val="1"/>
          <w:numId w:val="32"/>
        </w:numPr>
        <w:tabs>
          <w:tab w:val="left" w:pos="965"/>
        </w:tabs>
        <w:spacing w:line="400" w:lineRule="exact"/>
        <w:rPr>
          <w:rFonts w:ascii="黑体" w:hAnsi="黑体" w:eastAsia="黑体" w:cs="黑体"/>
          <w:color w:val="auto"/>
          <w:sz w:val="24"/>
          <w:szCs w:val="24"/>
          <w:highlight w:val="none"/>
        </w:rPr>
      </w:pPr>
      <w:bookmarkStart w:id="2609" w:name="_bookmark233"/>
      <w:bookmarkEnd w:id="2609"/>
      <w:bookmarkStart w:id="2610" w:name="_Toc16268"/>
      <w:bookmarkStart w:id="2611" w:name="_Toc649"/>
      <w:bookmarkStart w:id="2612" w:name="_Toc13222"/>
      <w:bookmarkStart w:id="2613" w:name="_Toc15537"/>
      <w:bookmarkStart w:id="2614" w:name="_Toc25919"/>
      <w:bookmarkStart w:id="2615" w:name="_Toc2590"/>
      <w:bookmarkStart w:id="2616" w:name="_Toc18214"/>
      <w:bookmarkStart w:id="2617" w:name="_Toc10420"/>
      <w:bookmarkStart w:id="2618" w:name="_Toc31577"/>
      <w:r>
        <w:rPr>
          <w:rFonts w:hint="eastAsia" w:ascii="黑体" w:hAnsi="黑体" w:eastAsia="黑体" w:cs="黑体"/>
          <w:color w:val="auto"/>
          <w:sz w:val="24"/>
          <w:szCs w:val="24"/>
          <w:highlight w:val="none"/>
        </w:rPr>
        <w:t>验收</w:t>
      </w:r>
      <w:bookmarkEnd w:id="2610"/>
      <w:bookmarkEnd w:id="2611"/>
      <w:bookmarkEnd w:id="2612"/>
      <w:bookmarkEnd w:id="2613"/>
      <w:bookmarkEnd w:id="2614"/>
      <w:bookmarkEnd w:id="2615"/>
      <w:bookmarkEnd w:id="2616"/>
      <w:bookmarkEnd w:id="2617"/>
      <w:bookmarkEnd w:id="2618"/>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18.3.2 </w:t>
      </w:r>
      <w:r>
        <w:rPr>
          <w:rFonts w:hint="eastAsia"/>
          <w:color w:val="auto"/>
          <w:highlight w:val="none"/>
        </w:rPr>
        <w:t>项补充：</w:t>
      </w:r>
    </w:p>
    <w:p>
      <w:pPr>
        <w:pStyle w:val="20"/>
        <w:spacing w:line="400" w:lineRule="exact"/>
        <w:ind w:left="424" w:right="387" w:firstLine="479"/>
        <w:rPr>
          <w:color w:val="auto"/>
          <w:highlight w:val="none"/>
        </w:rPr>
      </w:pPr>
      <w:r>
        <w:rPr>
          <w:rFonts w:hint="eastAsia"/>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18.3.5 </w:t>
      </w:r>
      <w:r>
        <w:rPr>
          <w:rFonts w:hint="eastAsia"/>
          <w:color w:val="auto"/>
          <w:highlight w:val="none"/>
        </w:rPr>
        <w:t>项约定为：</w:t>
      </w:r>
    </w:p>
    <w:p>
      <w:pPr>
        <w:pStyle w:val="20"/>
        <w:spacing w:line="400" w:lineRule="exact"/>
        <w:ind w:left="424" w:right="388" w:firstLine="479"/>
        <w:rPr>
          <w:color w:val="auto"/>
          <w:highlight w:val="none"/>
        </w:rPr>
      </w:pPr>
      <w:r>
        <w:rPr>
          <w:rFonts w:hint="eastAsia"/>
          <w:color w:val="auto"/>
          <w:highlight w:val="none"/>
        </w:rPr>
        <w:t>经验收合格工程的实际交工日期，以最终提交交工验收申请报告的日期为准， 并在交工验收证书中写明。</w:t>
      </w:r>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本款补充第 </w:t>
      </w:r>
      <w:r>
        <w:rPr>
          <w:color w:val="auto"/>
          <w:highlight w:val="none"/>
        </w:rPr>
        <w:t xml:space="preserve">18.3.7 </w:t>
      </w:r>
      <w:r>
        <w:rPr>
          <w:rFonts w:hint="eastAsia"/>
          <w:color w:val="auto"/>
          <w:highlight w:val="none"/>
        </w:rPr>
        <w:t>项：</w:t>
      </w:r>
    </w:p>
    <w:p>
      <w:pPr>
        <w:pStyle w:val="20"/>
        <w:spacing w:line="400" w:lineRule="exact"/>
        <w:ind w:left="904"/>
        <w:rPr>
          <w:color w:val="auto"/>
          <w:highlight w:val="none"/>
        </w:rPr>
      </w:pPr>
      <w:r>
        <w:rPr>
          <w:rFonts w:hint="eastAsia"/>
          <w:color w:val="auto"/>
          <w:highlight w:val="none"/>
        </w:rPr>
        <w:t xml:space="preserve">组织办理交工验收和签发交工验收证书的费用由发包人承担。但按照第 </w:t>
      </w:r>
      <w:r>
        <w:rPr>
          <w:color w:val="auto"/>
          <w:highlight w:val="none"/>
        </w:rPr>
        <w:t>18.3.4</w:t>
      </w:r>
    </w:p>
    <w:p>
      <w:pPr>
        <w:pStyle w:val="20"/>
        <w:spacing w:line="400" w:lineRule="exact"/>
        <w:ind w:left="424"/>
        <w:rPr>
          <w:color w:val="auto"/>
          <w:highlight w:val="none"/>
        </w:rPr>
      </w:pPr>
      <w:r>
        <w:rPr>
          <w:rFonts w:hint="eastAsia"/>
          <w:color w:val="auto"/>
          <w:highlight w:val="none"/>
        </w:rPr>
        <w:t>项规定达不到合格标准的交工验收费用由承包人承担。</w:t>
      </w:r>
    </w:p>
    <w:p>
      <w:pPr>
        <w:pStyle w:val="20"/>
        <w:spacing w:line="400" w:lineRule="exact"/>
        <w:rPr>
          <w:color w:val="auto"/>
          <w:highlight w:val="none"/>
        </w:rPr>
      </w:pPr>
    </w:p>
    <w:p>
      <w:pPr>
        <w:pStyle w:val="20"/>
        <w:spacing w:line="400" w:lineRule="exact"/>
        <w:ind w:left="424"/>
        <w:rPr>
          <w:color w:val="auto"/>
          <w:highlight w:val="none"/>
        </w:rPr>
      </w:pPr>
      <w:r>
        <w:rPr>
          <w:rFonts w:hint="eastAsia"/>
          <w:color w:val="auto"/>
          <w:highlight w:val="none"/>
        </w:rPr>
        <w:t xml:space="preserve">本条补充第 </w:t>
      </w:r>
      <w:r>
        <w:rPr>
          <w:color w:val="auto"/>
          <w:highlight w:val="none"/>
        </w:rPr>
        <w:t xml:space="preserve">18.9 </w:t>
      </w:r>
      <w:r>
        <w:rPr>
          <w:rFonts w:hint="eastAsia"/>
          <w:color w:val="auto"/>
          <w:highlight w:val="none"/>
        </w:rPr>
        <w:t>款：</w:t>
      </w:r>
    </w:p>
    <w:p>
      <w:pPr>
        <w:pStyle w:val="20"/>
        <w:spacing w:line="400" w:lineRule="exact"/>
        <w:rPr>
          <w:color w:val="auto"/>
          <w:highlight w:val="none"/>
        </w:rPr>
      </w:pPr>
    </w:p>
    <w:p>
      <w:pPr>
        <w:pStyle w:val="20"/>
        <w:spacing w:line="400" w:lineRule="exact"/>
        <w:ind w:left="424"/>
        <w:rPr>
          <w:rFonts w:ascii="黑体" w:hAnsi="黑体" w:eastAsia="黑体" w:cs="黑体"/>
          <w:color w:val="auto"/>
          <w:highlight w:val="none"/>
        </w:rPr>
      </w:pPr>
      <w:bookmarkStart w:id="2619" w:name="_bookmark234"/>
      <w:bookmarkEnd w:id="2619"/>
      <w:bookmarkStart w:id="2620" w:name="_Toc11645"/>
      <w:bookmarkStart w:id="2621" w:name="_Toc20399"/>
      <w:bookmarkStart w:id="2622" w:name="_Toc19702"/>
      <w:bookmarkStart w:id="2623" w:name="_Toc25755"/>
      <w:bookmarkStart w:id="2624" w:name="_Toc10732"/>
      <w:bookmarkStart w:id="2625" w:name="_Toc20646"/>
      <w:bookmarkStart w:id="2626" w:name="_Toc15533"/>
      <w:bookmarkStart w:id="2627" w:name="_Toc5432"/>
      <w:bookmarkStart w:id="2628" w:name="_Toc15450"/>
      <w:r>
        <w:rPr>
          <w:rFonts w:hint="eastAsia" w:ascii="黑体" w:hAnsi="黑体" w:eastAsia="黑体" w:cs="黑体"/>
          <w:color w:val="auto"/>
          <w:highlight w:val="none"/>
        </w:rPr>
        <w:t>18.9竣工文件</w:t>
      </w:r>
      <w:bookmarkEnd w:id="2620"/>
      <w:bookmarkEnd w:id="2621"/>
      <w:bookmarkEnd w:id="2622"/>
      <w:bookmarkEnd w:id="2623"/>
      <w:bookmarkEnd w:id="2624"/>
      <w:bookmarkEnd w:id="2625"/>
      <w:bookmarkEnd w:id="2626"/>
      <w:bookmarkEnd w:id="2627"/>
      <w:bookmarkEnd w:id="2628"/>
    </w:p>
    <w:p>
      <w:pPr>
        <w:pStyle w:val="20"/>
        <w:spacing w:line="400" w:lineRule="exact"/>
        <w:rPr>
          <w:color w:val="auto"/>
          <w:highlight w:val="none"/>
        </w:rPr>
      </w:pPr>
    </w:p>
    <w:p>
      <w:pPr>
        <w:pStyle w:val="20"/>
        <w:spacing w:line="400" w:lineRule="exact"/>
        <w:ind w:left="424" w:right="388" w:firstLine="479"/>
        <w:rPr>
          <w:color w:val="auto"/>
          <w:highlight w:val="none"/>
        </w:rPr>
      </w:pPr>
      <w:r>
        <w:rPr>
          <w:rFonts w:hint="eastAsia"/>
          <w:color w:val="auto"/>
          <w:highlight w:val="none"/>
        </w:rPr>
        <w:t>承包人应按照《公路工程竣（交）工验收办法》的相关规定，在缺陷责任期内为竣工验收补充竣工资料，并在签发缺陷责任期终止证书之前提交。</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629" w:name="_bookmark235"/>
      <w:bookmarkEnd w:id="2629"/>
      <w:bookmarkStart w:id="2630" w:name="_Toc2239"/>
      <w:bookmarkStart w:id="2631" w:name="_Toc25618"/>
      <w:bookmarkStart w:id="2632" w:name="_Toc5281"/>
      <w:bookmarkStart w:id="2633" w:name="_Toc29237"/>
      <w:bookmarkStart w:id="2634" w:name="_Toc28828"/>
      <w:bookmarkStart w:id="2635" w:name="_Toc3958"/>
      <w:bookmarkStart w:id="2636" w:name="_Toc27487"/>
      <w:bookmarkStart w:id="2637" w:name="_Toc30499"/>
      <w:bookmarkStart w:id="2638" w:name="_Toc14443"/>
      <w:bookmarkStart w:id="2639" w:name="_Toc11271"/>
      <w:bookmarkStart w:id="2640" w:name="_Toc28785"/>
      <w:bookmarkStart w:id="2641" w:name="_Toc9684"/>
      <w:bookmarkStart w:id="2642" w:name="_Toc19615"/>
      <w:bookmarkStart w:id="2643" w:name="_Toc30015"/>
      <w:bookmarkStart w:id="2644" w:name="_Toc27568"/>
      <w:bookmarkStart w:id="2645" w:name="_Toc6010"/>
      <w:bookmarkStart w:id="2646" w:name="_Toc261"/>
      <w:r>
        <w:rPr>
          <w:rFonts w:hint="eastAsia" w:ascii="黑体" w:hAnsi="黑体" w:eastAsia="黑体" w:cs="黑体"/>
          <w:color w:val="auto"/>
          <w:spacing w:val="-2"/>
          <w:sz w:val="24"/>
          <w:szCs w:val="24"/>
          <w:highlight w:val="none"/>
        </w:rPr>
        <w:t>缺陷责任与保修责任</w:t>
      </w:r>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p>
    <w:p>
      <w:pPr>
        <w:pStyle w:val="20"/>
        <w:spacing w:line="400" w:lineRule="exact"/>
        <w:rPr>
          <w:rFonts w:ascii="黑体" w:hAnsi="黑体" w:eastAsia="黑体" w:cs="黑体"/>
          <w:color w:val="auto"/>
          <w:highlight w:val="none"/>
        </w:rPr>
      </w:pPr>
    </w:p>
    <w:p>
      <w:pPr>
        <w:pStyle w:val="20"/>
        <w:spacing w:line="400" w:lineRule="exact"/>
        <w:ind w:left="424"/>
        <w:rPr>
          <w:rFonts w:ascii="黑体" w:hAnsi="黑体" w:eastAsia="黑体" w:cs="黑体"/>
          <w:color w:val="auto"/>
          <w:highlight w:val="none"/>
        </w:rPr>
      </w:pPr>
      <w:bookmarkStart w:id="2647" w:name="_bookmark236"/>
      <w:bookmarkEnd w:id="2647"/>
      <w:bookmarkStart w:id="2648" w:name="_Toc30157"/>
      <w:bookmarkStart w:id="2649" w:name="_Toc6129"/>
      <w:bookmarkStart w:id="2650" w:name="_Toc16114"/>
      <w:bookmarkStart w:id="2651" w:name="_Toc22781"/>
      <w:bookmarkStart w:id="2652" w:name="_Toc4606"/>
      <w:bookmarkStart w:id="2653" w:name="_Toc3331"/>
      <w:bookmarkStart w:id="2654" w:name="_Toc9794"/>
      <w:bookmarkStart w:id="2655" w:name="_Toc408"/>
      <w:bookmarkStart w:id="2656" w:name="_Toc25032"/>
      <w:r>
        <w:rPr>
          <w:rFonts w:hint="eastAsia" w:ascii="黑体" w:hAnsi="黑体" w:eastAsia="黑体" w:cs="黑体"/>
          <w:color w:val="auto"/>
          <w:highlight w:val="none"/>
        </w:rPr>
        <w:t>19.2缺陷责任</w:t>
      </w:r>
      <w:bookmarkEnd w:id="2648"/>
      <w:bookmarkEnd w:id="2649"/>
      <w:bookmarkEnd w:id="2650"/>
      <w:bookmarkEnd w:id="2651"/>
      <w:bookmarkEnd w:id="2652"/>
      <w:bookmarkEnd w:id="2653"/>
      <w:bookmarkEnd w:id="2654"/>
      <w:bookmarkEnd w:id="2655"/>
      <w:bookmarkEnd w:id="2656"/>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19.2.2 </w:t>
      </w:r>
      <w:r>
        <w:rPr>
          <w:rFonts w:hint="eastAsia"/>
          <w:color w:val="auto"/>
          <w:highlight w:val="none"/>
        </w:rPr>
        <w:t>项补充：</w:t>
      </w:r>
    </w:p>
    <w:p>
      <w:pPr>
        <w:pStyle w:val="20"/>
        <w:spacing w:line="400" w:lineRule="exact"/>
        <w:ind w:left="424" w:right="388" w:firstLine="479"/>
        <w:rPr>
          <w:color w:val="auto"/>
          <w:highlight w:val="none"/>
        </w:rPr>
      </w:pPr>
      <w:r>
        <w:rPr>
          <w:rFonts w:hint="eastAsia"/>
          <w:color w:val="auto"/>
          <w:highlight w:val="none"/>
        </w:rPr>
        <w:t>在缺陷责任期内，承包人应尽快完成在交工验收证书中写明的未完成工作，并完成对本工程缺陷的修复或监理人指令的修补工作。</w:t>
      </w:r>
    </w:p>
    <w:p>
      <w:pPr>
        <w:pStyle w:val="20"/>
        <w:spacing w:line="400" w:lineRule="exact"/>
        <w:rPr>
          <w:color w:val="auto"/>
          <w:highlight w:val="none"/>
        </w:rPr>
      </w:pPr>
    </w:p>
    <w:p>
      <w:pPr>
        <w:pStyle w:val="20"/>
        <w:spacing w:line="400" w:lineRule="exact"/>
        <w:ind w:left="424"/>
        <w:rPr>
          <w:rFonts w:ascii="黑体" w:hAnsi="黑体" w:eastAsia="黑体" w:cs="黑体"/>
          <w:color w:val="auto"/>
          <w:highlight w:val="none"/>
        </w:rPr>
      </w:pPr>
      <w:bookmarkStart w:id="2657" w:name="_bookmark237"/>
      <w:bookmarkEnd w:id="2657"/>
      <w:r>
        <w:rPr>
          <w:rFonts w:hint="eastAsia" w:ascii="黑体" w:hAnsi="黑体" w:eastAsia="黑体" w:cs="黑体"/>
          <w:color w:val="auto"/>
          <w:highlight w:val="none"/>
        </w:rPr>
        <w:t>19.5承包人的进入权</w:t>
      </w:r>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本款补充：</w:t>
      </w:r>
    </w:p>
    <w:p>
      <w:pPr>
        <w:pStyle w:val="20"/>
        <w:spacing w:line="400" w:lineRule="exact"/>
        <w:ind w:left="424" w:right="391" w:firstLine="479"/>
        <w:rPr>
          <w:color w:val="auto"/>
          <w:highlight w:val="none"/>
        </w:rPr>
      </w:pPr>
      <w:r>
        <w:rPr>
          <w:rFonts w:hint="eastAsia"/>
          <w:color w:val="auto"/>
          <w:highlight w:val="none"/>
        </w:rPr>
        <w:t>承包人在缺陷修复施工过程中，应服从管养单位的有关安全管理规定，由于承包人自身原因造成的人员伤亡、设备和材料的损毁及罚款等责任由承包人自负。</w:t>
      </w:r>
    </w:p>
    <w:p>
      <w:pPr>
        <w:pStyle w:val="20"/>
        <w:spacing w:line="400" w:lineRule="exact"/>
        <w:rPr>
          <w:color w:val="auto"/>
          <w:highlight w:val="none"/>
        </w:rPr>
      </w:pPr>
    </w:p>
    <w:p>
      <w:pPr>
        <w:pStyle w:val="20"/>
        <w:spacing w:line="400" w:lineRule="exact"/>
        <w:ind w:left="424"/>
        <w:rPr>
          <w:rFonts w:ascii="黑体" w:hAnsi="黑体" w:eastAsia="黑体" w:cs="黑体"/>
          <w:color w:val="auto"/>
          <w:highlight w:val="none"/>
        </w:rPr>
      </w:pPr>
      <w:bookmarkStart w:id="2658" w:name="_bookmark238"/>
      <w:bookmarkEnd w:id="2658"/>
      <w:bookmarkStart w:id="2659" w:name="_Toc19111"/>
      <w:bookmarkStart w:id="2660" w:name="_Toc6665"/>
      <w:bookmarkStart w:id="2661" w:name="_Toc19545"/>
      <w:bookmarkStart w:id="2662" w:name="_Toc54"/>
      <w:bookmarkStart w:id="2663" w:name="_Toc17408"/>
      <w:bookmarkStart w:id="2664" w:name="_Toc19082"/>
      <w:bookmarkStart w:id="2665" w:name="_Toc6349"/>
      <w:bookmarkStart w:id="2666" w:name="_Toc19052"/>
      <w:bookmarkStart w:id="2667" w:name="_Toc17086"/>
      <w:r>
        <w:rPr>
          <w:rFonts w:hint="eastAsia" w:ascii="黑体" w:hAnsi="黑体" w:eastAsia="黑体" w:cs="黑体"/>
          <w:color w:val="auto"/>
          <w:highlight w:val="none"/>
        </w:rPr>
        <w:t>19.7保修责任</w:t>
      </w:r>
      <w:bookmarkEnd w:id="2659"/>
      <w:bookmarkEnd w:id="2660"/>
      <w:bookmarkEnd w:id="2661"/>
      <w:bookmarkEnd w:id="2662"/>
      <w:bookmarkEnd w:id="2663"/>
      <w:bookmarkEnd w:id="2664"/>
      <w:bookmarkEnd w:id="2665"/>
      <w:bookmarkEnd w:id="2666"/>
      <w:bookmarkEnd w:id="2667"/>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本款细化为：</w:t>
      </w:r>
    </w:p>
    <w:p>
      <w:pPr>
        <w:pStyle w:val="20"/>
        <w:spacing w:line="400" w:lineRule="exact"/>
        <w:ind w:left="424" w:right="384" w:firstLine="479"/>
        <w:rPr>
          <w:color w:val="auto"/>
          <w:highlight w:val="none"/>
        </w:rPr>
      </w:pPr>
      <w:r>
        <w:rPr>
          <w:rFonts w:hint="eastAsia"/>
          <w:color w:val="auto"/>
          <w:spacing w:val="-15"/>
          <w:highlight w:val="none"/>
        </w:rPr>
        <w:t>（</w:t>
      </w:r>
      <w:r>
        <w:rPr>
          <w:color w:val="auto"/>
          <w:spacing w:val="-15"/>
          <w:highlight w:val="none"/>
        </w:rPr>
        <w:t>1</w:t>
      </w:r>
      <w:r>
        <w:rPr>
          <w:rFonts w:hint="eastAsia"/>
          <w:color w:val="auto"/>
          <w:spacing w:val="-15"/>
          <w:highlight w:val="none"/>
        </w:rPr>
        <w:t>）</w:t>
      </w:r>
      <w:r>
        <w:rPr>
          <w:rFonts w:hint="eastAsia"/>
          <w:color w:val="auto"/>
          <w:spacing w:val="-4"/>
          <w:highlight w:val="none"/>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2</w:t>
      </w:r>
      <w:r>
        <w:rPr>
          <w:rFonts w:hint="eastAsia"/>
          <w:color w:val="auto"/>
          <w:highlight w:val="none"/>
        </w:rPr>
        <w:t>）在全部工程交工验收前，已经发包人提前验收的单位工程，其保修期的起算日期相应提前。</w:t>
      </w:r>
    </w:p>
    <w:p>
      <w:pPr>
        <w:pStyle w:val="20"/>
        <w:spacing w:line="400" w:lineRule="exact"/>
        <w:ind w:left="904"/>
        <w:rPr>
          <w:color w:val="auto"/>
          <w:highlight w:val="none"/>
        </w:rPr>
      </w:pPr>
      <w:r>
        <w:rPr>
          <w:rFonts w:hint="eastAsia"/>
          <w:color w:val="auto"/>
          <w:highlight w:val="none"/>
        </w:rPr>
        <w:t>（</w:t>
      </w:r>
      <w:r>
        <w:rPr>
          <w:color w:val="auto"/>
          <w:highlight w:val="none"/>
        </w:rPr>
        <w:t>3</w:t>
      </w:r>
      <w:r>
        <w:rPr>
          <w:rFonts w:hint="eastAsia"/>
          <w:color w:val="auto"/>
          <w:highlight w:val="none"/>
        </w:rPr>
        <w:t xml:space="preserve">）工程保修期终止后 </w:t>
      </w:r>
      <w:r>
        <w:rPr>
          <w:color w:val="auto"/>
          <w:highlight w:val="none"/>
        </w:rPr>
        <w:t xml:space="preserve">28 </w:t>
      </w:r>
      <w:r>
        <w:rPr>
          <w:rFonts w:hint="eastAsia"/>
          <w:color w:val="auto"/>
          <w:highlight w:val="none"/>
        </w:rPr>
        <w:t>天内，监理人签发保修期终止证书。</w:t>
      </w:r>
    </w:p>
    <w:p>
      <w:pPr>
        <w:pStyle w:val="20"/>
        <w:spacing w:line="400" w:lineRule="exact"/>
        <w:ind w:left="424" w:right="305" w:firstLine="479"/>
        <w:rPr>
          <w:color w:val="auto"/>
          <w:highlight w:val="none"/>
        </w:rPr>
      </w:pPr>
      <w:r>
        <w:rPr>
          <w:rFonts w:hint="eastAsia"/>
          <w:color w:val="auto"/>
          <w:highlight w:val="none"/>
        </w:rPr>
        <w:t>（</w:t>
      </w:r>
      <w:r>
        <w:rPr>
          <w:color w:val="auto"/>
          <w:highlight w:val="none"/>
        </w:rPr>
        <w:t>4</w:t>
      </w:r>
      <w:r>
        <w:rPr>
          <w:rFonts w:hint="eastAsia"/>
          <w:color w:val="auto"/>
          <w:highlight w:val="none"/>
        </w:rPr>
        <w:t>）若承包人不履行保修义务和责任，则承包人应承担由于违约造成的法律后果，并由发包人将其违约行为上报省级交通运输主管部门，作为不良记录纳入公路</w:t>
      </w:r>
    </w:p>
    <w:p>
      <w:pPr>
        <w:pStyle w:val="20"/>
        <w:spacing w:line="400" w:lineRule="exact"/>
        <w:ind w:left="424"/>
        <w:rPr>
          <w:color w:val="auto"/>
          <w:highlight w:val="none"/>
        </w:rPr>
      </w:pPr>
      <w:r>
        <w:rPr>
          <w:rFonts w:hint="eastAsia"/>
          <w:color w:val="auto"/>
          <w:highlight w:val="none"/>
        </w:rPr>
        <w:t>建设市场信用信息管理系统。</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668" w:name="_bookmark239"/>
      <w:bookmarkEnd w:id="2668"/>
      <w:bookmarkStart w:id="2669" w:name="_Toc17851"/>
      <w:bookmarkStart w:id="2670" w:name="_Toc29810"/>
      <w:bookmarkStart w:id="2671" w:name="_Toc16951"/>
      <w:bookmarkStart w:id="2672" w:name="_Toc14856"/>
      <w:bookmarkStart w:id="2673" w:name="_Toc32445"/>
      <w:bookmarkStart w:id="2674" w:name="_Toc5274"/>
      <w:bookmarkStart w:id="2675" w:name="_Toc15230"/>
      <w:bookmarkStart w:id="2676" w:name="_Toc23599"/>
      <w:bookmarkStart w:id="2677" w:name="_Toc17459"/>
      <w:bookmarkStart w:id="2678" w:name="_Toc29420"/>
      <w:bookmarkStart w:id="2679" w:name="_Toc24547"/>
      <w:bookmarkStart w:id="2680" w:name="_Toc27935"/>
      <w:bookmarkStart w:id="2681" w:name="_Toc30956"/>
      <w:bookmarkStart w:id="2682" w:name="_Toc955"/>
      <w:bookmarkStart w:id="2683" w:name="_Toc11764"/>
      <w:bookmarkStart w:id="2684" w:name="_Toc32502"/>
      <w:bookmarkStart w:id="2685" w:name="_Toc22880"/>
      <w:r>
        <w:rPr>
          <w:rFonts w:hint="eastAsia" w:ascii="黑体" w:hAnsi="黑体" w:eastAsia="黑体" w:cs="黑体"/>
          <w:color w:val="auto"/>
          <w:sz w:val="24"/>
          <w:szCs w:val="24"/>
          <w:highlight w:val="none"/>
        </w:rPr>
        <w:t>保险</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p>
    <w:p>
      <w:pPr>
        <w:pStyle w:val="20"/>
        <w:spacing w:line="400" w:lineRule="exact"/>
        <w:rPr>
          <w:rFonts w:ascii="黑体" w:hAnsi="黑体" w:eastAsia="黑体" w:cs="黑体"/>
          <w:color w:val="auto"/>
          <w:highlight w:val="none"/>
        </w:rPr>
      </w:pPr>
    </w:p>
    <w:p>
      <w:pPr>
        <w:pStyle w:val="86"/>
        <w:numPr>
          <w:ilvl w:val="1"/>
          <w:numId w:val="15"/>
        </w:numPr>
        <w:tabs>
          <w:tab w:val="left" w:pos="905"/>
        </w:tabs>
        <w:spacing w:line="400" w:lineRule="exact"/>
        <w:ind w:left="904" w:hanging="480"/>
        <w:rPr>
          <w:rFonts w:ascii="黑体" w:hAnsi="黑体" w:eastAsia="黑体" w:cs="黑体"/>
          <w:color w:val="auto"/>
          <w:sz w:val="24"/>
          <w:szCs w:val="24"/>
          <w:highlight w:val="none"/>
        </w:rPr>
      </w:pPr>
      <w:bookmarkStart w:id="2686" w:name="_bookmark240"/>
      <w:bookmarkEnd w:id="2686"/>
      <w:bookmarkStart w:id="2687" w:name="_Toc2368"/>
      <w:bookmarkStart w:id="2688" w:name="_Toc12383"/>
      <w:bookmarkStart w:id="2689" w:name="_Toc24226"/>
      <w:bookmarkStart w:id="2690" w:name="_Toc21596"/>
      <w:bookmarkStart w:id="2691" w:name="_Toc13911"/>
      <w:bookmarkStart w:id="2692" w:name="_Toc13810"/>
      <w:bookmarkStart w:id="2693" w:name="_Toc3040"/>
      <w:bookmarkStart w:id="2694" w:name="_Toc19713"/>
      <w:bookmarkStart w:id="2695" w:name="_Toc20838"/>
      <w:r>
        <w:rPr>
          <w:rFonts w:hint="eastAsia" w:ascii="黑体" w:hAnsi="黑体" w:eastAsia="黑体" w:cs="黑体"/>
          <w:color w:val="auto"/>
          <w:sz w:val="24"/>
          <w:szCs w:val="24"/>
          <w:highlight w:val="none"/>
        </w:rPr>
        <w:t>工程保险</w:t>
      </w:r>
      <w:bookmarkEnd w:id="2687"/>
      <w:bookmarkEnd w:id="2688"/>
      <w:bookmarkEnd w:id="2689"/>
      <w:bookmarkEnd w:id="2690"/>
      <w:bookmarkEnd w:id="2691"/>
      <w:bookmarkEnd w:id="2692"/>
      <w:bookmarkEnd w:id="2693"/>
      <w:bookmarkEnd w:id="2694"/>
      <w:bookmarkEnd w:id="2695"/>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本款约定为：</w:t>
      </w:r>
    </w:p>
    <w:p>
      <w:pPr>
        <w:pStyle w:val="20"/>
        <w:spacing w:line="400" w:lineRule="exact"/>
        <w:ind w:left="424" w:right="388" w:firstLine="479"/>
        <w:rPr>
          <w:color w:val="auto"/>
          <w:highlight w:val="none"/>
        </w:rPr>
      </w:pPr>
      <w:r>
        <w:rPr>
          <w:rFonts w:hint="eastAsia"/>
          <w:color w:val="auto"/>
          <w:highlight w:val="none"/>
        </w:rPr>
        <w:t>建筑工程一切险的投保内容：为本合同工程的永久工程、临时工程和设备及已运至施工工地用于永久工程的材料和设备所投的保险。</w:t>
      </w:r>
    </w:p>
    <w:p>
      <w:pPr>
        <w:pStyle w:val="20"/>
        <w:spacing w:line="400" w:lineRule="exact"/>
        <w:ind w:left="904"/>
        <w:rPr>
          <w:color w:val="auto"/>
          <w:highlight w:val="none"/>
        </w:rPr>
      </w:pPr>
      <w:r>
        <w:rPr>
          <w:rFonts w:hint="eastAsia"/>
          <w:color w:val="auto"/>
          <w:highlight w:val="none"/>
        </w:rPr>
        <w:t xml:space="preserve">保险金额：工程量清单第 </w:t>
      </w:r>
      <w:r>
        <w:rPr>
          <w:color w:val="auto"/>
          <w:highlight w:val="none"/>
        </w:rPr>
        <w:t xml:space="preserve">100 </w:t>
      </w:r>
      <w:r>
        <w:rPr>
          <w:rFonts w:hint="eastAsia"/>
          <w:color w:val="auto"/>
          <w:highlight w:val="none"/>
        </w:rPr>
        <w:t>章（不含建筑工程一切险及第三者责任险的保险</w:t>
      </w:r>
    </w:p>
    <w:p>
      <w:pPr>
        <w:pStyle w:val="20"/>
        <w:spacing w:line="400" w:lineRule="exact"/>
        <w:ind w:left="424"/>
        <w:rPr>
          <w:color w:val="auto"/>
          <w:highlight w:val="none"/>
        </w:rPr>
      </w:pPr>
      <w:r>
        <w:rPr>
          <w:rFonts w:hint="eastAsia"/>
          <w:color w:val="auto"/>
          <w:highlight w:val="none"/>
        </w:rPr>
        <w:t xml:space="preserve">费）至第 </w:t>
      </w:r>
      <w:r>
        <w:rPr>
          <w:color w:val="auto"/>
          <w:highlight w:val="none"/>
        </w:rPr>
        <w:t xml:space="preserve">700 </w:t>
      </w:r>
      <w:r>
        <w:rPr>
          <w:rFonts w:hint="eastAsia"/>
          <w:color w:val="auto"/>
          <w:highlight w:val="none"/>
        </w:rPr>
        <w:t>章的合计金额。</w:t>
      </w:r>
    </w:p>
    <w:p>
      <w:pPr>
        <w:pStyle w:val="20"/>
        <w:spacing w:line="400" w:lineRule="exact"/>
        <w:ind w:left="904"/>
        <w:rPr>
          <w:color w:val="auto"/>
          <w:highlight w:val="none"/>
        </w:rPr>
      </w:pPr>
      <w:r>
        <w:rPr>
          <w:rFonts w:hint="eastAsia"/>
          <w:color w:val="auto"/>
          <w:highlight w:val="none"/>
        </w:rPr>
        <w:t>保险费率：在项目专用合同条款数据表中约定。</w:t>
      </w:r>
    </w:p>
    <w:p>
      <w:pPr>
        <w:pStyle w:val="20"/>
        <w:spacing w:line="400" w:lineRule="exact"/>
        <w:ind w:left="904"/>
        <w:rPr>
          <w:color w:val="auto"/>
          <w:highlight w:val="none"/>
        </w:rPr>
      </w:pPr>
      <w:r>
        <w:rPr>
          <w:rFonts w:hint="eastAsia"/>
          <w:color w:val="auto"/>
          <w:highlight w:val="none"/>
        </w:rPr>
        <w:t>保险期限：开工日起直至本合同工程签发缺陷责任期终止证书止（即合同工期</w:t>
      </w:r>
    </w:p>
    <w:p>
      <w:pPr>
        <w:pStyle w:val="20"/>
        <w:spacing w:line="400" w:lineRule="exact"/>
        <w:ind w:left="424"/>
        <w:rPr>
          <w:color w:val="auto"/>
          <w:highlight w:val="none"/>
        </w:rPr>
      </w:pPr>
      <w:r>
        <w:rPr>
          <w:rFonts w:hint="eastAsia"/>
          <w:color w:val="auto"/>
          <w:highlight w:val="none"/>
        </w:rPr>
        <w:t>＋缺陷责任期</w:t>
      </w:r>
      <w:r>
        <w:rPr>
          <w:rFonts w:hint="eastAsia"/>
          <w:color w:val="auto"/>
          <w:spacing w:val="-120"/>
          <w:highlight w:val="none"/>
        </w:rPr>
        <w:t>）</w:t>
      </w:r>
      <w:r>
        <w:rPr>
          <w:rFonts w:hint="eastAsia"/>
          <w:color w:val="auto"/>
          <w:highlight w:val="none"/>
        </w:rPr>
        <w:t>。</w:t>
      </w:r>
    </w:p>
    <w:p>
      <w:pPr>
        <w:pStyle w:val="20"/>
        <w:spacing w:line="400" w:lineRule="exact"/>
        <w:ind w:left="424" w:right="385" w:firstLine="479"/>
        <w:rPr>
          <w:color w:val="auto"/>
          <w:highlight w:val="none"/>
        </w:rPr>
      </w:pPr>
      <w:r>
        <w:rPr>
          <w:rFonts w:hint="eastAsia"/>
          <w:color w:val="auto"/>
          <w:highlight w:val="none"/>
        </w:rPr>
        <w:t>承包人应以发包人和承包人的共同名义投保建筑工程一切险。建筑工程一切险</w:t>
      </w:r>
      <w:r>
        <w:rPr>
          <w:rFonts w:hint="eastAsia"/>
          <w:color w:val="auto"/>
          <w:spacing w:val="-3"/>
          <w:highlight w:val="none"/>
        </w:rPr>
        <w:t xml:space="preserve">的保险费由承包人报价时列入工程量清单第 </w:t>
      </w:r>
      <w:r>
        <w:rPr>
          <w:color w:val="auto"/>
          <w:highlight w:val="none"/>
        </w:rPr>
        <w:t xml:space="preserve">100 </w:t>
      </w:r>
      <w:r>
        <w:rPr>
          <w:rFonts w:hint="eastAsia"/>
          <w:color w:val="auto"/>
          <w:highlight w:val="none"/>
        </w:rPr>
        <w:t>章内。发包人在接到保险单后，将按照保险单的费用直接向承包人支付。</w:t>
      </w:r>
    </w:p>
    <w:p>
      <w:pPr>
        <w:pStyle w:val="20"/>
        <w:spacing w:line="400" w:lineRule="exact"/>
        <w:rPr>
          <w:color w:val="auto"/>
          <w:highlight w:val="none"/>
        </w:rPr>
      </w:pPr>
    </w:p>
    <w:p>
      <w:pPr>
        <w:pStyle w:val="86"/>
        <w:numPr>
          <w:ilvl w:val="1"/>
          <w:numId w:val="33"/>
        </w:numPr>
        <w:tabs>
          <w:tab w:val="left" w:pos="965"/>
        </w:tabs>
        <w:spacing w:line="400" w:lineRule="exact"/>
        <w:rPr>
          <w:rFonts w:ascii="黑体" w:hAnsi="黑体" w:eastAsia="黑体" w:cs="黑体"/>
          <w:color w:val="auto"/>
          <w:sz w:val="24"/>
          <w:szCs w:val="24"/>
          <w:highlight w:val="none"/>
        </w:rPr>
      </w:pPr>
      <w:bookmarkStart w:id="2696" w:name="_bookmark241"/>
      <w:bookmarkEnd w:id="2696"/>
      <w:bookmarkStart w:id="2697" w:name="_Toc32404"/>
      <w:bookmarkStart w:id="2698" w:name="_Toc15291"/>
      <w:bookmarkStart w:id="2699" w:name="_Toc19258"/>
      <w:bookmarkStart w:id="2700" w:name="_Toc29333"/>
      <w:bookmarkStart w:id="2701" w:name="_Toc30706"/>
      <w:bookmarkStart w:id="2702" w:name="_Toc1320"/>
      <w:bookmarkStart w:id="2703" w:name="_Toc781"/>
      <w:bookmarkStart w:id="2704" w:name="_Toc13973"/>
      <w:bookmarkStart w:id="2705" w:name="_Toc7003"/>
      <w:r>
        <w:rPr>
          <w:rFonts w:hint="eastAsia" w:ascii="黑体" w:hAnsi="黑体" w:eastAsia="黑体" w:cs="黑体"/>
          <w:color w:val="auto"/>
          <w:sz w:val="24"/>
          <w:szCs w:val="24"/>
          <w:highlight w:val="none"/>
        </w:rPr>
        <w:t>第三者责任险</w:t>
      </w:r>
      <w:bookmarkEnd w:id="2697"/>
      <w:bookmarkEnd w:id="2698"/>
      <w:bookmarkEnd w:id="2699"/>
      <w:bookmarkEnd w:id="2700"/>
      <w:bookmarkEnd w:id="2701"/>
      <w:bookmarkEnd w:id="2702"/>
      <w:bookmarkEnd w:id="2703"/>
      <w:bookmarkEnd w:id="2704"/>
      <w:bookmarkEnd w:id="2705"/>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20.4.2 </w:t>
      </w:r>
      <w:r>
        <w:rPr>
          <w:rFonts w:hint="eastAsia"/>
          <w:color w:val="auto"/>
          <w:highlight w:val="none"/>
        </w:rPr>
        <w:t>项补充：</w:t>
      </w:r>
    </w:p>
    <w:p>
      <w:pPr>
        <w:pStyle w:val="20"/>
        <w:spacing w:line="400" w:lineRule="exact"/>
        <w:ind w:left="424" w:right="334" w:firstLine="479"/>
        <w:rPr>
          <w:color w:val="auto"/>
          <w:highlight w:val="none"/>
        </w:rPr>
      </w:pPr>
      <w:r>
        <w:rPr>
          <w:rFonts w:hint="eastAsia"/>
          <w:color w:val="auto"/>
          <w:highlight w:val="none"/>
        </w:rPr>
        <w:t xml:space="preserve">第三者责任险的保险费由承包人报价时列入工程量清单第 </w:t>
      </w:r>
      <w:r>
        <w:rPr>
          <w:color w:val="auto"/>
          <w:highlight w:val="none"/>
        </w:rPr>
        <w:t xml:space="preserve">100 </w:t>
      </w:r>
      <w:r>
        <w:rPr>
          <w:rFonts w:hint="eastAsia"/>
          <w:color w:val="auto"/>
          <w:highlight w:val="none"/>
        </w:rPr>
        <w:t>章内。发包人在接到保险单后，将按照保险单的费用直接向承包人支付。</w:t>
      </w:r>
    </w:p>
    <w:p>
      <w:pPr>
        <w:pStyle w:val="20"/>
        <w:spacing w:line="400" w:lineRule="exact"/>
        <w:rPr>
          <w:color w:val="auto"/>
          <w:highlight w:val="none"/>
        </w:rPr>
      </w:pPr>
    </w:p>
    <w:p>
      <w:pPr>
        <w:pStyle w:val="86"/>
        <w:numPr>
          <w:ilvl w:val="1"/>
          <w:numId w:val="33"/>
        </w:numPr>
        <w:tabs>
          <w:tab w:val="left" w:pos="965"/>
        </w:tabs>
        <w:spacing w:line="400" w:lineRule="exact"/>
        <w:rPr>
          <w:rFonts w:ascii="黑体" w:hAnsi="黑体" w:eastAsia="黑体" w:cs="黑体"/>
          <w:color w:val="auto"/>
          <w:sz w:val="24"/>
          <w:szCs w:val="24"/>
          <w:highlight w:val="none"/>
        </w:rPr>
      </w:pPr>
      <w:bookmarkStart w:id="2706" w:name="_bookmark242"/>
      <w:bookmarkEnd w:id="2706"/>
      <w:bookmarkStart w:id="2707" w:name="_Toc5928"/>
      <w:bookmarkStart w:id="2708" w:name="_Toc11545"/>
      <w:bookmarkStart w:id="2709" w:name="_Toc7174"/>
      <w:bookmarkStart w:id="2710" w:name="_Toc3242"/>
      <w:bookmarkStart w:id="2711" w:name="_Toc24623"/>
      <w:bookmarkStart w:id="2712" w:name="_Toc22521"/>
      <w:bookmarkStart w:id="2713" w:name="_Toc28091"/>
      <w:bookmarkStart w:id="2714" w:name="_Toc32493"/>
      <w:bookmarkStart w:id="2715" w:name="_Toc24217"/>
      <w:r>
        <w:rPr>
          <w:rFonts w:hint="eastAsia" w:ascii="黑体" w:hAnsi="黑体" w:eastAsia="黑体" w:cs="黑体"/>
          <w:color w:val="auto"/>
          <w:sz w:val="24"/>
          <w:szCs w:val="24"/>
          <w:highlight w:val="none"/>
        </w:rPr>
        <w:t>其他保险</w:t>
      </w:r>
      <w:bookmarkEnd w:id="2707"/>
      <w:bookmarkEnd w:id="2708"/>
      <w:bookmarkEnd w:id="2709"/>
      <w:bookmarkEnd w:id="2710"/>
      <w:bookmarkEnd w:id="2711"/>
      <w:bookmarkEnd w:id="2712"/>
      <w:bookmarkEnd w:id="2713"/>
      <w:bookmarkEnd w:id="2714"/>
      <w:bookmarkEnd w:id="2715"/>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本款约定为：</w:t>
      </w:r>
    </w:p>
    <w:p>
      <w:pPr>
        <w:pStyle w:val="20"/>
        <w:spacing w:line="400" w:lineRule="exact"/>
        <w:ind w:left="424" w:right="389" w:firstLine="419"/>
        <w:rPr>
          <w:color w:val="auto"/>
          <w:highlight w:val="none"/>
        </w:rPr>
      </w:pPr>
      <w:r>
        <w:rPr>
          <w:rFonts w:hint="eastAsia"/>
          <w:color w:val="auto"/>
          <w:highlight w:val="none"/>
        </w:rPr>
        <w:t>承包人应为其施工设备等办理保险，其投保金额应足以现场重置。办理本款保险的一切费用均由承包人承担，并包括在工程量清单的单价及总额价中，发包人不单独支付。</w:t>
      </w:r>
    </w:p>
    <w:p>
      <w:pPr>
        <w:pStyle w:val="20"/>
        <w:spacing w:line="400" w:lineRule="exact"/>
        <w:rPr>
          <w:color w:val="auto"/>
          <w:highlight w:val="none"/>
        </w:rPr>
      </w:pPr>
    </w:p>
    <w:p>
      <w:pPr>
        <w:pStyle w:val="86"/>
        <w:numPr>
          <w:ilvl w:val="1"/>
          <w:numId w:val="33"/>
        </w:numPr>
        <w:tabs>
          <w:tab w:val="left" w:pos="965"/>
        </w:tabs>
        <w:spacing w:line="400" w:lineRule="exact"/>
        <w:rPr>
          <w:rFonts w:ascii="黑体" w:hAnsi="黑体" w:eastAsia="黑体" w:cs="黑体"/>
          <w:color w:val="auto"/>
          <w:sz w:val="24"/>
          <w:szCs w:val="24"/>
          <w:highlight w:val="none"/>
        </w:rPr>
      </w:pPr>
      <w:bookmarkStart w:id="2716" w:name="_bookmark243"/>
      <w:bookmarkEnd w:id="2716"/>
      <w:bookmarkStart w:id="2717" w:name="_Toc27553"/>
      <w:bookmarkStart w:id="2718" w:name="_Toc12164"/>
      <w:bookmarkStart w:id="2719" w:name="_Toc18201"/>
      <w:bookmarkStart w:id="2720" w:name="_Toc25551"/>
      <w:bookmarkStart w:id="2721" w:name="_Toc10172"/>
      <w:bookmarkStart w:id="2722" w:name="_Toc6949"/>
      <w:bookmarkStart w:id="2723" w:name="_Toc30794"/>
      <w:bookmarkStart w:id="2724" w:name="_Toc24051"/>
      <w:bookmarkStart w:id="2725" w:name="_Toc1161"/>
      <w:r>
        <w:rPr>
          <w:rFonts w:hint="eastAsia" w:ascii="黑体" w:hAnsi="黑体" w:eastAsia="黑体" w:cs="黑体"/>
          <w:color w:val="auto"/>
          <w:sz w:val="24"/>
          <w:szCs w:val="24"/>
          <w:highlight w:val="none"/>
        </w:rPr>
        <w:t>对各项保险的一般要求</w:t>
      </w:r>
      <w:bookmarkEnd w:id="2717"/>
      <w:bookmarkEnd w:id="2718"/>
      <w:bookmarkEnd w:id="2719"/>
      <w:bookmarkEnd w:id="2720"/>
      <w:bookmarkEnd w:id="2721"/>
      <w:bookmarkEnd w:id="2722"/>
      <w:bookmarkEnd w:id="2723"/>
      <w:bookmarkEnd w:id="2724"/>
      <w:bookmarkEnd w:id="2725"/>
    </w:p>
    <w:p>
      <w:pPr>
        <w:pStyle w:val="20"/>
        <w:spacing w:line="400" w:lineRule="exact"/>
        <w:rPr>
          <w:color w:val="auto"/>
          <w:highlight w:val="none"/>
        </w:rPr>
      </w:pPr>
    </w:p>
    <w:p>
      <w:pPr>
        <w:pStyle w:val="20"/>
        <w:spacing w:line="400" w:lineRule="exact"/>
        <w:ind w:left="815"/>
        <w:rPr>
          <w:color w:val="auto"/>
          <w:highlight w:val="none"/>
        </w:rPr>
      </w:pPr>
      <w:r>
        <w:rPr>
          <w:color w:val="auto"/>
          <w:highlight w:val="none"/>
        </w:rPr>
        <w:t xml:space="preserve">20.6.1 </w:t>
      </w:r>
      <w:r>
        <w:rPr>
          <w:rFonts w:hint="eastAsia"/>
          <w:color w:val="auto"/>
          <w:highlight w:val="none"/>
        </w:rPr>
        <w:t>保险凭证</w:t>
      </w:r>
    </w:p>
    <w:p>
      <w:pPr>
        <w:pStyle w:val="20"/>
        <w:spacing w:line="400" w:lineRule="exact"/>
        <w:ind w:left="815"/>
        <w:rPr>
          <w:color w:val="auto"/>
          <w:highlight w:val="none"/>
        </w:rPr>
      </w:pPr>
      <w:r>
        <w:rPr>
          <w:rFonts w:hint="eastAsia"/>
          <w:color w:val="auto"/>
          <w:highlight w:val="none"/>
        </w:rPr>
        <w:t>本项约定为：</w:t>
      </w:r>
    </w:p>
    <w:p>
      <w:pPr>
        <w:pStyle w:val="20"/>
        <w:spacing w:line="400" w:lineRule="exact"/>
        <w:ind w:left="815"/>
        <w:rPr>
          <w:color w:val="auto"/>
          <w:highlight w:val="none"/>
        </w:rPr>
      </w:pPr>
      <w:r>
        <w:rPr>
          <w:rFonts w:hint="eastAsia"/>
          <w:color w:val="auto"/>
          <w:highlight w:val="none"/>
        </w:rPr>
        <w:t xml:space="preserve">承包人向发包人提交各项保险生效的证据和保险单副本的期限：开工后 </w:t>
      </w:r>
      <w:r>
        <w:rPr>
          <w:color w:val="auto"/>
          <w:highlight w:val="none"/>
        </w:rPr>
        <w:t xml:space="preserve">56 </w:t>
      </w:r>
      <w:r>
        <w:rPr>
          <w:rFonts w:hint="eastAsia"/>
          <w:color w:val="auto"/>
          <w:highlight w:val="none"/>
        </w:rPr>
        <w:t>天内。</w:t>
      </w:r>
    </w:p>
    <w:p>
      <w:pPr>
        <w:pStyle w:val="86"/>
        <w:numPr>
          <w:ilvl w:val="2"/>
          <w:numId w:val="34"/>
        </w:numPr>
        <w:tabs>
          <w:tab w:val="left" w:pos="1536"/>
        </w:tabs>
        <w:spacing w:line="400" w:lineRule="exact"/>
        <w:rPr>
          <w:color w:val="auto"/>
          <w:sz w:val="24"/>
          <w:szCs w:val="24"/>
          <w:highlight w:val="none"/>
        </w:rPr>
      </w:pPr>
      <w:r>
        <w:rPr>
          <w:rFonts w:hint="eastAsia"/>
          <w:color w:val="auto"/>
          <w:sz w:val="24"/>
          <w:szCs w:val="24"/>
          <w:highlight w:val="none"/>
        </w:rPr>
        <w:t>持续保险</w:t>
      </w:r>
    </w:p>
    <w:p>
      <w:pPr>
        <w:pStyle w:val="20"/>
        <w:spacing w:line="400" w:lineRule="exact"/>
        <w:ind w:left="904"/>
        <w:rPr>
          <w:color w:val="auto"/>
          <w:highlight w:val="none"/>
        </w:rPr>
      </w:pPr>
      <w:r>
        <w:rPr>
          <w:rFonts w:hint="eastAsia"/>
          <w:color w:val="auto"/>
          <w:highlight w:val="none"/>
        </w:rPr>
        <w:t>本项补充：</w:t>
      </w:r>
    </w:p>
    <w:p>
      <w:pPr>
        <w:pStyle w:val="20"/>
        <w:spacing w:line="400" w:lineRule="exact"/>
        <w:ind w:left="904"/>
        <w:rPr>
          <w:color w:val="auto"/>
          <w:highlight w:val="none"/>
        </w:rPr>
      </w:pPr>
      <w:r>
        <w:rPr>
          <w:rFonts w:hint="eastAsia"/>
          <w:color w:val="auto"/>
          <w:highlight w:val="none"/>
        </w:rPr>
        <w:t>在整个合同期内，承包人应按合同条款规定保证足够的保险额。</w:t>
      </w:r>
    </w:p>
    <w:p>
      <w:pPr>
        <w:pStyle w:val="86"/>
        <w:numPr>
          <w:ilvl w:val="2"/>
          <w:numId w:val="34"/>
        </w:numPr>
        <w:tabs>
          <w:tab w:val="left" w:pos="1536"/>
        </w:tabs>
        <w:spacing w:line="400" w:lineRule="exact"/>
        <w:rPr>
          <w:color w:val="auto"/>
          <w:sz w:val="24"/>
          <w:szCs w:val="24"/>
          <w:highlight w:val="none"/>
        </w:rPr>
      </w:pPr>
      <w:r>
        <w:rPr>
          <w:rFonts w:hint="eastAsia"/>
          <w:color w:val="auto"/>
          <w:sz w:val="24"/>
          <w:szCs w:val="24"/>
          <w:highlight w:val="none"/>
        </w:rPr>
        <w:t>保险金不足的补偿</w:t>
      </w:r>
    </w:p>
    <w:p>
      <w:pPr>
        <w:pStyle w:val="20"/>
        <w:spacing w:line="400" w:lineRule="exact"/>
        <w:ind w:left="904"/>
        <w:rPr>
          <w:color w:val="auto"/>
          <w:highlight w:val="none"/>
        </w:rPr>
      </w:pPr>
      <w:r>
        <w:rPr>
          <w:rFonts w:hint="eastAsia"/>
          <w:color w:val="auto"/>
          <w:highlight w:val="none"/>
        </w:rPr>
        <w:t>本项细化为：</w:t>
      </w:r>
    </w:p>
    <w:p>
      <w:pPr>
        <w:pStyle w:val="20"/>
        <w:spacing w:line="400" w:lineRule="exact"/>
        <w:ind w:left="904"/>
        <w:rPr>
          <w:color w:val="auto"/>
          <w:highlight w:val="none"/>
        </w:rPr>
      </w:pPr>
      <w:r>
        <w:rPr>
          <w:rFonts w:hint="eastAsia"/>
          <w:color w:val="auto"/>
          <w:spacing w:val="-4"/>
          <w:highlight w:val="none"/>
        </w:rPr>
        <w:t>保险金不足以补偿损失的</w:t>
      </w:r>
      <w:r>
        <w:rPr>
          <w:rFonts w:hint="eastAsia"/>
          <w:color w:val="auto"/>
          <w:highlight w:val="none"/>
        </w:rPr>
        <w:t>（包括免赔额和超过赔偿限额的部分</w:t>
      </w:r>
      <w:r>
        <w:rPr>
          <w:rFonts w:hint="eastAsia"/>
          <w:color w:val="auto"/>
          <w:spacing w:val="-82"/>
          <w:highlight w:val="none"/>
        </w:rPr>
        <w:t>）</w:t>
      </w:r>
      <w:r>
        <w:rPr>
          <w:rFonts w:hint="eastAsia"/>
          <w:color w:val="auto"/>
          <w:spacing w:val="-13"/>
          <w:highlight w:val="none"/>
        </w:rPr>
        <w:t>，应由承包人和</w:t>
      </w:r>
    </w:p>
    <w:p>
      <w:pPr>
        <w:pStyle w:val="20"/>
        <w:spacing w:line="400" w:lineRule="exact"/>
        <w:ind w:left="424"/>
        <w:rPr>
          <w:color w:val="auto"/>
          <w:highlight w:val="none"/>
        </w:rPr>
      </w:pPr>
      <w:r>
        <w:rPr>
          <w:rFonts w:hint="eastAsia"/>
          <w:color w:val="auto"/>
          <w:highlight w:val="none"/>
        </w:rPr>
        <w:t>（或）发包人按合同约定负责补偿。</w:t>
      </w:r>
    </w:p>
    <w:p>
      <w:pPr>
        <w:pStyle w:val="86"/>
        <w:numPr>
          <w:ilvl w:val="2"/>
          <w:numId w:val="34"/>
        </w:numPr>
        <w:tabs>
          <w:tab w:val="left" w:pos="1536"/>
        </w:tabs>
        <w:spacing w:line="400" w:lineRule="exact"/>
        <w:rPr>
          <w:color w:val="auto"/>
          <w:sz w:val="24"/>
          <w:szCs w:val="24"/>
          <w:highlight w:val="none"/>
        </w:rPr>
      </w:pPr>
      <w:r>
        <w:rPr>
          <w:rFonts w:hint="eastAsia"/>
          <w:color w:val="auto"/>
          <w:sz w:val="24"/>
          <w:szCs w:val="24"/>
          <w:highlight w:val="none"/>
        </w:rPr>
        <w:t>未按约定投保的补救</w:t>
      </w:r>
    </w:p>
    <w:p>
      <w:pPr>
        <w:pStyle w:val="20"/>
        <w:spacing w:line="400" w:lineRule="exact"/>
        <w:ind w:left="815"/>
        <w:rPr>
          <w:color w:val="auto"/>
          <w:highlight w:val="none"/>
        </w:rPr>
      </w:pPr>
      <w:r>
        <w:rPr>
          <w:rFonts w:hint="eastAsia"/>
          <w:color w:val="auto"/>
          <w:highlight w:val="none"/>
        </w:rPr>
        <w:t>本项（</w:t>
      </w:r>
      <w:r>
        <w:rPr>
          <w:color w:val="auto"/>
          <w:highlight w:val="none"/>
        </w:rPr>
        <w:t>2</w:t>
      </w:r>
      <w:r>
        <w:rPr>
          <w:rFonts w:hint="eastAsia"/>
          <w:color w:val="auto"/>
          <w:highlight w:val="none"/>
        </w:rPr>
        <w:t>）目细化为：</w:t>
      </w:r>
    </w:p>
    <w:p>
      <w:pPr>
        <w:pStyle w:val="20"/>
        <w:spacing w:line="400" w:lineRule="exact"/>
        <w:ind w:left="424" w:right="263" w:firstLine="391"/>
        <w:rPr>
          <w:color w:val="auto"/>
          <w:highlight w:val="none"/>
        </w:rPr>
      </w:pPr>
      <w:r>
        <w:rPr>
          <w:rFonts w:hint="eastAsia"/>
          <w:color w:val="auto"/>
          <w:highlight w:val="none"/>
        </w:rPr>
        <w:t>（</w:t>
      </w:r>
      <w:r>
        <w:rPr>
          <w:color w:val="auto"/>
          <w:highlight w:val="none"/>
        </w:rPr>
        <w:t>2</w:t>
      </w:r>
      <w:r>
        <w:rPr>
          <w:rFonts w:hint="eastAsia"/>
          <w:color w:val="auto"/>
          <w:highlight w:val="none"/>
        </w:rPr>
        <w:t>）由于负有投保义务的一方当事人未按合同约定办理某项保险，或未按保险</w:t>
      </w:r>
      <w:r>
        <w:rPr>
          <w:rFonts w:hint="eastAsia"/>
          <w:color w:val="auto"/>
          <w:spacing w:val="-4"/>
          <w:highlight w:val="none"/>
        </w:rPr>
        <w:t>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726" w:name="_bookmark244"/>
      <w:bookmarkEnd w:id="2726"/>
      <w:bookmarkStart w:id="2727" w:name="_Toc9044"/>
      <w:bookmarkStart w:id="2728" w:name="_Toc30116"/>
      <w:bookmarkStart w:id="2729" w:name="_Toc22522"/>
      <w:bookmarkStart w:id="2730" w:name="_Toc32087"/>
      <w:bookmarkStart w:id="2731" w:name="_Toc5391"/>
      <w:bookmarkStart w:id="2732" w:name="_Toc9770"/>
      <w:bookmarkStart w:id="2733" w:name="_Toc10712"/>
      <w:bookmarkStart w:id="2734" w:name="_Toc27820"/>
      <w:bookmarkStart w:id="2735" w:name="_Toc29241"/>
      <w:bookmarkStart w:id="2736" w:name="_Toc8462"/>
      <w:bookmarkStart w:id="2737" w:name="_Toc24081"/>
      <w:bookmarkStart w:id="2738" w:name="_Toc13892"/>
      <w:bookmarkStart w:id="2739" w:name="_Toc26635"/>
      <w:bookmarkStart w:id="2740" w:name="_Toc7336"/>
      <w:bookmarkStart w:id="2741" w:name="_Toc4841"/>
      <w:bookmarkStart w:id="2742" w:name="_Toc15770"/>
      <w:bookmarkStart w:id="2743" w:name="_Toc13671"/>
      <w:r>
        <w:rPr>
          <w:rFonts w:hint="eastAsia" w:ascii="黑体" w:hAnsi="黑体" w:eastAsia="黑体" w:cs="黑体"/>
          <w:color w:val="auto"/>
          <w:sz w:val="24"/>
          <w:szCs w:val="24"/>
          <w:highlight w:val="none"/>
        </w:rPr>
        <w:t>不可抗力</w:t>
      </w:r>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744" w:name="_bookmark245"/>
      <w:bookmarkEnd w:id="2744"/>
      <w:bookmarkStart w:id="2745" w:name="_Toc17152"/>
      <w:bookmarkStart w:id="2746" w:name="_Toc560"/>
      <w:bookmarkStart w:id="2747" w:name="_Toc24202"/>
      <w:bookmarkStart w:id="2748" w:name="_Toc1489"/>
      <w:bookmarkStart w:id="2749" w:name="_Toc28052"/>
      <w:bookmarkStart w:id="2750" w:name="_Toc23449"/>
      <w:bookmarkStart w:id="2751" w:name="_Toc12286"/>
      <w:bookmarkStart w:id="2752" w:name="_Toc4729"/>
      <w:bookmarkStart w:id="2753" w:name="_Toc10923"/>
      <w:r>
        <w:rPr>
          <w:rFonts w:hint="eastAsia" w:ascii="黑体" w:hAnsi="黑体" w:eastAsia="黑体" w:cs="黑体"/>
          <w:color w:val="auto"/>
          <w:sz w:val="24"/>
          <w:szCs w:val="24"/>
          <w:highlight w:val="none"/>
        </w:rPr>
        <w:t>不可抗力的确认</w:t>
      </w:r>
      <w:bookmarkEnd w:id="2745"/>
      <w:bookmarkEnd w:id="2746"/>
      <w:bookmarkEnd w:id="2747"/>
      <w:bookmarkEnd w:id="2748"/>
      <w:bookmarkEnd w:id="2749"/>
      <w:bookmarkEnd w:id="2750"/>
      <w:bookmarkEnd w:id="2751"/>
      <w:bookmarkEnd w:id="2752"/>
      <w:bookmarkEnd w:id="2753"/>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 xml:space="preserve">第 </w:t>
      </w:r>
      <w:r>
        <w:rPr>
          <w:color w:val="auto"/>
          <w:highlight w:val="none"/>
        </w:rPr>
        <w:t xml:space="preserve">21.1.1 </w:t>
      </w:r>
      <w:r>
        <w:rPr>
          <w:rFonts w:hint="eastAsia"/>
          <w:color w:val="auto"/>
          <w:highlight w:val="none"/>
        </w:rPr>
        <w:t>项细化为：</w:t>
      </w:r>
    </w:p>
    <w:p>
      <w:pPr>
        <w:pStyle w:val="20"/>
        <w:spacing w:line="400" w:lineRule="exact"/>
        <w:ind w:left="424" w:right="391" w:firstLine="479"/>
        <w:rPr>
          <w:color w:val="auto"/>
          <w:highlight w:val="none"/>
        </w:rPr>
      </w:pPr>
      <w:r>
        <w:rPr>
          <w:rFonts w:hint="eastAsia"/>
          <w:color w:val="auto"/>
          <w:highlight w:val="none"/>
        </w:rPr>
        <w:t>不可抗力是指承包人和发包人在订立合同时不可预见，在工程施工过程中不可避免发生并不能克服的自然灾害和社会性突发事件。包括但不限于：</w:t>
      </w:r>
    </w:p>
    <w:p>
      <w:pPr>
        <w:pStyle w:val="20"/>
        <w:spacing w:line="400" w:lineRule="exact"/>
        <w:ind w:left="424" w:right="388" w:firstLine="479"/>
        <w:rPr>
          <w:color w:val="auto"/>
          <w:highlight w:val="none"/>
        </w:rPr>
      </w:pPr>
      <w:r>
        <w:rPr>
          <w:rFonts w:hint="eastAsia"/>
          <w:color w:val="auto"/>
          <w:highlight w:val="none"/>
        </w:rPr>
        <w:t>（</w:t>
      </w:r>
      <w:r>
        <w:rPr>
          <w:color w:val="auto"/>
          <w:highlight w:val="none"/>
        </w:rPr>
        <w:t>1</w:t>
      </w:r>
      <w:r>
        <w:rPr>
          <w:rFonts w:hint="eastAsia"/>
          <w:color w:val="auto"/>
          <w:highlight w:val="none"/>
        </w:rPr>
        <w:t>）地震、海啸、火山爆发、泥石流、台风、龙卷风等自然灾害；</w:t>
      </w:r>
    </w:p>
    <w:p>
      <w:pPr>
        <w:pStyle w:val="20"/>
        <w:spacing w:line="400" w:lineRule="exact"/>
        <w:ind w:left="424" w:right="384" w:firstLine="479"/>
        <w:rPr>
          <w:color w:val="auto"/>
          <w:highlight w:val="none"/>
        </w:rPr>
      </w:pPr>
      <w:r>
        <w:rPr>
          <w:rFonts w:hint="eastAsia"/>
          <w:color w:val="auto"/>
          <w:spacing w:val="-8"/>
          <w:highlight w:val="none"/>
        </w:rPr>
        <w:t>（</w:t>
      </w:r>
      <w:r>
        <w:rPr>
          <w:color w:val="auto"/>
          <w:spacing w:val="-8"/>
          <w:highlight w:val="none"/>
        </w:rPr>
        <w:t>2</w:t>
      </w:r>
      <w:r>
        <w:rPr>
          <w:rFonts w:hint="eastAsia"/>
          <w:color w:val="auto"/>
          <w:spacing w:val="-8"/>
          <w:highlight w:val="none"/>
        </w:rPr>
        <w:t>）</w:t>
      </w:r>
      <w:r>
        <w:rPr>
          <w:rFonts w:hint="eastAsia"/>
          <w:color w:val="auto"/>
          <w:spacing w:val="-9"/>
          <w:highlight w:val="none"/>
        </w:rPr>
        <w:t>战争、骚乱、暴动，但纯属承包人或其分包人派遣与雇用的人员由于本合同工程施工原因引起者除外；</w:t>
      </w:r>
    </w:p>
    <w:p>
      <w:pPr>
        <w:pStyle w:val="20"/>
        <w:spacing w:line="400" w:lineRule="exact"/>
        <w:ind w:left="904"/>
        <w:rPr>
          <w:color w:val="auto"/>
          <w:highlight w:val="none"/>
        </w:rPr>
      </w:pPr>
      <w:r>
        <w:rPr>
          <w:rFonts w:hint="eastAsia"/>
          <w:color w:val="auto"/>
          <w:highlight w:val="none"/>
        </w:rPr>
        <w:t>（</w:t>
      </w:r>
      <w:r>
        <w:rPr>
          <w:color w:val="auto"/>
          <w:highlight w:val="none"/>
        </w:rPr>
        <w:t>3</w:t>
      </w:r>
      <w:r>
        <w:rPr>
          <w:rFonts w:hint="eastAsia"/>
          <w:color w:val="auto"/>
          <w:highlight w:val="none"/>
        </w:rPr>
        <w:t>）核反应、辐射或放射性污染；</w:t>
      </w:r>
    </w:p>
    <w:p>
      <w:pPr>
        <w:pStyle w:val="20"/>
        <w:spacing w:line="400" w:lineRule="exact"/>
        <w:ind w:left="904"/>
        <w:rPr>
          <w:color w:val="auto"/>
          <w:highlight w:val="none"/>
        </w:rPr>
      </w:pPr>
      <w:r>
        <w:rPr>
          <w:rFonts w:hint="eastAsia"/>
          <w:color w:val="auto"/>
          <w:highlight w:val="none"/>
        </w:rPr>
        <w:t>（</w:t>
      </w:r>
      <w:r>
        <w:rPr>
          <w:color w:val="auto"/>
          <w:highlight w:val="none"/>
        </w:rPr>
        <w:t>4</w:t>
      </w:r>
      <w:r>
        <w:rPr>
          <w:rFonts w:hint="eastAsia"/>
          <w:color w:val="auto"/>
          <w:highlight w:val="none"/>
        </w:rPr>
        <w:t>）空中飞行物体坠落或非发包人或承包人责任造成的爆炸、火灾；</w:t>
      </w:r>
    </w:p>
    <w:p>
      <w:pPr>
        <w:pStyle w:val="20"/>
        <w:spacing w:line="400" w:lineRule="exact"/>
        <w:ind w:left="904"/>
        <w:rPr>
          <w:color w:val="auto"/>
          <w:highlight w:val="none"/>
        </w:rPr>
      </w:pPr>
      <w:r>
        <w:rPr>
          <w:rFonts w:hint="eastAsia"/>
          <w:color w:val="auto"/>
          <w:highlight w:val="none"/>
        </w:rPr>
        <w:t>（</w:t>
      </w:r>
      <w:r>
        <w:rPr>
          <w:color w:val="auto"/>
          <w:highlight w:val="none"/>
        </w:rPr>
        <w:t>5</w:t>
      </w:r>
      <w:r>
        <w:rPr>
          <w:rFonts w:hint="eastAsia"/>
          <w:color w:val="auto"/>
          <w:highlight w:val="none"/>
        </w:rPr>
        <w:t>）瘟疫；</w:t>
      </w:r>
    </w:p>
    <w:p>
      <w:pPr>
        <w:pStyle w:val="20"/>
        <w:spacing w:line="400" w:lineRule="exact"/>
        <w:ind w:left="904"/>
        <w:rPr>
          <w:color w:val="auto"/>
          <w:highlight w:val="none"/>
        </w:rPr>
      </w:pPr>
      <w:r>
        <w:rPr>
          <w:rFonts w:hint="eastAsia"/>
          <w:color w:val="auto"/>
          <w:highlight w:val="none"/>
        </w:rPr>
        <w:t>（</w:t>
      </w:r>
      <w:r>
        <w:rPr>
          <w:color w:val="auto"/>
          <w:highlight w:val="none"/>
        </w:rPr>
        <w:t>6</w:t>
      </w:r>
      <w:r>
        <w:rPr>
          <w:rFonts w:hint="eastAsia"/>
          <w:color w:val="auto"/>
          <w:highlight w:val="none"/>
        </w:rPr>
        <w:t>）项目专用合同条款约定的其他情形。</w:t>
      </w:r>
    </w:p>
    <w:p>
      <w:pPr>
        <w:pStyle w:val="20"/>
        <w:spacing w:line="400" w:lineRule="exact"/>
        <w:rPr>
          <w:color w:val="auto"/>
          <w:highlight w:val="none"/>
        </w:rPr>
      </w:pPr>
    </w:p>
    <w:p>
      <w:pPr>
        <w:pStyle w:val="20"/>
        <w:spacing w:line="400" w:lineRule="exact"/>
        <w:ind w:left="424"/>
        <w:rPr>
          <w:rFonts w:ascii="黑体" w:hAnsi="黑体" w:eastAsia="黑体" w:cs="黑体"/>
          <w:color w:val="auto"/>
          <w:highlight w:val="none"/>
        </w:rPr>
      </w:pPr>
      <w:bookmarkStart w:id="2754" w:name="_bookmark246"/>
      <w:bookmarkEnd w:id="2754"/>
      <w:bookmarkStart w:id="2755" w:name="_Toc31508"/>
      <w:bookmarkStart w:id="2756" w:name="_Toc25904"/>
      <w:bookmarkStart w:id="2757" w:name="_Toc25409"/>
      <w:bookmarkStart w:id="2758" w:name="_Toc31445"/>
      <w:bookmarkStart w:id="2759" w:name="_Toc13105"/>
      <w:bookmarkStart w:id="2760" w:name="_Toc20261"/>
      <w:bookmarkStart w:id="2761" w:name="_Toc27516"/>
      <w:bookmarkStart w:id="2762" w:name="_Toc5364"/>
      <w:bookmarkStart w:id="2763" w:name="_Toc273"/>
      <w:r>
        <w:rPr>
          <w:rFonts w:hint="eastAsia" w:ascii="黑体" w:hAnsi="黑体" w:eastAsia="黑体" w:cs="黑体"/>
          <w:color w:val="auto"/>
          <w:highlight w:val="none"/>
        </w:rPr>
        <w:t>21.3不可抗力后果及其处理</w:t>
      </w:r>
      <w:bookmarkEnd w:id="2755"/>
      <w:bookmarkEnd w:id="2756"/>
      <w:bookmarkEnd w:id="2757"/>
      <w:bookmarkEnd w:id="2758"/>
      <w:bookmarkEnd w:id="2759"/>
      <w:bookmarkEnd w:id="2760"/>
      <w:bookmarkEnd w:id="2761"/>
      <w:bookmarkEnd w:id="2762"/>
      <w:bookmarkEnd w:id="2763"/>
    </w:p>
    <w:p>
      <w:pPr>
        <w:pStyle w:val="20"/>
        <w:spacing w:line="400" w:lineRule="exact"/>
        <w:rPr>
          <w:color w:val="auto"/>
          <w:highlight w:val="none"/>
        </w:rPr>
      </w:pPr>
    </w:p>
    <w:p>
      <w:pPr>
        <w:pStyle w:val="20"/>
        <w:spacing w:line="400" w:lineRule="exact"/>
        <w:ind w:left="894"/>
        <w:rPr>
          <w:color w:val="auto"/>
          <w:highlight w:val="none"/>
        </w:rPr>
      </w:pPr>
      <w:r>
        <w:rPr>
          <w:color w:val="auto"/>
          <w:highlight w:val="none"/>
        </w:rPr>
        <w:t xml:space="preserve">21.3.4 </w:t>
      </w:r>
      <w:r>
        <w:rPr>
          <w:rFonts w:hint="eastAsia"/>
          <w:color w:val="auto"/>
          <w:highlight w:val="none"/>
        </w:rPr>
        <w:t>因不可抗力解除合同</w:t>
      </w:r>
    </w:p>
    <w:p>
      <w:pPr>
        <w:pStyle w:val="20"/>
        <w:spacing w:line="400" w:lineRule="exact"/>
        <w:ind w:left="904"/>
        <w:rPr>
          <w:color w:val="auto"/>
          <w:highlight w:val="none"/>
        </w:rPr>
      </w:pPr>
      <w:r>
        <w:rPr>
          <w:rFonts w:hint="eastAsia"/>
          <w:color w:val="auto"/>
          <w:highlight w:val="none"/>
        </w:rPr>
        <w:t>本项细化为：</w:t>
      </w:r>
    </w:p>
    <w:p>
      <w:pPr>
        <w:pStyle w:val="20"/>
        <w:spacing w:line="400" w:lineRule="exact"/>
        <w:ind w:left="424" w:right="333" w:firstLine="479"/>
        <w:rPr>
          <w:color w:val="auto"/>
          <w:highlight w:val="none"/>
        </w:rPr>
      </w:pPr>
      <w:r>
        <w:rPr>
          <w:rFonts w:hint="eastAsia"/>
          <w:color w:val="auto"/>
          <w:highlight w:val="none"/>
        </w:rPr>
        <w:t xml:space="preserve">合同一方当事人因不可抗力不能履行合同的，应当及时通知对方解除合同。合同解除后，承包人应按照第 </w:t>
      </w:r>
      <w:r>
        <w:rPr>
          <w:color w:val="auto"/>
          <w:highlight w:val="none"/>
        </w:rPr>
        <w:t xml:space="preserve">22.2.5 </w:t>
      </w:r>
      <w:r>
        <w:rPr>
          <w:rFonts w:hint="eastAsia"/>
          <w:color w:val="auto"/>
          <w:highlight w:val="none"/>
        </w:rPr>
        <w:t>项约定撤离施工场地。已经订货的材料、设备由</w:t>
      </w:r>
    </w:p>
    <w:p>
      <w:pPr>
        <w:pStyle w:val="20"/>
        <w:spacing w:line="400" w:lineRule="exact"/>
        <w:rPr>
          <w:color w:val="auto"/>
          <w:highlight w:val="none"/>
        </w:rPr>
      </w:pPr>
    </w:p>
    <w:p>
      <w:pPr>
        <w:pStyle w:val="20"/>
        <w:spacing w:line="400" w:lineRule="exact"/>
        <w:ind w:left="424" w:right="266"/>
        <w:rPr>
          <w:color w:val="auto"/>
          <w:highlight w:val="none"/>
        </w:rPr>
      </w:pPr>
      <w:r>
        <w:rPr>
          <w:rFonts w:hint="eastAsia"/>
          <w:color w:val="auto"/>
          <w:highlight w:val="none"/>
        </w:rPr>
        <w:t>订货方负责退货或解除订货合同，不能退还的货款和因退货、解除订货合同发生的</w:t>
      </w:r>
      <w:r>
        <w:rPr>
          <w:rFonts w:hint="eastAsia"/>
          <w:color w:val="auto"/>
          <w:spacing w:val="-10"/>
          <w:highlight w:val="none"/>
        </w:rPr>
        <w:t xml:space="preserve">费用，由发包人承担，因未及时退货造成的损失由责任方承担。合同解除后的付款， </w:t>
      </w:r>
      <w:r>
        <w:rPr>
          <w:rFonts w:hint="eastAsia"/>
          <w:color w:val="auto"/>
          <w:spacing w:val="-17"/>
          <w:highlight w:val="none"/>
        </w:rPr>
        <w:t xml:space="preserve">参照第 </w:t>
      </w:r>
      <w:r>
        <w:rPr>
          <w:color w:val="auto"/>
          <w:highlight w:val="none"/>
        </w:rPr>
        <w:t>22.2.4</w:t>
      </w:r>
      <w:r>
        <w:rPr>
          <w:rFonts w:hint="eastAsia"/>
          <w:color w:val="auto"/>
          <w:spacing w:val="-4"/>
          <w:highlight w:val="none"/>
        </w:rPr>
        <w:t xml:space="preserve">项约定，由监理人按第 </w:t>
      </w:r>
      <w:r>
        <w:rPr>
          <w:color w:val="auto"/>
          <w:highlight w:val="none"/>
        </w:rPr>
        <w:t>3.5</w:t>
      </w:r>
      <w:r>
        <w:rPr>
          <w:rFonts w:hint="eastAsia"/>
          <w:color w:val="auto"/>
          <w:highlight w:val="none"/>
        </w:rPr>
        <w:t>款商定或确定，但由于解除合同应赔偿的承包人损失不予考虑。</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764" w:name="_bookmark247"/>
      <w:bookmarkEnd w:id="2764"/>
      <w:bookmarkStart w:id="2765" w:name="_Toc6277"/>
      <w:bookmarkStart w:id="2766" w:name="_Toc6828"/>
      <w:bookmarkStart w:id="2767" w:name="_Toc32437"/>
      <w:bookmarkStart w:id="2768" w:name="_Toc2844"/>
      <w:bookmarkStart w:id="2769" w:name="_Toc6252"/>
      <w:bookmarkStart w:id="2770" w:name="_Toc5054"/>
      <w:bookmarkStart w:id="2771" w:name="_Toc8481"/>
      <w:bookmarkStart w:id="2772" w:name="_Toc17881"/>
      <w:bookmarkStart w:id="2773" w:name="_Toc10005"/>
      <w:bookmarkStart w:id="2774" w:name="_Toc3086"/>
      <w:bookmarkStart w:id="2775" w:name="_Toc25930"/>
      <w:bookmarkStart w:id="2776" w:name="_Toc29117"/>
      <w:bookmarkStart w:id="2777" w:name="_Toc29448"/>
      <w:bookmarkStart w:id="2778" w:name="_Toc4213"/>
      <w:bookmarkStart w:id="2779" w:name="_Toc8208"/>
      <w:bookmarkStart w:id="2780" w:name="_Toc30713"/>
      <w:bookmarkStart w:id="2781" w:name="_Toc27213"/>
      <w:r>
        <w:rPr>
          <w:rFonts w:hint="eastAsia" w:ascii="黑体" w:hAnsi="黑体" w:eastAsia="黑体" w:cs="黑体"/>
          <w:color w:val="auto"/>
          <w:sz w:val="24"/>
          <w:szCs w:val="24"/>
          <w:highlight w:val="none"/>
        </w:rPr>
        <w:t>违约</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782" w:name="_bookmark248"/>
      <w:bookmarkEnd w:id="2782"/>
      <w:bookmarkStart w:id="2783" w:name="_Toc12193"/>
      <w:bookmarkStart w:id="2784" w:name="_Toc10299"/>
      <w:bookmarkStart w:id="2785" w:name="_Toc28753"/>
      <w:bookmarkStart w:id="2786" w:name="_Toc15727"/>
      <w:bookmarkStart w:id="2787" w:name="_Toc29462"/>
      <w:bookmarkStart w:id="2788" w:name="_Toc15884"/>
      <w:bookmarkStart w:id="2789" w:name="_Toc30702"/>
      <w:bookmarkStart w:id="2790" w:name="_Toc11896"/>
      <w:bookmarkStart w:id="2791" w:name="_Toc22287"/>
      <w:r>
        <w:rPr>
          <w:rFonts w:hint="eastAsia" w:ascii="黑体" w:hAnsi="黑体" w:eastAsia="黑体" w:cs="黑体"/>
          <w:color w:val="auto"/>
          <w:sz w:val="24"/>
          <w:szCs w:val="24"/>
          <w:highlight w:val="none"/>
        </w:rPr>
        <w:t>承包人违约</w:t>
      </w:r>
      <w:bookmarkEnd w:id="2783"/>
      <w:bookmarkEnd w:id="2784"/>
      <w:bookmarkEnd w:id="2785"/>
      <w:bookmarkEnd w:id="2786"/>
      <w:bookmarkEnd w:id="2787"/>
      <w:bookmarkEnd w:id="2788"/>
      <w:bookmarkEnd w:id="2789"/>
      <w:bookmarkEnd w:id="2790"/>
      <w:bookmarkEnd w:id="2791"/>
    </w:p>
    <w:p>
      <w:pPr>
        <w:pStyle w:val="20"/>
        <w:spacing w:line="400" w:lineRule="exact"/>
        <w:rPr>
          <w:color w:val="auto"/>
          <w:highlight w:val="none"/>
        </w:rPr>
      </w:pPr>
    </w:p>
    <w:p>
      <w:pPr>
        <w:pStyle w:val="86"/>
        <w:numPr>
          <w:ilvl w:val="2"/>
          <w:numId w:val="35"/>
        </w:numPr>
        <w:tabs>
          <w:tab w:val="left" w:pos="1625"/>
        </w:tabs>
        <w:spacing w:line="400" w:lineRule="exact"/>
        <w:rPr>
          <w:color w:val="auto"/>
          <w:sz w:val="24"/>
          <w:szCs w:val="24"/>
          <w:highlight w:val="none"/>
        </w:rPr>
      </w:pPr>
      <w:r>
        <w:rPr>
          <w:rFonts w:hint="eastAsia"/>
          <w:color w:val="auto"/>
          <w:sz w:val="24"/>
          <w:szCs w:val="24"/>
          <w:highlight w:val="none"/>
        </w:rPr>
        <w:t>承包人违约的情形</w:t>
      </w:r>
    </w:p>
    <w:p>
      <w:pPr>
        <w:pStyle w:val="20"/>
        <w:spacing w:line="400" w:lineRule="exact"/>
        <w:ind w:left="904"/>
        <w:rPr>
          <w:color w:val="auto"/>
          <w:highlight w:val="none"/>
        </w:rPr>
      </w:pPr>
      <w:r>
        <w:rPr>
          <w:rFonts w:hint="eastAsia"/>
          <w:color w:val="auto"/>
          <w:highlight w:val="none"/>
        </w:rPr>
        <w:t>本项（</w:t>
      </w:r>
      <w:r>
        <w:rPr>
          <w:color w:val="auto"/>
          <w:highlight w:val="none"/>
        </w:rPr>
        <w:t>2</w:t>
      </w:r>
      <w:r>
        <w:rPr>
          <w:rFonts w:hint="eastAsia"/>
          <w:color w:val="auto"/>
          <w:highlight w:val="none"/>
        </w:rPr>
        <w:t>）目细化为：</w:t>
      </w:r>
    </w:p>
    <w:p>
      <w:pPr>
        <w:pStyle w:val="20"/>
        <w:spacing w:line="400" w:lineRule="exact"/>
        <w:ind w:left="424" w:right="303" w:firstLine="479"/>
        <w:rPr>
          <w:color w:val="auto"/>
          <w:highlight w:val="none"/>
        </w:rPr>
      </w:pPr>
      <w:r>
        <w:rPr>
          <w:rFonts w:hint="eastAsia"/>
          <w:color w:val="auto"/>
          <w:highlight w:val="none"/>
        </w:rPr>
        <w:t>（</w:t>
      </w:r>
      <w:r>
        <w:rPr>
          <w:color w:val="auto"/>
          <w:highlight w:val="none"/>
        </w:rPr>
        <w:t>2</w:t>
      </w:r>
      <w:r>
        <w:rPr>
          <w:rFonts w:hint="eastAsia"/>
          <w:color w:val="auto"/>
          <w:highlight w:val="none"/>
        </w:rPr>
        <w:t xml:space="preserve">）承包人违反第 </w:t>
      </w:r>
      <w:r>
        <w:rPr>
          <w:color w:val="auto"/>
          <w:highlight w:val="none"/>
        </w:rPr>
        <w:t xml:space="preserve">5.3 </w:t>
      </w:r>
      <w:r>
        <w:rPr>
          <w:rFonts w:hint="eastAsia"/>
          <w:color w:val="auto"/>
          <w:highlight w:val="none"/>
        </w:rPr>
        <w:t xml:space="preserve">款或第 </w:t>
      </w:r>
      <w:r>
        <w:rPr>
          <w:color w:val="auto"/>
          <w:highlight w:val="none"/>
        </w:rPr>
        <w:t xml:space="preserve">6.4 </w:t>
      </w:r>
      <w:r>
        <w:rPr>
          <w:rFonts w:hint="eastAsia"/>
          <w:color w:val="auto"/>
          <w:highlight w:val="none"/>
        </w:rPr>
        <w:t>款的约定，未经监理人批准，私自将已按合同约定进入施工场地的施工设备、临时设施、材料或工程设备撤离施工场地；</w:t>
      </w:r>
    </w:p>
    <w:p>
      <w:pPr>
        <w:pStyle w:val="20"/>
        <w:spacing w:line="400" w:lineRule="exact"/>
        <w:ind w:left="904"/>
        <w:rPr>
          <w:color w:val="auto"/>
          <w:highlight w:val="none"/>
        </w:rPr>
      </w:pPr>
      <w:r>
        <w:rPr>
          <w:rFonts w:hint="eastAsia"/>
          <w:color w:val="auto"/>
          <w:highlight w:val="none"/>
        </w:rPr>
        <w:t>本项（</w:t>
      </w:r>
      <w:r>
        <w:rPr>
          <w:color w:val="auto"/>
          <w:highlight w:val="none"/>
        </w:rPr>
        <w:t>7</w:t>
      </w:r>
      <w:r>
        <w:rPr>
          <w:rFonts w:hint="eastAsia"/>
          <w:color w:val="auto"/>
          <w:highlight w:val="none"/>
        </w:rPr>
        <w:t>）目细化为：</w:t>
      </w:r>
    </w:p>
    <w:p>
      <w:pPr>
        <w:pStyle w:val="20"/>
        <w:spacing w:line="400" w:lineRule="exact"/>
        <w:ind w:left="904"/>
        <w:rPr>
          <w:color w:val="auto"/>
          <w:highlight w:val="none"/>
        </w:rPr>
      </w:pPr>
      <w:r>
        <w:rPr>
          <w:rFonts w:hint="eastAsia"/>
          <w:color w:val="auto"/>
          <w:highlight w:val="none"/>
        </w:rPr>
        <w:t>（</w:t>
      </w:r>
      <w:r>
        <w:rPr>
          <w:color w:val="auto"/>
          <w:highlight w:val="none"/>
        </w:rPr>
        <w:t>7</w:t>
      </w:r>
      <w:r>
        <w:rPr>
          <w:rFonts w:hint="eastAsia"/>
          <w:color w:val="auto"/>
          <w:highlight w:val="none"/>
        </w:rPr>
        <w:t>）承包人未能按期开工；</w:t>
      </w:r>
    </w:p>
    <w:p>
      <w:pPr>
        <w:pStyle w:val="20"/>
        <w:spacing w:line="400" w:lineRule="exact"/>
        <w:ind w:left="424" w:right="303" w:firstLine="479"/>
        <w:rPr>
          <w:color w:val="auto"/>
          <w:highlight w:val="none"/>
        </w:rPr>
      </w:pPr>
      <w:r>
        <w:rPr>
          <w:rFonts w:hint="eastAsia"/>
          <w:color w:val="auto"/>
          <w:highlight w:val="none"/>
        </w:rPr>
        <w:t>（</w:t>
      </w:r>
      <w:r>
        <w:rPr>
          <w:color w:val="auto"/>
          <w:highlight w:val="none"/>
        </w:rPr>
        <w:t>8</w:t>
      </w:r>
      <w:r>
        <w:rPr>
          <w:rFonts w:hint="eastAsia"/>
          <w:color w:val="auto"/>
          <w:highlight w:val="none"/>
        </w:rPr>
        <w:t xml:space="preserve">）承包人违反第 </w:t>
      </w:r>
      <w:r>
        <w:rPr>
          <w:color w:val="auto"/>
          <w:highlight w:val="none"/>
        </w:rPr>
        <w:t xml:space="preserve">4.6 </w:t>
      </w:r>
      <w:r>
        <w:rPr>
          <w:rFonts w:hint="eastAsia"/>
          <w:color w:val="auto"/>
          <w:highlight w:val="none"/>
        </w:rPr>
        <w:t xml:space="preserve">款或第 </w:t>
      </w:r>
      <w:r>
        <w:rPr>
          <w:color w:val="auto"/>
          <w:highlight w:val="none"/>
        </w:rPr>
        <w:t xml:space="preserve">6.3 </w:t>
      </w:r>
      <w:r>
        <w:rPr>
          <w:rFonts w:hint="eastAsia"/>
          <w:color w:val="auto"/>
          <w:highlight w:val="none"/>
        </w:rPr>
        <w:t>款的规定，未按承诺或未按监理人的要求及时配备称职的主要管理人员、技术骨干或关键施工设备；</w:t>
      </w:r>
    </w:p>
    <w:p>
      <w:pPr>
        <w:pStyle w:val="20"/>
        <w:spacing w:line="400" w:lineRule="exact"/>
        <w:ind w:left="424" w:right="306" w:firstLine="479"/>
        <w:rPr>
          <w:color w:val="auto"/>
          <w:highlight w:val="none"/>
        </w:rPr>
      </w:pPr>
      <w:r>
        <w:rPr>
          <w:rFonts w:hint="eastAsia"/>
          <w:color w:val="auto"/>
          <w:highlight w:val="none"/>
        </w:rPr>
        <w:t>（</w:t>
      </w:r>
      <w:r>
        <w:rPr>
          <w:color w:val="auto"/>
          <w:highlight w:val="none"/>
        </w:rPr>
        <w:t>9</w:t>
      </w:r>
      <w:r>
        <w:rPr>
          <w:rFonts w:hint="eastAsia"/>
          <w:color w:val="auto"/>
          <w:highlight w:val="none"/>
        </w:rPr>
        <w:t>）经监理人和发包人检查，发现承包人有安全问题或有违反安全管理规章制度的情况；</w:t>
      </w:r>
    </w:p>
    <w:p>
      <w:pPr>
        <w:pStyle w:val="20"/>
        <w:spacing w:line="400" w:lineRule="exact"/>
        <w:ind w:left="904"/>
        <w:rPr>
          <w:color w:val="auto"/>
          <w:highlight w:val="none"/>
        </w:rPr>
      </w:pPr>
      <w:r>
        <w:rPr>
          <w:rFonts w:hint="eastAsia"/>
          <w:color w:val="auto"/>
          <w:highlight w:val="none"/>
        </w:rPr>
        <w:t>（</w:t>
      </w:r>
      <w:r>
        <w:rPr>
          <w:color w:val="auto"/>
          <w:highlight w:val="none"/>
        </w:rPr>
        <w:t>10</w:t>
      </w:r>
      <w:r>
        <w:rPr>
          <w:rFonts w:hint="eastAsia"/>
          <w:color w:val="auto"/>
          <w:highlight w:val="none"/>
        </w:rPr>
        <w:t>）承包人不按合同约定履行义务的其他情况。</w:t>
      </w:r>
    </w:p>
    <w:p>
      <w:pPr>
        <w:pStyle w:val="86"/>
        <w:numPr>
          <w:ilvl w:val="2"/>
          <w:numId w:val="35"/>
        </w:numPr>
        <w:tabs>
          <w:tab w:val="left" w:pos="1615"/>
        </w:tabs>
        <w:spacing w:line="400" w:lineRule="exact"/>
        <w:ind w:left="1614"/>
        <w:rPr>
          <w:color w:val="auto"/>
          <w:sz w:val="24"/>
          <w:szCs w:val="24"/>
          <w:highlight w:val="none"/>
        </w:rPr>
      </w:pPr>
      <w:r>
        <w:rPr>
          <w:rFonts w:hint="eastAsia"/>
          <w:color w:val="auto"/>
          <w:sz w:val="24"/>
          <w:szCs w:val="24"/>
          <w:highlight w:val="none"/>
        </w:rPr>
        <w:t>对承包人违约的处理</w:t>
      </w:r>
    </w:p>
    <w:p>
      <w:pPr>
        <w:pStyle w:val="20"/>
        <w:spacing w:line="400" w:lineRule="exact"/>
        <w:ind w:left="904"/>
        <w:rPr>
          <w:color w:val="auto"/>
          <w:highlight w:val="none"/>
        </w:rPr>
      </w:pPr>
      <w:r>
        <w:rPr>
          <w:rFonts w:hint="eastAsia"/>
          <w:color w:val="auto"/>
          <w:highlight w:val="none"/>
        </w:rPr>
        <w:t>本项补充：</w:t>
      </w:r>
    </w:p>
    <w:p>
      <w:pPr>
        <w:pStyle w:val="20"/>
        <w:spacing w:line="400" w:lineRule="exact"/>
        <w:ind w:left="424" w:right="384" w:firstLine="479"/>
        <w:rPr>
          <w:color w:val="auto"/>
          <w:highlight w:val="none"/>
        </w:rPr>
      </w:pPr>
      <w:r>
        <w:rPr>
          <w:rFonts w:hint="eastAsia"/>
          <w:color w:val="auto"/>
          <w:spacing w:val="-10"/>
          <w:highlight w:val="none"/>
        </w:rPr>
        <w:t>（</w:t>
      </w:r>
      <w:r>
        <w:rPr>
          <w:color w:val="auto"/>
          <w:spacing w:val="-10"/>
          <w:highlight w:val="none"/>
        </w:rPr>
        <w:t>4</w:t>
      </w:r>
      <w:r>
        <w:rPr>
          <w:rFonts w:hint="eastAsia"/>
          <w:color w:val="auto"/>
          <w:spacing w:val="-10"/>
          <w:highlight w:val="none"/>
        </w:rPr>
        <w:t>）</w:t>
      </w:r>
      <w:r>
        <w:rPr>
          <w:rFonts w:hint="eastAsia"/>
          <w:color w:val="auto"/>
          <w:spacing w:val="-9"/>
          <w:highlight w:val="none"/>
        </w:rPr>
        <w:t xml:space="preserve">承包人发生第 </w:t>
      </w:r>
      <w:r>
        <w:rPr>
          <w:color w:val="auto"/>
          <w:highlight w:val="none"/>
        </w:rPr>
        <w:t xml:space="preserve">22.1.1 </w:t>
      </w:r>
      <w:r>
        <w:rPr>
          <w:rFonts w:hint="eastAsia"/>
          <w:color w:val="auto"/>
          <w:spacing w:val="-5"/>
          <w:highlight w:val="none"/>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pPr>
        <w:pStyle w:val="20"/>
        <w:spacing w:line="400" w:lineRule="exact"/>
        <w:rPr>
          <w:color w:val="auto"/>
          <w:highlight w:val="none"/>
        </w:rPr>
      </w:pPr>
    </w:p>
    <w:p>
      <w:pPr>
        <w:pStyle w:val="86"/>
        <w:numPr>
          <w:ilvl w:val="1"/>
          <w:numId w:val="35"/>
        </w:numPr>
        <w:tabs>
          <w:tab w:val="left" w:pos="965"/>
        </w:tabs>
        <w:spacing w:line="400" w:lineRule="exact"/>
        <w:ind w:left="964" w:hanging="540"/>
        <w:jc w:val="left"/>
        <w:rPr>
          <w:rFonts w:ascii="黑体" w:hAnsi="黑体" w:eastAsia="黑体" w:cs="黑体"/>
          <w:color w:val="auto"/>
          <w:sz w:val="24"/>
          <w:szCs w:val="24"/>
          <w:highlight w:val="none"/>
        </w:rPr>
      </w:pPr>
      <w:bookmarkStart w:id="2792" w:name="_bookmark249"/>
      <w:bookmarkEnd w:id="2792"/>
      <w:bookmarkStart w:id="2793" w:name="_Toc24280"/>
      <w:bookmarkStart w:id="2794" w:name="_Toc21219"/>
      <w:bookmarkStart w:id="2795" w:name="_Toc25650"/>
      <w:bookmarkStart w:id="2796" w:name="_Toc31496"/>
      <w:bookmarkStart w:id="2797" w:name="_Toc14753"/>
      <w:bookmarkStart w:id="2798" w:name="_Toc3317"/>
      <w:bookmarkStart w:id="2799" w:name="_Toc7762"/>
      <w:bookmarkStart w:id="2800" w:name="_Toc26410"/>
      <w:bookmarkStart w:id="2801" w:name="_Toc26804"/>
      <w:r>
        <w:rPr>
          <w:rFonts w:hint="eastAsia" w:ascii="黑体" w:hAnsi="黑体" w:eastAsia="黑体" w:cs="黑体"/>
          <w:color w:val="auto"/>
          <w:sz w:val="24"/>
          <w:szCs w:val="24"/>
          <w:highlight w:val="none"/>
        </w:rPr>
        <w:t>发包人违约</w:t>
      </w:r>
      <w:bookmarkEnd w:id="2793"/>
      <w:bookmarkEnd w:id="2794"/>
      <w:bookmarkEnd w:id="2795"/>
      <w:bookmarkEnd w:id="2796"/>
      <w:bookmarkEnd w:id="2797"/>
      <w:bookmarkEnd w:id="2798"/>
      <w:bookmarkEnd w:id="2799"/>
      <w:bookmarkEnd w:id="2800"/>
      <w:bookmarkEnd w:id="2801"/>
    </w:p>
    <w:p>
      <w:pPr>
        <w:pStyle w:val="20"/>
        <w:spacing w:line="400" w:lineRule="exact"/>
        <w:rPr>
          <w:color w:val="auto"/>
          <w:highlight w:val="none"/>
        </w:rPr>
      </w:pPr>
    </w:p>
    <w:p>
      <w:pPr>
        <w:pStyle w:val="86"/>
        <w:numPr>
          <w:ilvl w:val="2"/>
          <w:numId w:val="35"/>
        </w:numPr>
        <w:tabs>
          <w:tab w:val="left" w:pos="1565"/>
        </w:tabs>
        <w:spacing w:line="400" w:lineRule="exact"/>
        <w:ind w:left="1564" w:hanging="660"/>
        <w:rPr>
          <w:color w:val="auto"/>
          <w:sz w:val="24"/>
          <w:szCs w:val="24"/>
          <w:highlight w:val="none"/>
        </w:rPr>
      </w:pPr>
      <w:r>
        <w:rPr>
          <w:rFonts w:hint="eastAsia"/>
          <w:color w:val="auto"/>
          <w:sz w:val="24"/>
          <w:szCs w:val="24"/>
          <w:highlight w:val="none"/>
        </w:rPr>
        <w:t>发包人违约的情形</w:t>
      </w:r>
    </w:p>
    <w:p>
      <w:pPr>
        <w:pStyle w:val="20"/>
        <w:spacing w:line="400" w:lineRule="exact"/>
        <w:ind w:left="904"/>
        <w:rPr>
          <w:color w:val="auto"/>
          <w:highlight w:val="none"/>
        </w:rPr>
      </w:pPr>
      <w:r>
        <w:rPr>
          <w:rFonts w:hint="eastAsia"/>
          <w:color w:val="auto"/>
          <w:highlight w:val="none"/>
        </w:rPr>
        <w:t>本项（</w:t>
      </w:r>
      <w:r>
        <w:rPr>
          <w:color w:val="auto"/>
          <w:highlight w:val="none"/>
        </w:rPr>
        <w:t>5</w:t>
      </w:r>
      <w:r>
        <w:rPr>
          <w:rFonts w:hint="eastAsia"/>
          <w:color w:val="auto"/>
          <w:highlight w:val="none"/>
        </w:rPr>
        <w:t>）目细化为：</w:t>
      </w:r>
    </w:p>
    <w:p>
      <w:pPr>
        <w:pStyle w:val="20"/>
        <w:spacing w:line="400" w:lineRule="exact"/>
        <w:ind w:left="424" w:right="306" w:firstLine="479"/>
        <w:rPr>
          <w:color w:val="auto"/>
          <w:highlight w:val="none"/>
        </w:rPr>
      </w:pPr>
      <w:r>
        <w:rPr>
          <w:rFonts w:hint="eastAsia"/>
          <w:color w:val="auto"/>
          <w:highlight w:val="none"/>
        </w:rPr>
        <w:t>（</w:t>
      </w:r>
      <w:r>
        <w:rPr>
          <w:color w:val="auto"/>
          <w:highlight w:val="none"/>
        </w:rPr>
        <w:t>5</w:t>
      </w:r>
      <w:r>
        <w:rPr>
          <w:rFonts w:hint="eastAsia"/>
          <w:color w:val="auto"/>
          <w:highlight w:val="none"/>
        </w:rPr>
        <w:t>）发包人无正当理由不按时返还履约保证金、质量保证金或农民工工资保证金的；</w:t>
      </w:r>
    </w:p>
    <w:p>
      <w:pPr>
        <w:pStyle w:val="20"/>
        <w:spacing w:line="400" w:lineRule="exact"/>
        <w:ind w:left="904"/>
        <w:rPr>
          <w:color w:val="auto"/>
          <w:highlight w:val="none"/>
        </w:rPr>
      </w:pPr>
      <w:r>
        <w:rPr>
          <w:rFonts w:hint="eastAsia"/>
          <w:color w:val="auto"/>
          <w:highlight w:val="none"/>
        </w:rPr>
        <w:t>（</w:t>
      </w:r>
      <w:r>
        <w:rPr>
          <w:color w:val="auto"/>
          <w:highlight w:val="none"/>
        </w:rPr>
        <w:t>6</w:t>
      </w:r>
      <w:r>
        <w:rPr>
          <w:rFonts w:hint="eastAsia"/>
          <w:color w:val="auto"/>
          <w:highlight w:val="none"/>
        </w:rPr>
        <w:t>）发包人不履行合同约定其他义务的。</w:t>
      </w:r>
    </w:p>
    <w:p>
      <w:pPr>
        <w:pStyle w:val="86"/>
        <w:numPr>
          <w:ilvl w:val="2"/>
          <w:numId w:val="35"/>
        </w:numPr>
        <w:tabs>
          <w:tab w:val="left" w:pos="1615"/>
        </w:tabs>
        <w:spacing w:line="400" w:lineRule="exact"/>
        <w:ind w:left="1614"/>
        <w:rPr>
          <w:color w:val="auto"/>
          <w:sz w:val="24"/>
          <w:szCs w:val="24"/>
          <w:highlight w:val="none"/>
        </w:rPr>
      </w:pPr>
      <w:r>
        <w:rPr>
          <w:rFonts w:hint="eastAsia"/>
          <w:color w:val="auto"/>
          <w:sz w:val="24"/>
          <w:szCs w:val="24"/>
          <w:highlight w:val="none"/>
        </w:rPr>
        <w:t>承包人有权暂停施工</w:t>
      </w:r>
    </w:p>
    <w:p>
      <w:pPr>
        <w:pStyle w:val="20"/>
        <w:spacing w:line="400" w:lineRule="exact"/>
        <w:ind w:left="894"/>
        <w:rPr>
          <w:color w:val="auto"/>
          <w:highlight w:val="none"/>
        </w:rPr>
      </w:pPr>
      <w:r>
        <w:rPr>
          <w:rFonts w:hint="eastAsia"/>
          <w:color w:val="auto"/>
          <w:highlight w:val="none"/>
        </w:rPr>
        <w:t>本项细化为：</w:t>
      </w:r>
    </w:p>
    <w:p>
      <w:pPr>
        <w:pStyle w:val="20"/>
        <w:spacing w:line="400" w:lineRule="exact"/>
        <w:ind w:left="424" w:right="381" w:firstLine="470"/>
        <w:rPr>
          <w:color w:val="auto"/>
          <w:highlight w:val="none"/>
        </w:rPr>
      </w:pPr>
      <w:r>
        <w:rPr>
          <w:rFonts w:hint="eastAsia"/>
          <w:color w:val="auto"/>
          <w:highlight w:val="none"/>
        </w:rPr>
        <w:t xml:space="preserve">发包人发生除第 </w:t>
      </w:r>
      <w:r>
        <w:rPr>
          <w:color w:val="auto"/>
          <w:highlight w:val="none"/>
        </w:rPr>
        <w:t>22.2.1</w:t>
      </w:r>
      <w:r>
        <w:rPr>
          <w:rFonts w:hint="eastAsia"/>
          <w:color w:val="auto"/>
          <w:spacing w:val="1"/>
          <w:highlight w:val="none"/>
        </w:rPr>
        <w:t>（</w:t>
      </w:r>
      <w:r>
        <w:rPr>
          <w:color w:val="auto"/>
          <w:spacing w:val="1"/>
          <w:highlight w:val="none"/>
        </w:rPr>
        <w:t>4</w:t>
      </w:r>
      <w:r>
        <w:rPr>
          <w:rFonts w:hint="eastAsia"/>
          <w:color w:val="auto"/>
          <w:spacing w:val="-120"/>
          <w:highlight w:val="none"/>
        </w:rPr>
        <w:t>）</w:t>
      </w:r>
      <w:r>
        <w:rPr>
          <w:rFonts w:hint="eastAsia"/>
          <w:color w:val="auto"/>
          <w:spacing w:val="-118"/>
          <w:highlight w:val="none"/>
        </w:rPr>
        <w:t>、</w:t>
      </w:r>
      <w:r>
        <w:rPr>
          <w:rFonts w:hint="eastAsia"/>
          <w:color w:val="auto"/>
          <w:highlight w:val="none"/>
        </w:rPr>
        <w:t>（</w:t>
      </w:r>
      <w:r>
        <w:rPr>
          <w:color w:val="auto"/>
          <w:spacing w:val="1"/>
          <w:highlight w:val="none"/>
        </w:rPr>
        <w:t>5</w:t>
      </w:r>
      <w:r>
        <w:rPr>
          <w:rFonts w:hint="eastAsia"/>
          <w:color w:val="auto"/>
          <w:spacing w:val="1"/>
          <w:highlight w:val="none"/>
        </w:rPr>
        <w:t>）</w:t>
      </w:r>
      <w:r>
        <w:rPr>
          <w:rFonts w:hint="eastAsia"/>
          <w:color w:val="auto"/>
          <w:highlight w:val="none"/>
        </w:rPr>
        <w:t>目以外的违约情况时，承包人可向发包人发</w:t>
      </w:r>
      <w:r>
        <w:rPr>
          <w:rFonts w:hint="eastAsia"/>
          <w:color w:val="auto"/>
          <w:spacing w:val="-11"/>
          <w:highlight w:val="none"/>
        </w:rPr>
        <w:t xml:space="preserve">出通知，要求发包人采取有效措施纠正违约行为。发包人收到承包人通知后的 </w:t>
      </w:r>
      <w:r>
        <w:rPr>
          <w:color w:val="auto"/>
          <w:highlight w:val="none"/>
        </w:rPr>
        <w:t xml:space="preserve">28 </w:t>
      </w:r>
      <w:r>
        <w:rPr>
          <w:rFonts w:hint="eastAsia"/>
          <w:color w:val="auto"/>
          <w:highlight w:val="none"/>
        </w:rPr>
        <w:t>天内仍不履行合同义务，承包人有权暂停施工，并通知监理人，发包人应承担由此增加的费用和（或）工期延误，并支付承包人合理利润。</w:t>
      </w:r>
    </w:p>
    <w:p>
      <w:pPr>
        <w:pStyle w:val="20"/>
        <w:spacing w:line="400" w:lineRule="exact"/>
        <w:ind w:left="424" w:right="382" w:firstLine="470"/>
        <w:rPr>
          <w:color w:val="auto"/>
          <w:highlight w:val="none"/>
        </w:rPr>
      </w:pPr>
      <w:r>
        <w:rPr>
          <w:rFonts w:hint="eastAsia"/>
          <w:color w:val="auto"/>
          <w:spacing w:val="-10"/>
          <w:highlight w:val="none"/>
        </w:rPr>
        <w:t xml:space="preserve">发包人发生第 </w:t>
      </w:r>
      <w:r>
        <w:rPr>
          <w:color w:val="auto"/>
          <w:highlight w:val="none"/>
        </w:rPr>
        <w:t>22.2.1</w:t>
      </w:r>
      <w:r>
        <w:rPr>
          <w:rFonts w:hint="eastAsia"/>
          <w:color w:val="auto"/>
          <w:highlight w:val="none"/>
        </w:rPr>
        <w:t>（</w:t>
      </w:r>
      <w:r>
        <w:rPr>
          <w:color w:val="auto"/>
          <w:highlight w:val="none"/>
        </w:rPr>
        <w:t>5</w:t>
      </w:r>
      <w:r>
        <w:rPr>
          <w:rFonts w:hint="eastAsia"/>
          <w:color w:val="auto"/>
          <w:highlight w:val="none"/>
        </w:rPr>
        <w:t>）</w:t>
      </w:r>
      <w:r>
        <w:rPr>
          <w:rFonts w:hint="eastAsia"/>
          <w:color w:val="auto"/>
          <w:spacing w:val="-2"/>
          <w:highlight w:val="none"/>
        </w:rPr>
        <w:t>目的违约情况时，承包人可向发包人发出通知，要求</w:t>
      </w:r>
      <w:r>
        <w:rPr>
          <w:rFonts w:hint="eastAsia"/>
          <w:color w:val="auto"/>
          <w:spacing w:val="-10"/>
          <w:highlight w:val="none"/>
        </w:rPr>
        <w:t xml:space="preserve">发包人采取有效措施纠正违约行为。发包人收到承包人通知后的 </w:t>
      </w:r>
      <w:r>
        <w:rPr>
          <w:color w:val="auto"/>
          <w:highlight w:val="none"/>
        </w:rPr>
        <w:t xml:space="preserve">28 </w:t>
      </w:r>
      <w:r>
        <w:rPr>
          <w:rFonts w:hint="eastAsia"/>
          <w:color w:val="auto"/>
          <w:highlight w:val="none"/>
        </w:rPr>
        <w:t>天内仍不返还履约保证金、质量保证金或农民工工资保证金的，发包人应按项目专用合同条款的约定向承包人支付逾期返还保证金的违约金。</w:t>
      </w:r>
    </w:p>
    <w:p>
      <w:pPr>
        <w:pStyle w:val="20"/>
        <w:spacing w:line="400" w:lineRule="exact"/>
        <w:ind w:left="894"/>
        <w:rPr>
          <w:color w:val="auto"/>
          <w:highlight w:val="none"/>
        </w:rPr>
      </w:pPr>
      <w:r>
        <w:rPr>
          <w:color w:val="auto"/>
          <w:highlight w:val="none"/>
        </w:rPr>
        <w:t xml:space="preserve">22.2.4 </w:t>
      </w:r>
      <w:r>
        <w:rPr>
          <w:rFonts w:hint="eastAsia"/>
          <w:color w:val="auto"/>
          <w:highlight w:val="none"/>
        </w:rPr>
        <w:t>解除合同后的付款</w:t>
      </w:r>
    </w:p>
    <w:p>
      <w:pPr>
        <w:pStyle w:val="20"/>
        <w:spacing w:line="400" w:lineRule="exact"/>
        <w:ind w:left="904"/>
        <w:rPr>
          <w:color w:val="auto"/>
          <w:highlight w:val="none"/>
        </w:rPr>
      </w:pPr>
      <w:r>
        <w:rPr>
          <w:rFonts w:hint="eastAsia"/>
          <w:color w:val="auto"/>
          <w:highlight w:val="none"/>
        </w:rPr>
        <w:t>本项（</w:t>
      </w:r>
      <w:r>
        <w:rPr>
          <w:color w:val="auto"/>
          <w:highlight w:val="none"/>
        </w:rPr>
        <w:t>2</w:t>
      </w:r>
      <w:r>
        <w:rPr>
          <w:rFonts w:hint="eastAsia"/>
          <w:color w:val="auto"/>
          <w:highlight w:val="none"/>
        </w:rPr>
        <w:t>）目细化为：</w:t>
      </w:r>
    </w:p>
    <w:p>
      <w:pPr>
        <w:pStyle w:val="20"/>
        <w:spacing w:line="400" w:lineRule="exact"/>
        <w:ind w:left="424" w:right="301" w:firstLine="479"/>
        <w:rPr>
          <w:color w:val="auto"/>
          <w:highlight w:val="none"/>
        </w:rPr>
      </w:pPr>
      <w:r>
        <w:rPr>
          <w:rFonts w:hint="eastAsia"/>
          <w:color w:val="auto"/>
          <w:highlight w:val="none"/>
        </w:rPr>
        <w:t>（</w:t>
      </w:r>
      <w:r>
        <w:rPr>
          <w:color w:val="auto"/>
          <w:highlight w:val="none"/>
        </w:rPr>
        <w:t>2</w:t>
      </w:r>
      <w:r>
        <w:rPr>
          <w:rFonts w:hint="eastAsia"/>
          <w:color w:val="auto"/>
          <w:highlight w:val="none"/>
        </w:rPr>
        <w:t>）承包人为该工程施工订购并已付款的材料、工程设备和其他物品的金额。发包人付款后，该材料、工程设备和其他物品归发包人所有；</w:t>
      </w:r>
    </w:p>
    <w:p>
      <w:pPr>
        <w:pStyle w:val="20"/>
        <w:spacing w:line="400" w:lineRule="exact"/>
        <w:rPr>
          <w:color w:val="auto"/>
          <w:highlight w:val="none"/>
        </w:rPr>
      </w:pP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802" w:name="_bookmark250"/>
      <w:bookmarkEnd w:id="2802"/>
      <w:bookmarkStart w:id="2803" w:name="_Toc19048"/>
      <w:bookmarkStart w:id="2804" w:name="_Toc16109"/>
      <w:bookmarkStart w:id="2805" w:name="_Toc27908"/>
      <w:bookmarkStart w:id="2806" w:name="_Toc26751"/>
      <w:bookmarkStart w:id="2807" w:name="_Toc18393"/>
      <w:bookmarkStart w:id="2808" w:name="_Toc25983"/>
      <w:bookmarkStart w:id="2809" w:name="_Toc4080"/>
      <w:bookmarkStart w:id="2810" w:name="_Toc24462"/>
      <w:bookmarkStart w:id="2811" w:name="_Toc10581"/>
      <w:bookmarkStart w:id="2812" w:name="_Toc23102"/>
      <w:bookmarkStart w:id="2813" w:name="_Toc22283"/>
      <w:bookmarkStart w:id="2814" w:name="_Toc7144"/>
      <w:bookmarkStart w:id="2815" w:name="_Toc31875"/>
      <w:bookmarkStart w:id="2816" w:name="_Toc22119"/>
      <w:bookmarkStart w:id="2817" w:name="_Toc31486"/>
      <w:bookmarkStart w:id="2818" w:name="_Toc13719"/>
      <w:bookmarkStart w:id="2819" w:name="_Toc24164"/>
      <w:r>
        <w:rPr>
          <w:rFonts w:hint="eastAsia" w:ascii="黑体" w:hAnsi="黑体" w:eastAsia="黑体" w:cs="黑体"/>
          <w:color w:val="auto"/>
          <w:sz w:val="24"/>
          <w:szCs w:val="24"/>
          <w:highlight w:val="none"/>
        </w:rPr>
        <w:t>索赔</w:t>
      </w:r>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p>
    <w:p>
      <w:pPr>
        <w:pStyle w:val="20"/>
        <w:spacing w:line="400" w:lineRule="exact"/>
        <w:rPr>
          <w:rFonts w:ascii="黑体" w:hAnsi="黑体" w:eastAsia="黑体" w:cs="黑体"/>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820" w:name="_bookmark251"/>
      <w:bookmarkEnd w:id="2820"/>
      <w:bookmarkStart w:id="2821" w:name="_Toc9653"/>
      <w:bookmarkStart w:id="2822" w:name="_Toc32757"/>
      <w:bookmarkStart w:id="2823" w:name="_Toc7312"/>
      <w:bookmarkStart w:id="2824" w:name="_Toc27744"/>
      <w:bookmarkStart w:id="2825" w:name="_Toc25677"/>
      <w:bookmarkStart w:id="2826" w:name="_Toc15337"/>
      <w:bookmarkStart w:id="2827" w:name="_Toc22060"/>
      <w:bookmarkStart w:id="2828" w:name="_Toc9507"/>
      <w:bookmarkStart w:id="2829" w:name="_Toc6238"/>
      <w:r>
        <w:rPr>
          <w:rFonts w:hint="eastAsia" w:ascii="黑体" w:hAnsi="黑体" w:eastAsia="黑体" w:cs="黑体"/>
          <w:color w:val="auto"/>
          <w:sz w:val="24"/>
          <w:szCs w:val="24"/>
          <w:highlight w:val="none"/>
        </w:rPr>
        <w:t>承包人索赔的提出</w:t>
      </w:r>
      <w:bookmarkEnd w:id="2821"/>
      <w:bookmarkEnd w:id="2822"/>
      <w:bookmarkEnd w:id="2823"/>
      <w:bookmarkEnd w:id="2824"/>
      <w:bookmarkEnd w:id="2825"/>
      <w:bookmarkEnd w:id="2826"/>
      <w:bookmarkEnd w:id="2827"/>
      <w:bookmarkEnd w:id="2828"/>
      <w:bookmarkEnd w:id="2829"/>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本款第（</w:t>
      </w:r>
      <w:r>
        <w:rPr>
          <w:color w:val="auto"/>
          <w:highlight w:val="none"/>
        </w:rPr>
        <w:t>4</w:t>
      </w:r>
      <w:r>
        <w:rPr>
          <w:rFonts w:hint="eastAsia"/>
          <w:color w:val="auto"/>
          <w:highlight w:val="none"/>
        </w:rPr>
        <w:t>）项细化为：</w:t>
      </w:r>
    </w:p>
    <w:p>
      <w:pPr>
        <w:pStyle w:val="20"/>
        <w:spacing w:line="400" w:lineRule="exact"/>
        <w:ind w:left="424" w:right="383" w:firstLine="479"/>
        <w:rPr>
          <w:color w:val="auto"/>
          <w:highlight w:val="none"/>
        </w:rPr>
      </w:pPr>
      <w:r>
        <w:rPr>
          <w:rFonts w:hint="eastAsia"/>
          <w:color w:val="auto"/>
          <w:highlight w:val="none"/>
        </w:rPr>
        <w:t>（</w:t>
      </w:r>
      <w:r>
        <w:rPr>
          <w:color w:val="auto"/>
          <w:highlight w:val="none"/>
        </w:rPr>
        <w:t>4</w:t>
      </w:r>
      <w:r>
        <w:rPr>
          <w:rFonts w:hint="eastAsia"/>
          <w:color w:val="auto"/>
          <w:highlight w:val="none"/>
        </w:rPr>
        <w:t>）</w:t>
      </w:r>
      <w:r>
        <w:rPr>
          <w:rFonts w:hint="eastAsia"/>
          <w:color w:val="auto"/>
          <w:spacing w:val="-4"/>
          <w:highlight w:val="none"/>
        </w:rPr>
        <w:t xml:space="preserve">在索赔事件影响结束后的 </w:t>
      </w:r>
      <w:r>
        <w:rPr>
          <w:color w:val="auto"/>
          <w:highlight w:val="none"/>
        </w:rPr>
        <w:t xml:space="preserve">28 </w:t>
      </w:r>
      <w:r>
        <w:rPr>
          <w:rFonts w:hint="eastAsia"/>
          <w:color w:val="auto"/>
          <w:highlight w:val="none"/>
        </w:rPr>
        <w:t>天内，承包人应向监理人递交最终索赔通知书，说明最终要求索赔的追加付款金额和（或）延长的工期，并附必要的记录和证明材料。</w:t>
      </w:r>
    </w:p>
    <w:p>
      <w:pPr>
        <w:pStyle w:val="20"/>
        <w:spacing w:line="400" w:lineRule="exact"/>
        <w:rPr>
          <w:color w:val="auto"/>
          <w:highlight w:val="none"/>
        </w:rPr>
      </w:pPr>
    </w:p>
    <w:p>
      <w:pPr>
        <w:pStyle w:val="86"/>
        <w:numPr>
          <w:ilvl w:val="1"/>
          <w:numId w:val="15"/>
        </w:numPr>
        <w:tabs>
          <w:tab w:val="left" w:pos="965"/>
        </w:tabs>
        <w:spacing w:line="400" w:lineRule="exact"/>
        <w:ind w:left="964" w:hanging="540"/>
        <w:rPr>
          <w:rFonts w:ascii="黑体" w:hAnsi="黑体" w:eastAsia="黑体" w:cs="黑体"/>
          <w:color w:val="auto"/>
          <w:sz w:val="24"/>
          <w:szCs w:val="24"/>
          <w:highlight w:val="none"/>
        </w:rPr>
      </w:pPr>
      <w:bookmarkStart w:id="2830" w:name="_bookmark252"/>
      <w:bookmarkEnd w:id="2830"/>
      <w:bookmarkStart w:id="2831" w:name="_Toc26781"/>
      <w:bookmarkStart w:id="2832" w:name="_Toc22275"/>
      <w:bookmarkStart w:id="2833" w:name="_Toc13339"/>
      <w:bookmarkStart w:id="2834" w:name="_Toc16634"/>
      <w:bookmarkStart w:id="2835" w:name="_Toc8529"/>
      <w:bookmarkStart w:id="2836" w:name="_Toc11603"/>
      <w:bookmarkStart w:id="2837" w:name="_Toc3610"/>
      <w:bookmarkStart w:id="2838" w:name="_Toc21656"/>
      <w:bookmarkStart w:id="2839" w:name="_Toc4875"/>
      <w:r>
        <w:rPr>
          <w:rFonts w:hint="eastAsia" w:ascii="黑体" w:hAnsi="黑体" w:eastAsia="黑体" w:cs="黑体"/>
          <w:color w:val="auto"/>
          <w:sz w:val="24"/>
          <w:szCs w:val="24"/>
          <w:highlight w:val="none"/>
        </w:rPr>
        <w:t>承包人索赔处理程序</w:t>
      </w:r>
      <w:bookmarkEnd w:id="2831"/>
      <w:bookmarkEnd w:id="2832"/>
      <w:bookmarkEnd w:id="2833"/>
      <w:bookmarkEnd w:id="2834"/>
      <w:bookmarkEnd w:id="2835"/>
      <w:bookmarkEnd w:id="2836"/>
      <w:bookmarkEnd w:id="2837"/>
      <w:bookmarkEnd w:id="2838"/>
      <w:bookmarkEnd w:id="2839"/>
    </w:p>
    <w:p>
      <w:pPr>
        <w:pStyle w:val="20"/>
        <w:spacing w:line="400" w:lineRule="exact"/>
        <w:rPr>
          <w:color w:val="auto"/>
          <w:highlight w:val="none"/>
        </w:rPr>
      </w:pPr>
    </w:p>
    <w:p>
      <w:pPr>
        <w:pStyle w:val="20"/>
        <w:spacing w:line="400" w:lineRule="exact"/>
        <w:ind w:left="904"/>
        <w:rPr>
          <w:color w:val="auto"/>
          <w:highlight w:val="none"/>
        </w:rPr>
      </w:pPr>
      <w:r>
        <w:rPr>
          <w:rFonts w:hint="eastAsia"/>
          <w:color w:val="auto"/>
          <w:highlight w:val="none"/>
        </w:rPr>
        <w:t>本款第（</w:t>
      </w:r>
      <w:r>
        <w:rPr>
          <w:color w:val="auto"/>
          <w:highlight w:val="none"/>
        </w:rPr>
        <w:t>2</w:t>
      </w:r>
      <w:r>
        <w:rPr>
          <w:rFonts w:hint="eastAsia"/>
          <w:color w:val="auto"/>
          <w:highlight w:val="none"/>
        </w:rPr>
        <w:t>）项细化为：</w:t>
      </w:r>
    </w:p>
    <w:p>
      <w:pPr>
        <w:pStyle w:val="20"/>
        <w:spacing w:line="400" w:lineRule="exact"/>
        <w:ind w:left="904"/>
        <w:rPr>
          <w:color w:val="auto"/>
          <w:highlight w:val="none"/>
        </w:rPr>
      </w:pPr>
      <w:r>
        <w:rPr>
          <w:rFonts w:hint="eastAsia"/>
          <w:color w:val="auto"/>
          <w:highlight w:val="none"/>
        </w:rPr>
        <w:t>（</w:t>
      </w:r>
      <w:r>
        <w:rPr>
          <w:color w:val="auto"/>
          <w:highlight w:val="none"/>
        </w:rPr>
        <w:t>2</w:t>
      </w:r>
      <w:r>
        <w:rPr>
          <w:rFonts w:hint="eastAsia"/>
          <w:color w:val="auto"/>
          <w:highlight w:val="none"/>
        </w:rPr>
        <w:t xml:space="preserve">）监理人应按第 </w:t>
      </w:r>
      <w:r>
        <w:rPr>
          <w:color w:val="auto"/>
          <w:highlight w:val="none"/>
        </w:rPr>
        <w:t xml:space="preserve">3.5 </w:t>
      </w:r>
      <w:r>
        <w:rPr>
          <w:rFonts w:hint="eastAsia"/>
          <w:color w:val="auto"/>
          <w:highlight w:val="none"/>
        </w:rPr>
        <w:t>款商定或确定追加的付款和（或）延长的工期，并在收</w:t>
      </w:r>
    </w:p>
    <w:p>
      <w:pPr>
        <w:pStyle w:val="20"/>
        <w:spacing w:line="400" w:lineRule="exact"/>
        <w:ind w:left="424" w:right="383"/>
        <w:rPr>
          <w:color w:val="auto"/>
          <w:highlight w:val="none"/>
        </w:rPr>
      </w:pPr>
      <w:r>
        <w:rPr>
          <w:rFonts w:hint="eastAsia"/>
          <w:color w:val="auto"/>
          <w:spacing w:val="-3"/>
          <w:highlight w:val="none"/>
        </w:rPr>
        <w:t xml:space="preserve">到上述索赔通知书或有关索赔的进一步证明材料后的 </w:t>
      </w:r>
      <w:r>
        <w:rPr>
          <w:color w:val="auto"/>
          <w:highlight w:val="none"/>
        </w:rPr>
        <w:t xml:space="preserve">42 </w:t>
      </w:r>
      <w:r>
        <w:rPr>
          <w:rFonts w:hint="eastAsia"/>
          <w:color w:val="auto"/>
          <w:spacing w:val="-10"/>
          <w:highlight w:val="none"/>
        </w:rPr>
        <w:t>天内，将索赔处理结果报发</w:t>
      </w:r>
      <w:r>
        <w:rPr>
          <w:rFonts w:hint="eastAsia"/>
          <w:color w:val="auto"/>
          <w:spacing w:val="-13"/>
          <w:highlight w:val="none"/>
        </w:rPr>
        <w:t xml:space="preserve">包人批准后答复承包人。如果承包人提出的索赔要求未能遵守第 </w:t>
      </w:r>
      <w:r>
        <w:rPr>
          <w:color w:val="auto"/>
          <w:spacing w:val="-8"/>
          <w:highlight w:val="none"/>
        </w:rPr>
        <w:t>23.1</w:t>
      </w:r>
      <w:r>
        <w:rPr>
          <w:rFonts w:hint="eastAsia"/>
          <w:color w:val="auto"/>
          <w:spacing w:val="-8"/>
          <w:highlight w:val="none"/>
        </w:rPr>
        <w:t>（</w:t>
      </w:r>
      <w:r>
        <w:rPr>
          <w:color w:val="auto"/>
          <w:spacing w:val="-8"/>
          <w:highlight w:val="none"/>
        </w:rPr>
        <w:t>2</w:t>
      </w:r>
      <w:r>
        <w:rPr>
          <w:rFonts w:hint="eastAsia"/>
          <w:color w:val="auto"/>
          <w:spacing w:val="-8"/>
          <w:highlight w:val="none"/>
        </w:rPr>
        <w:t>）</w:t>
      </w:r>
      <w:r>
        <w:rPr>
          <w:color w:val="auto"/>
          <w:spacing w:val="-8"/>
          <w:highlight w:val="none"/>
        </w:rPr>
        <w:t>~</w:t>
      </w:r>
      <w:r>
        <w:rPr>
          <w:rFonts w:hint="eastAsia"/>
          <w:color w:val="auto"/>
          <w:spacing w:val="-8"/>
          <w:highlight w:val="none"/>
        </w:rPr>
        <w:t>（</w:t>
      </w:r>
      <w:r>
        <w:rPr>
          <w:color w:val="auto"/>
          <w:spacing w:val="-8"/>
          <w:highlight w:val="none"/>
        </w:rPr>
        <w:t>4</w:t>
      </w:r>
      <w:r>
        <w:rPr>
          <w:rFonts w:hint="eastAsia"/>
          <w:color w:val="auto"/>
          <w:spacing w:val="-8"/>
          <w:highlight w:val="none"/>
        </w:rPr>
        <w:t>）</w:t>
      </w:r>
      <w:r>
        <w:rPr>
          <w:rFonts w:hint="eastAsia"/>
          <w:color w:val="auto"/>
          <w:highlight w:val="none"/>
        </w:rPr>
        <w:t>项的规定，则承包人只限于索赔由监理人按当时记录予以核实的那部分款额和（或） 工期延长天数。</w:t>
      </w:r>
    </w:p>
    <w:p>
      <w:pPr>
        <w:numPr>
          <w:ilvl w:val="0"/>
          <w:numId w:val="15"/>
        </w:numPr>
        <w:tabs>
          <w:tab w:val="left" w:pos="914"/>
        </w:tabs>
        <w:spacing w:line="400" w:lineRule="exact"/>
        <w:ind w:left="914" w:hanging="490"/>
        <w:outlineLvl w:val="2"/>
        <w:rPr>
          <w:rFonts w:ascii="黑体" w:hAnsi="黑体" w:eastAsia="黑体" w:cs="黑体"/>
          <w:color w:val="auto"/>
          <w:sz w:val="24"/>
          <w:szCs w:val="24"/>
          <w:highlight w:val="none"/>
        </w:rPr>
      </w:pPr>
      <w:bookmarkStart w:id="2840" w:name="_bookmark253"/>
      <w:bookmarkEnd w:id="2840"/>
      <w:bookmarkStart w:id="2841" w:name="_Toc22070"/>
      <w:bookmarkStart w:id="2842" w:name="_Toc16645"/>
      <w:bookmarkStart w:id="2843" w:name="_Toc13771"/>
      <w:bookmarkStart w:id="2844" w:name="_Toc6036"/>
      <w:bookmarkStart w:id="2845" w:name="_Toc25597"/>
      <w:bookmarkStart w:id="2846" w:name="_Toc21612"/>
      <w:bookmarkStart w:id="2847" w:name="_Toc2002"/>
      <w:bookmarkStart w:id="2848" w:name="_Toc4508"/>
      <w:bookmarkStart w:id="2849" w:name="_Toc18640"/>
      <w:bookmarkStart w:id="2850" w:name="_Toc31064"/>
      <w:bookmarkStart w:id="2851" w:name="_Toc23483"/>
      <w:bookmarkStart w:id="2852" w:name="_Toc9204"/>
      <w:bookmarkStart w:id="2853" w:name="_Toc11798"/>
      <w:bookmarkStart w:id="2854" w:name="_Toc20329"/>
      <w:bookmarkStart w:id="2855" w:name="_Toc32427"/>
      <w:bookmarkStart w:id="2856" w:name="_Toc3499"/>
      <w:bookmarkStart w:id="2857" w:name="_Toc32634"/>
      <w:r>
        <w:rPr>
          <w:rFonts w:hint="eastAsia" w:ascii="黑体" w:hAnsi="黑体" w:eastAsia="黑体" w:cs="黑体"/>
          <w:color w:val="auto"/>
          <w:sz w:val="24"/>
          <w:szCs w:val="24"/>
          <w:highlight w:val="none"/>
        </w:rPr>
        <w:t>争议的解决</w:t>
      </w:r>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pPr>
        <w:pStyle w:val="20"/>
        <w:spacing w:line="400" w:lineRule="exact"/>
        <w:rPr>
          <w:rFonts w:ascii="黑体" w:hAnsi="黑体" w:eastAsia="黑体" w:cs="黑体"/>
          <w:color w:val="auto"/>
          <w:highlight w:val="none"/>
        </w:rPr>
      </w:pPr>
    </w:p>
    <w:p>
      <w:pPr>
        <w:pStyle w:val="5"/>
        <w:spacing w:beforeLines="50" w:afterLines="50" w:line="360" w:lineRule="auto"/>
        <w:jc w:val="left"/>
        <w:rPr>
          <w:rFonts w:ascii="黑体"/>
          <w:b w:val="0"/>
          <w:color w:val="auto"/>
          <w:sz w:val="24"/>
          <w:szCs w:val="24"/>
          <w:highlight w:val="none"/>
        </w:rPr>
      </w:pPr>
      <w:bookmarkStart w:id="2858" w:name="_bookmark254"/>
      <w:bookmarkEnd w:id="2858"/>
      <w:bookmarkStart w:id="2859" w:name="_Toc508804675"/>
      <w:bookmarkStart w:id="2860" w:name="_Toc243296798"/>
      <w:r>
        <w:rPr>
          <w:rFonts w:hint="eastAsia" w:ascii="黑体"/>
          <w:b w:val="0"/>
          <w:color w:val="auto"/>
          <w:sz w:val="24"/>
          <w:szCs w:val="24"/>
          <w:highlight w:val="none"/>
        </w:rPr>
        <w:t>24.3 争议评审</w:t>
      </w:r>
      <w:bookmarkEnd w:id="2859"/>
      <w:bookmarkEnd w:id="2860"/>
    </w:p>
    <w:p>
      <w:pPr>
        <w:spacing w:line="360" w:lineRule="auto"/>
        <w:ind w:firstLine="780" w:firstLineChars="325"/>
        <w:rPr>
          <w:color w:val="auto"/>
          <w:sz w:val="24"/>
          <w:highlight w:val="none"/>
        </w:rPr>
      </w:pPr>
      <w:r>
        <w:rPr>
          <w:rFonts w:hint="eastAsia"/>
          <w:color w:val="auto"/>
          <w:sz w:val="24"/>
          <w:highlight w:val="none"/>
        </w:rPr>
        <w:t>第24.3.1项补充：</w:t>
      </w:r>
    </w:p>
    <w:p>
      <w:pPr>
        <w:spacing w:line="360" w:lineRule="auto"/>
        <w:ind w:left="240" w:leftChars="109" w:firstLine="540" w:firstLineChars="225"/>
        <w:rPr>
          <w:color w:val="auto"/>
          <w:sz w:val="24"/>
          <w:highlight w:val="none"/>
        </w:rPr>
      </w:pPr>
      <w:r>
        <w:rPr>
          <w:rFonts w:hint="eastAsia"/>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spacing w:line="360" w:lineRule="auto"/>
        <w:ind w:firstLine="540" w:firstLineChars="225"/>
        <w:rPr>
          <w:color w:val="auto"/>
          <w:sz w:val="24"/>
          <w:highlight w:val="none"/>
        </w:rPr>
      </w:pPr>
      <w:r>
        <w:rPr>
          <w:rFonts w:hint="eastAsia"/>
          <w:color w:val="auto"/>
          <w:sz w:val="24"/>
          <w:highlight w:val="none"/>
        </w:rPr>
        <w:t>本条补充第24.4、第24.5款（适用于采用仲裁方式最终解决争议的项目）。</w:t>
      </w:r>
    </w:p>
    <w:p>
      <w:pPr>
        <w:pStyle w:val="5"/>
        <w:spacing w:beforeLines="50" w:afterLines="50" w:line="360" w:lineRule="auto"/>
        <w:jc w:val="left"/>
        <w:rPr>
          <w:rFonts w:ascii="黑体"/>
          <w:b w:val="0"/>
          <w:color w:val="auto"/>
          <w:sz w:val="24"/>
          <w:szCs w:val="24"/>
          <w:highlight w:val="none"/>
        </w:rPr>
      </w:pPr>
      <w:bookmarkStart w:id="2861" w:name="_Toc243296799"/>
      <w:bookmarkStart w:id="2862" w:name="_Toc508804676"/>
      <w:r>
        <w:rPr>
          <w:rFonts w:hint="eastAsia" w:ascii="黑体"/>
          <w:b w:val="0"/>
          <w:color w:val="auto"/>
          <w:sz w:val="24"/>
          <w:szCs w:val="24"/>
          <w:highlight w:val="none"/>
        </w:rPr>
        <w:t>24.4 仲裁</w:t>
      </w:r>
      <w:bookmarkEnd w:id="2861"/>
      <w:bookmarkEnd w:id="2862"/>
    </w:p>
    <w:p>
      <w:pPr>
        <w:spacing w:line="360" w:lineRule="auto"/>
        <w:ind w:left="240" w:leftChars="109" w:firstLine="300" w:firstLineChars="125"/>
        <w:rPr>
          <w:color w:val="auto"/>
          <w:sz w:val="24"/>
          <w:highlight w:val="none"/>
        </w:rPr>
      </w:pPr>
      <w:r>
        <w:rPr>
          <w:rFonts w:hint="eastAsia"/>
          <w:color w:val="auto"/>
          <w:sz w:val="24"/>
          <w:highlight w:val="none"/>
        </w:rPr>
        <w:t>（1）对于未能友好解决或未能通过争议评审解决的争议，发包人或承包人任一方均有权提交给第24.1款约定的仲裁委员会仲裁。</w:t>
      </w:r>
    </w:p>
    <w:p>
      <w:pPr>
        <w:spacing w:line="360" w:lineRule="auto"/>
        <w:ind w:left="240" w:leftChars="109" w:firstLine="300" w:firstLineChars="125"/>
        <w:rPr>
          <w:color w:val="auto"/>
          <w:sz w:val="24"/>
          <w:highlight w:val="none"/>
        </w:rPr>
      </w:pPr>
      <w:r>
        <w:rPr>
          <w:rFonts w:hint="eastAsia"/>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spacing w:line="360" w:lineRule="auto"/>
        <w:ind w:firstLine="540" w:firstLineChars="225"/>
        <w:rPr>
          <w:color w:val="auto"/>
          <w:sz w:val="24"/>
          <w:highlight w:val="none"/>
        </w:rPr>
      </w:pPr>
      <w:r>
        <w:rPr>
          <w:rFonts w:hint="eastAsia"/>
          <w:color w:val="auto"/>
          <w:sz w:val="24"/>
          <w:highlight w:val="none"/>
        </w:rPr>
        <w:t>（3）仲裁裁决是终局性的并对发包人和承包人双方具有约束力。</w:t>
      </w:r>
    </w:p>
    <w:p>
      <w:pPr>
        <w:spacing w:line="360" w:lineRule="auto"/>
        <w:ind w:firstLine="540" w:firstLineChars="225"/>
        <w:rPr>
          <w:color w:val="auto"/>
          <w:sz w:val="24"/>
          <w:highlight w:val="none"/>
        </w:rPr>
      </w:pPr>
      <w:r>
        <w:rPr>
          <w:rFonts w:hint="eastAsia"/>
          <w:color w:val="auto"/>
          <w:sz w:val="24"/>
          <w:highlight w:val="none"/>
        </w:rPr>
        <w:t>（4）全部仲裁费用应由败诉方承担；或按仲裁委员会裁决的比例分担。</w:t>
      </w:r>
    </w:p>
    <w:p>
      <w:pPr>
        <w:pStyle w:val="5"/>
        <w:spacing w:beforeLines="50" w:afterLines="50" w:line="360" w:lineRule="auto"/>
        <w:jc w:val="left"/>
        <w:rPr>
          <w:rFonts w:ascii="黑体"/>
          <w:b w:val="0"/>
          <w:color w:val="auto"/>
          <w:sz w:val="24"/>
          <w:szCs w:val="24"/>
          <w:highlight w:val="none"/>
        </w:rPr>
      </w:pPr>
      <w:bookmarkStart w:id="2863" w:name="_Toc508804677"/>
      <w:bookmarkStart w:id="2864" w:name="_Toc243296800"/>
      <w:r>
        <w:rPr>
          <w:rFonts w:hint="eastAsia" w:ascii="黑体"/>
          <w:b w:val="0"/>
          <w:color w:val="auto"/>
          <w:sz w:val="24"/>
          <w:szCs w:val="24"/>
          <w:highlight w:val="none"/>
        </w:rPr>
        <w:t>24.5 仲裁的执行</w:t>
      </w:r>
      <w:bookmarkEnd w:id="2863"/>
      <w:bookmarkEnd w:id="2864"/>
    </w:p>
    <w:p>
      <w:pPr>
        <w:spacing w:line="360" w:lineRule="auto"/>
        <w:ind w:left="240" w:leftChars="109" w:firstLine="300" w:firstLineChars="125"/>
        <w:rPr>
          <w:color w:val="auto"/>
          <w:sz w:val="24"/>
          <w:highlight w:val="none"/>
        </w:rPr>
      </w:pPr>
      <w:r>
        <w:rPr>
          <w:rFonts w:hint="eastAsia"/>
          <w:color w:val="auto"/>
          <w:sz w:val="24"/>
          <w:highlight w:val="none"/>
        </w:rPr>
        <w:t>（1）任何一方不履行仲裁机构的裁决的，对方可以向有管辖权的人民法院申请执行。</w:t>
      </w:r>
    </w:p>
    <w:p>
      <w:pPr>
        <w:spacing w:line="400" w:lineRule="exact"/>
        <w:ind w:firstLine="480" w:firstLineChars="200"/>
        <w:rPr>
          <w:color w:val="auto"/>
          <w:sz w:val="24"/>
          <w:szCs w:val="24"/>
          <w:highlight w:val="none"/>
        </w:rPr>
      </w:pPr>
      <w:r>
        <w:rPr>
          <w:rFonts w:hint="eastAsia"/>
          <w:color w:val="auto"/>
          <w:sz w:val="24"/>
          <w:highlight w:val="none"/>
        </w:rPr>
        <w:t>（2）任何一方提出证据证明裁决有《中华人民共和国仲裁法》第五十八条规定情形之一的，可以向仲裁委员会所在地的中级人民法院申请撤销裁决。人民法院认为执行该裁决违背社会公共利益的，裁定不予执行。仲裁裁决被人民法院裁定不予执行的，当事人可以根据双方达成的书面仲裁协议重新申请仲裁，也可以向人民法院起诉</w:t>
      </w:r>
      <w:r>
        <w:rPr>
          <w:rFonts w:hint="eastAsia"/>
          <w:color w:val="auto"/>
          <w:sz w:val="24"/>
          <w:szCs w:val="24"/>
          <w:highlight w:val="none"/>
        </w:rPr>
        <w:t>。</w:t>
      </w:r>
    </w:p>
    <w:p>
      <w:pPr>
        <w:pStyle w:val="266"/>
        <w:spacing w:line="400" w:lineRule="exact"/>
        <w:rPr>
          <w:rFonts w:ascii="Arial" w:hAnsi="Arial" w:cs="Arial"/>
          <w:b/>
          <w:color w:val="auto"/>
          <w:kern w:val="2"/>
          <w:sz w:val="24"/>
          <w:szCs w:val="24"/>
          <w:highlight w:val="none"/>
        </w:rPr>
        <w:sectPr>
          <w:pgSz w:w="11906" w:h="16838"/>
          <w:pgMar w:top="1440" w:right="991" w:bottom="1440" w:left="1418" w:header="851" w:footer="992" w:gutter="0"/>
          <w:cols w:space="720" w:num="1"/>
          <w:docGrid w:type="lines" w:linePitch="312" w:charSpace="0"/>
        </w:sectPr>
      </w:pPr>
      <w:bookmarkStart w:id="2865" w:name="_Toc453921443"/>
    </w:p>
    <w:bookmarkEnd w:id="2865"/>
    <w:p>
      <w:pPr>
        <w:pStyle w:val="267"/>
        <w:numPr>
          <w:ilvl w:val="0"/>
          <w:numId w:val="36"/>
        </w:numPr>
        <w:spacing w:line="360" w:lineRule="exact"/>
        <w:ind w:firstLine="480"/>
        <w:jc w:val="center"/>
        <w:outlineLvl w:val="2"/>
        <w:rPr>
          <w:rFonts w:ascii="宋体" w:hAnsi="宋体"/>
          <w:color w:val="auto"/>
          <w:sz w:val="36"/>
          <w:szCs w:val="36"/>
          <w:highlight w:val="none"/>
        </w:rPr>
      </w:pPr>
      <w:bookmarkStart w:id="2866" w:name="_Toc163"/>
      <w:bookmarkStart w:id="2867" w:name="_Toc9865"/>
      <w:bookmarkStart w:id="2868" w:name="_Toc28071"/>
      <w:bookmarkStart w:id="2869" w:name="_Toc18985"/>
      <w:bookmarkStart w:id="2870" w:name="_Toc15762"/>
      <w:bookmarkStart w:id="2871" w:name="_Toc31965"/>
      <w:bookmarkStart w:id="2872" w:name="_Toc11432"/>
      <w:bookmarkStart w:id="2873" w:name="_Toc12974"/>
      <w:bookmarkStart w:id="2874" w:name="_Toc30068"/>
      <w:bookmarkStart w:id="2875" w:name="_Toc7278"/>
      <w:bookmarkStart w:id="2876" w:name="_Toc24811"/>
      <w:bookmarkStart w:id="2877" w:name="_Toc9022"/>
      <w:bookmarkStart w:id="2878" w:name="_Toc20073"/>
      <w:bookmarkStart w:id="2879" w:name="_Toc27673"/>
      <w:bookmarkStart w:id="2880" w:name="_Toc23714"/>
      <w:bookmarkStart w:id="2881" w:name="_Toc29913"/>
      <w:bookmarkStart w:id="2882" w:name="_Toc4765"/>
      <w:r>
        <w:rPr>
          <w:rFonts w:hint="eastAsia" w:ascii="宋体" w:hAnsi="宋体"/>
          <w:color w:val="auto"/>
          <w:sz w:val="36"/>
          <w:szCs w:val="36"/>
          <w:highlight w:val="none"/>
        </w:rPr>
        <w:t>项目专用合同条款</w:t>
      </w:r>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pPr>
        <w:spacing w:line="400" w:lineRule="exact"/>
        <w:ind w:firstLine="482" w:firstLineChars="200"/>
        <w:rPr>
          <w:b/>
          <w:color w:val="auto"/>
          <w:sz w:val="24"/>
          <w:highlight w:val="none"/>
        </w:rPr>
      </w:pPr>
      <w:r>
        <w:rPr>
          <w:rFonts w:hint="eastAsia"/>
          <w:b/>
          <w:color w:val="auto"/>
          <w:sz w:val="24"/>
          <w:highlight w:val="none"/>
        </w:rPr>
        <w:t>说明：</w:t>
      </w:r>
    </w:p>
    <w:p>
      <w:pPr>
        <w:spacing w:line="360" w:lineRule="auto"/>
        <w:ind w:right="80" w:firstLine="720"/>
        <w:rPr>
          <w:color w:val="auto"/>
          <w:sz w:val="24"/>
          <w:highlight w:val="none"/>
        </w:rPr>
      </w:pPr>
      <w:r>
        <w:rPr>
          <w:color w:val="auto"/>
          <w:sz w:val="24"/>
          <w:highlight w:val="none"/>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pPr>
        <w:spacing w:line="360" w:lineRule="auto"/>
        <w:ind w:left="720"/>
        <w:rPr>
          <w:color w:val="auto"/>
          <w:sz w:val="24"/>
          <w:highlight w:val="none"/>
        </w:rPr>
      </w:pPr>
      <w:r>
        <w:rPr>
          <w:color w:val="auto"/>
          <w:sz w:val="24"/>
          <w:highlight w:val="none"/>
        </w:rPr>
        <w:t>2.项目专用合同条款的编号应与通用合同条款和公路工程专用合同条款一</w:t>
      </w:r>
    </w:p>
    <w:p>
      <w:pPr>
        <w:spacing w:line="360" w:lineRule="auto"/>
        <w:rPr>
          <w:color w:val="auto"/>
          <w:sz w:val="24"/>
          <w:highlight w:val="none"/>
        </w:rPr>
      </w:pPr>
      <w:r>
        <w:rPr>
          <w:color w:val="auto"/>
          <w:sz w:val="24"/>
          <w:highlight w:val="none"/>
        </w:rPr>
        <w:t>致。</w:t>
      </w:r>
    </w:p>
    <w:p>
      <w:pPr>
        <w:spacing w:line="360" w:lineRule="auto"/>
        <w:ind w:left="720"/>
        <w:rPr>
          <w:color w:val="auto"/>
          <w:sz w:val="24"/>
          <w:highlight w:val="none"/>
        </w:rPr>
      </w:pPr>
      <w:r>
        <w:rPr>
          <w:color w:val="auto"/>
          <w:sz w:val="24"/>
          <w:highlight w:val="none"/>
        </w:rPr>
        <w:t>3.项目专用合同条款可对下列内容进行补充和细化：</w:t>
      </w:r>
    </w:p>
    <w:p>
      <w:pPr>
        <w:spacing w:line="360" w:lineRule="auto"/>
        <w:ind w:firstLine="720"/>
        <w:rPr>
          <w:color w:val="auto"/>
          <w:sz w:val="24"/>
          <w:highlight w:val="none"/>
        </w:rPr>
      </w:pPr>
      <w:r>
        <w:rPr>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pPr>
        <w:spacing w:line="360" w:lineRule="auto"/>
        <w:ind w:right="80" w:firstLine="720"/>
        <w:rPr>
          <w:color w:val="auto"/>
          <w:sz w:val="24"/>
          <w:highlight w:val="none"/>
        </w:rPr>
      </w:pPr>
      <w:r>
        <w:rPr>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pPr>
        <w:spacing w:line="360" w:lineRule="auto"/>
        <w:ind w:left="720"/>
        <w:rPr>
          <w:color w:val="auto"/>
          <w:sz w:val="24"/>
          <w:highlight w:val="none"/>
        </w:rPr>
      </w:pPr>
      <w:r>
        <w:rPr>
          <w:color w:val="auto"/>
          <w:sz w:val="24"/>
          <w:highlight w:val="none"/>
        </w:rPr>
        <w:t>（3）其他需要补充、细化的内容。</w:t>
      </w:r>
    </w:p>
    <w:p>
      <w:pPr>
        <w:pStyle w:val="267"/>
        <w:spacing w:line="360" w:lineRule="exact"/>
        <w:rPr>
          <w:rFonts w:ascii="宋体" w:hAnsi="宋体"/>
          <w:color w:val="auto"/>
          <w:sz w:val="36"/>
          <w:szCs w:val="36"/>
          <w:highlight w:val="none"/>
          <w:lang w:val="zh-CN"/>
        </w:rPr>
      </w:pPr>
    </w:p>
    <w:p>
      <w:pPr>
        <w:pStyle w:val="267"/>
        <w:spacing w:line="360" w:lineRule="exact"/>
        <w:ind w:firstLine="480"/>
        <w:jc w:val="center"/>
        <w:outlineLvl w:val="2"/>
        <w:rPr>
          <w:rFonts w:ascii="黑体" w:hAnsi="黑体" w:eastAsia="黑体" w:cs="黑体"/>
          <w:color w:val="auto"/>
          <w:sz w:val="32"/>
          <w:szCs w:val="32"/>
          <w:highlight w:val="none"/>
          <w:lang w:val="zh-CN" w:bidi="zh-CN"/>
        </w:rPr>
        <w:sectPr>
          <w:pgSz w:w="11906" w:h="16838"/>
          <w:pgMar w:top="1440" w:right="991" w:bottom="1440" w:left="1418" w:header="851" w:footer="992" w:gutter="0"/>
          <w:cols w:space="720" w:num="1"/>
          <w:docGrid w:type="lines" w:linePitch="312" w:charSpace="0"/>
        </w:sectPr>
      </w:pPr>
      <w:bookmarkStart w:id="2883" w:name="_Toc8133"/>
      <w:bookmarkStart w:id="2884" w:name="_Toc22102"/>
      <w:bookmarkStart w:id="2885" w:name="_Toc9525"/>
      <w:bookmarkStart w:id="2886" w:name="_Toc31426"/>
      <w:bookmarkStart w:id="2887" w:name="_Toc31200"/>
      <w:bookmarkStart w:id="2888" w:name="_Toc8102"/>
      <w:bookmarkStart w:id="2889" w:name="_Toc8287"/>
      <w:bookmarkStart w:id="2890" w:name="_Toc14888"/>
      <w:bookmarkStart w:id="2891" w:name="_Toc22957"/>
      <w:bookmarkStart w:id="2892" w:name="_Toc29190"/>
      <w:bookmarkStart w:id="2893" w:name="_Toc27320"/>
      <w:bookmarkStart w:id="2894" w:name="_Toc30459"/>
      <w:bookmarkStart w:id="2895" w:name="_Toc1757"/>
      <w:bookmarkStart w:id="2896" w:name="_Toc14774"/>
      <w:bookmarkStart w:id="2897" w:name="_Toc27684"/>
      <w:bookmarkStart w:id="2898" w:name="_Toc2095"/>
    </w:p>
    <w:p>
      <w:pPr>
        <w:pStyle w:val="267"/>
        <w:spacing w:line="360" w:lineRule="exact"/>
        <w:ind w:firstLine="480"/>
        <w:jc w:val="center"/>
        <w:outlineLvl w:val="2"/>
        <w:rPr>
          <w:rFonts w:ascii="黑体" w:hAnsi="黑体" w:eastAsia="黑体" w:cs="黑体"/>
          <w:color w:val="auto"/>
          <w:sz w:val="32"/>
          <w:szCs w:val="32"/>
          <w:highlight w:val="none"/>
          <w:lang w:val="zh-CN" w:bidi="zh-CN"/>
        </w:rPr>
      </w:pPr>
      <w:bookmarkStart w:id="2899" w:name="_Toc28872"/>
      <w:r>
        <w:rPr>
          <w:rFonts w:ascii="黑体" w:hAnsi="黑体" w:eastAsia="黑体" w:cs="黑体"/>
          <w:color w:val="auto"/>
          <w:sz w:val="32"/>
          <w:szCs w:val="32"/>
          <w:highlight w:val="none"/>
          <w:lang w:val="zh-CN" w:bidi="zh-CN"/>
        </w:rPr>
        <w:t>项目专用合同条款数据表</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pPr>
        <w:pStyle w:val="267"/>
        <w:spacing w:line="360" w:lineRule="exact"/>
        <w:ind w:firstLine="480"/>
        <w:rPr>
          <w:color w:val="auto"/>
          <w:sz w:val="24"/>
          <w:highlight w:val="none"/>
        </w:rPr>
      </w:pPr>
      <w:r>
        <w:rPr>
          <w:rFonts w:hint="eastAsia"/>
          <w:color w:val="auto"/>
          <w:sz w:val="24"/>
          <w:highlight w:val="none"/>
        </w:rPr>
        <w:t>说明：本数据表是项目专用合同条款中适用于本项目的信息和数据的归纳与提示，是项目专用合同条款的组成部分。</w:t>
      </w:r>
    </w:p>
    <w:tbl>
      <w:tblPr>
        <w:tblStyle w:val="4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535"/>
        <w:gridCol w:w="1133"/>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shd w:val="clear" w:color="auto" w:fill="FFFFFF"/>
          </w:tcPr>
          <w:p>
            <w:pPr>
              <w:pStyle w:val="87"/>
              <w:spacing w:before="89" w:line="250" w:lineRule="exact"/>
              <w:ind w:left="35" w:right="26"/>
              <w:jc w:val="center"/>
              <w:rPr>
                <w:rFonts w:ascii="黑体" w:eastAsia="黑体"/>
                <w:color w:val="auto"/>
                <w:sz w:val="21"/>
                <w:highlight w:val="none"/>
              </w:rPr>
            </w:pPr>
            <w:r>
              <w:rPr>
                <w:rFonts w:hint="eastAsia" w:ascii="黑体" w:eastAsia="黑体"/>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shd w:val="clear" w:color="auto" w:fill="FFFFFF"/>
          </w:tcPr>
          <w:p>
            <w:pPr>
              <w:pStyle w:val="87"/>
              <w:spacing w:before="89" w:line="250" w:lineRule="exact"/>
              <w:ind w:left="104" w:right="90"/>
              <w:jc w:val="center"/>
              <w:rPr>
                <w:rFonts w:ascii="黑体" w:eastAsia="黑体"/>
                <w:color w:val="auto"/>
                <w:sz w:val="21"/>
                <w:highlight w:val="none"/>
              </w:rPr>
            </w:pPr>
            <w:r>
              <w:rPr>
                <w:rFonts w:hint="eastAsia" w:ascii="黑体" w:eastAsia="黑体"/>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shd w:val="clear" w:color="auto" w:fill="FFFFFF"/>
          </w:tcPr>
          <w:p>
            <w:pPr>
              <w:pStyle w:val="87"/>
              <w:spacing w:before="89" w:line="250" w:lineRule="exact"/>
              <w:ind w:left="106" w:right="79"/>
              <w:jc w:val="center"/>
              <w:rPr>
                <w:rFonts w:ascii="黑体" w:eastAsia="黑体"/>
                <w:color w:val="auto"/>
                <w:sz w:val="21"/>
                <w:highlight w:val="none"/>
              </w:rPr>
            </w:pPr>
            <w:r>
              <w:rPr>
                <w:rFonts w:hint="eastAsia" w:ascii="黑体" w:eastAsia="黑体"/>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87"/>
              <w:ind w:left="9"/>
              <w:jc w:val="center"/>
              <w:rPr>
                <w:rFonts w:ascii="Times New Roman"/>
                <w:color w:val="auto"/>
                <w:sz w:val="21"/>
                <w:highlight w:val="none"/>
              </w:rPr>
            </w:pPr>
            <w:r>
              <w:rPr>
                <w:rFonts w:ascii="Times New Roman"/>
                <w:color w:val="auto"/>
                <w:sz w:val="21"/>
                <w:highlight w:val="none"/>
              </w:rPr>
              <w:t>1</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87"/>
              <w:ind w:left="104" w:right="90"/>
              <w:jc w:val="center"/>
              <w:rPr>
                <w:rFonts w:ascii="Times New Roman"/>
                <w:color w:val="auto"/>
                <w:sz w:val="21"/>
                <w:highlight w:val="none"/>
              </w:rPr>
            </w:pPr>
            <w:r>
              <w:rPr>
                <w:rFonts w:ascii="Times New Roman"/>
                <w:color w:val="auto"/>
                <w:sz w:val="21"/>
                <w:highlight w:val="none"/>
              </w:rPr>
              <w:t>1.1.1.8</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ind w:left="113" w:right="79" w:firstLine="210"/>
              <w:rPr>
                <w:rFonts w:ascii="方正行楷简体" w:hAnsi="方正行楷简体" w:eastAsia="方正行楷简体" w:cs="方正行楷简体"/>
                <w:color w:val="auto"/>
                <w:sz w:val="21"/>
                <w:highlight w:val="none"/>
                <w:lang w:val="en-US"/>
              </w:rPr>
            </w:pPr>
            <w:r>
              <w:rPr>
                <w:rFonts w:hint="eastAsia" w:ascii="方正行楷简体" w:hAnsi="方正行楷简体" w:eastAsia="方正行楷简体" w:cs="方正行楷简体"/>
                <w:color w:val="auto"/>
                <w:sz w:val="28"/>
                <w:szCs w:val="28"/>
                <w:highlight w:val="none"/>
                <w:lang w:val="en-US"/>
              </w:rPr>
              <w:t>采用总价合同方式得养护工程，可约定为：</w:t>
            </w:r>
          </w:p>
          <w:p>
            <w:pPr>
              <w:pStyle w:val="87"/>
              <w:adjustRightInd w:val="0"/>
              <w:snapToGrid w:val="0"/>
              <w:spacing w:line="336" w:lineRule="auto"/>
              <w:ind w:left="115" w:right="82" w:firstLine="211"/>
              <w:rPr>
                <w:color w:val="auto"/>
                <w:sz w:val="21"/>
                <w:highlight w:val="none"/>
              </w:rPr>
            </w:pPr>
            <w:r>
              <w:rPr>
                <w:rFonts w:hint="eastAsia"/>
                <w:color w:val="auto"/>
                <w:sz w:val="21"/>
                <w:highlight w:val="none"/>
              </w:rPr>
              <w:t>已标价工程量清单：指构成合同文件组成部分的由承包人按照规定的格式和要求填写并标明价格的工程量清单。</w:t>
            </w:r>
          </w:p>
          <w:p>
            <w:pPr>
              <w:pStyle w:val="87"/>
              <w:adjustRightInd w:val="0"/>
              <w:snapToGrid w:val="0"/>
              <w:spacing w:line="336" w:lineRule="auto"/>
              <w:ind w:left="115" w:right="81" w:firstLine="211"/>
              <w:jc w:val="both"/>
              <w:rPr>
                <w:color w:val="auto"/>
                <w:sz w:val="21"/>
                <w:highlight w:val="none"/>
              </w:rPr>
            </w:pPr>
            <w:r>
              <w:rPr>
                <w:rFonts w:hint="eastAsia"/>
                <w:color w:val="auto"/>
                <w:sz w:val="21"/>
                <w:highlight w:val="none"/>
              </w:rPr>
              <w:t>招标阶段的工程量清单中的数量仅为投标报价的基础，在工程开工前，在签约合同价不变的前提下，根据施工图等合同组成文件，发包人或监理人将组织对已标价工程量清单进行核查，并有权对单价或总额价进行相应调整，承包人应予以配合。</w:t>
            </w:r>
          </w:p>
          <w:p>
            <w:pPr>
              <w:pStyle w:val="87"/>
              <w:adjustRightInd w:val="0"/>
              <w:snapToGrid w:val="0"/>
              <w:spacing w:line="336" w:lineRule="auto"/>
              <w:ind w:firstLine="315" w:firstLineChars="150"/>
              <w:rPr>
                <w:color w:val="auto"/>
                <w:sz w:val="21"/>
                <w:highlight w:val="none"/>
              </w:rPr>
            </w:pPr>
            <w:r>
              <w:rPr>
                <w:rFonts w:hint="eastAsia"/>
                <w:color w:val="auto"/>
                <w:sz w:val="21"/>
                <w:highlight w:val="none"/>
              </w:rPr>
              <w:t>本工程合同方式采用总价合同方式，承包人填报的（或经调整后的）已标价工程量清单作为履约过程中期中计量支付以及变更计量的参考，但不作为最终结算的依据。</w:t>
            </w:r>
          </w:p>
          <w:p>
            <w:pPr>
              <w:pStyle w:val="87"/>
              <w:adjustRightInd w:val="0"/>
              <w:snapToGrid w:val="0"/>
              <w:spacing w:line="336" w:lineRule="auto"/>
              <w:ind w:left="115" w:firstLine="211"/>
              <w:rPr>
                <w:color w:val="auto"/>
                <w:sz w:val="21"/>
                <w:highlight w:val="none"/>
              </w:rPr>
            </w:pPr>
            <w:r>
              <w:rPr>
                <w:rFonts w:hint="eastAsia"/>
                <w:color w:val="auto"/>
                <w:sz w:val="21"/>
                <w:highlight w:val="none"/>
              </w:rPr>
              <w:t>在工程验收前，在合同价格不变的前提下，根据施工图和变更等合同组成文件，承包人、监理人、发包人将对实际完成工程量进行核查，并对单价或总额价进行相应调整，编制结算已标价工程量清单。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87"/>
              <w:ind w:left="9"/>
              <w:jc w:val="center"/>
              <w:rPr>
                <w:rFonts w:ascii="Times New Roman"/>
                <w:color w:val="auto"/>
                <w:sz w:val="21"/>
                <w:highlight w:val="none"/>
              </w:rPr>
            </w:pPr>
            <w:r>
              <w:rPr>
                <w:rFonts w:ascii="Times New Roman"/>
                <w:color w:val="auto"/>
                <w:sz w:val="21"/>
                <w:highlight w:val="none"/>
              </w:rPr>
              <w:t>2</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87"/>
              <w:ind w:left="104" w:right="90"/>
              <w:jc w:val="center"/>
              <w:rPr>
                <w:rFonts w:ascii="Times New Roman"/>
                <w:color w:val="auto"/>
                <w:sz w:val="21"/>
                <w:highlight w:val="none"/>
              </w:rPr>
            </w:pPr>
            <w:r>
              <w:rPr>
                <w:rFonts w:ascii="Times New Roman"/>
                <w:color w:val="auto"/>
                <w:sz w:val="21"/>
                <w:highlight w:val="none"/>
              </w:rPr>
              <w:t>1.1.2.2</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336" w:lineRule="auto"/>
              <w:ind w:left="323"/>
              <w:rPr>
                <w:color w:val="auto"/>
                <w:sz w:val="21"/>
                <w:highlight w:val="none"/>
                <w:u w:val="single"/>
                <w:lang w:val="en-US"/>
              </w:rPr>
            </w:pPr>
            <w:r>
              <w:rPr>
                <w:rFonts w:hint="eastAsia"/>
                <w:color w:val="auto"/>
                <w:sz w:val="21"/>
                <w:highlight w:val="none"/>
              </w:rPr>
              <w:t>发 包 人：</w:t>
            </w:r>
            <w:r>
              <w:rPr>
                <w:rFonts w:hint="eastAsia"/>
                <w:color w:val="auto"/>
                <w:sz w:val="21"/>
                <w:highlight w:val="none"/>
                <w:u w:val="single"/>
                <w:lang w:val="en-US"/>
              </w:rPr>
              <w:t xml:space="preserve">  </w:t>
            </w:r>
            <w:r>
              <w:rPr>
                <w:rFonts w:hint="eastAsia"/>
                <w:color w:val="auto"/>
                <w:szCs w:val="21"/>
                <w:highlight w:val="none"/>
                <w:u w:val="single"/>
              </w:rPr>
              <w:t xml:space="preserve"> 鞍山市交通运输事务服务中心</w:t>
            </w:r>
            <w:r>
              <w:rPr>
                <w:rFonts w:hint="eastAsia"/>
                <w:color w:val="auto"/>
                <w:sz w:val="21"/>
                <w:highlight w:val="none"/>
                <w:u w:val="single"/>
                <w:lang w:val="en-US"/>
              </w:rPr>
              <w:t xml:space="preserve">   </w:t>
            </w:r>
          </w:p>
          <w:p>
            <w:pPr>
              <w:pStyle w:val="87"/>
              <w:tabs>
                <w:tab w:val="left" w:pos="957"/>
                <w:tab w:val="left" w:pos="3372"/>
              </w:tabs>
              <w:adjustRightInd w:val="0"/>
              <w:snapToGrid w:val="0"/>
              <w:spacing w:line="336" w:lineRule="auto"/>
              <w:ind w:left="323"/>
              <w:rPr>
                <w:color w:val="auto"/>
                <w:sz w:val="21"/>
                <w:highlight w:val="none"/>
              </w:rPr>
            </w:pPr>
            <w:r>
              <w:rPr>
                <w:rFonts w:hint="eastAsia"/>
                <w:color w:val="auto"/>
                <w:sz w:val="21"/>
                <w:highlight w:val="none"/>
              </w:rPr>
              <w:t>地</w:t>
            </w:r>
            <w:r>
              <w:rPr>
                <w:rFonts w:hint="eastAsia"/>
                <w:color w:val="auto"/>
                <w:sz w:val="21"/>
                <w:highlight w:val="none"/>
              </w:rPr>
              <w:tab/>
            </w:r>
            <w:r>
              <w:rPr>
                <w:rFonts w:hint="eastAsia"/>
                <w:color w:val="auto"/>
                <w:sz w:val="21"/>
                <w:highlight w:val="none"/>
              </w:rPr>
              <w:t>址：</w:t>
            </w:r>
            <w:r>
              <w:rPr>
                <w:rFonts w:hint="eastAsia"/>
                <w:color w:val="auto"/>
                <w:sz w:val="21"/>
                <w:highlight w:val="none"/>
                <w:u w:val="single"/>
                <w:lang w:val="en-US"/>
              </w:rPr>
              <w:t xml:space="preserve">   </w:t>
            </w:r>
            <w:r>
              <w:rPr>
                <w:rFonts w:hint="eastAsia"/>
                <w:color w:val="auto"/>
                <w:szCs w:val="21"/>
                <w:highlight w:val="none"/>
                <w:u w:val="single"/>
                <w:lang w:eastAsia="zh-CN"/>
              </w:rPr>
              <w:t>辽宁省鞍山市铁东区山南街52号</w:t>
            </w:r>
            <w:r>
              <w:rPr>
                <w:rFonts w:hint="eastAsia"/>
                <w:color w:val="auto"/>
                <w:sz w:val="21"/>
                <w:highlight w:val="none"/>
                <w:u w:val="single"/>
                <w:lang w:val="en-US"/>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87"/>
              <w:ind w:left="9"/>
              <w:jc w:val="center"/>
              <w:rPr>
                <w:rFonts w:ascii="Times New Roman"/>
                <w:color w:val="auto"/>
                <w:sz w:val="21"/>
                <w:highlight w:val="none"/>
              </w:rPr>
            </w:pPr>
            <w:r>
              <w:rPr>
                <w:rFonts w:ascii="Times New Roman"/>
                <w:color w:val="auto"/>
                <w:sz w:val="21"/>
                <w:highlight w:val="none"/>
              </w:rPr>
              <w:t>3</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87"/>
              <w:ind w:left="104" w:right="90"/>
              <w:jc w:val="center"/>
              <w:rPr>
                <w:rFonts w:ascii="Times New Roman"/>
                <w:color w:val="auto"/>
                <w:sz w:val="21"/>
                <w:highlight w:val="none"/>
              </w:rPr>
            </w:pPr>
            <w:r>
              <w:rPr>
                <w:rFonts w:ascii="Times New Roman"/>
                <w:color w:val="auto"/>
                <w:sz w:val="21"/>
                <w:highlight w:val="none"/>
              </w:rPr>
              <w:t>1.1.2.6</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336" w:lineRule="auto"/>
              <w:ind w:left="323"/>
              <w:rPr>
                <w:color w:val="auto"/>
                <w:sz w:val="21"/>
                <w:highlight w:val="none"/>
              </w:rPr>
            </w:pPr>
            <w:r>
              <w:rPr>
                <w:rFonts w:hint="eastAsia"/>
                <w:color w:val="auto"/>
                <w:sz w:val="21"/>
                <w:highlight w:val="none"/>
              </w:rPr>
              <w:t>监 理 人：</w:t>
            </w:r>
          </w:p>
          <w:p>
            <w:pPr>
              <w:pStyle w:val="87"/>
              <w:tabs>
                <w:tab w:val="left" w:pos="957"/>
                <w:tab w:val="left" w:pos="3372"/>
              </w:tabs>
              <w:adjustRightInd w:val="0"/>
              <w:snapToGrid w:val="0"/>
              <w:spacing w:line="336" w:lineRule="auto"/>
              <w:ind w:left="323"/>
              <w:rPr>
                <w:color w:val="auto"/>
                <w:sz w:val="21"/>
                <w:highlight w:val="none"/>
              </w:rPr>
            </w:pPr>
            <w:r>
              <w:rPr>
                <w:rFonts w:hint="eastAsia"/>
                <w:color w:val="auto"/>
                <w:sz w:val="21"/>
                <w:highlight w:val="none"/>
              </w:rPr>
              <w:t>地</w:t>
            </w:r>
            <w:r>
              <w:rPr>
                <w:rFonts w:hint="eastAsia"/>
                <w:color w:val="auto"/>
                <w:sz w:val="21"/>
                <w:highlight w:val="none"/>
              </w:rPr>
              <w:tab/>
            </w:r>
            <w:r>
              <w:rPr>
                <w:rFonts w:hint="eastAsia"/>
                <w:color w:val="auto"/>
                <w:sz w:val="21"/>
                <w:highlight w:val="none"/>
              </w:rPr>
              <w:t>址：</w:t>
            </w:r>
            <w:r>
              <w:rPr>
                <w:rFonts w:hint="eastAsia"/>
                <w:color w:val="auto"/>
                <w:sz w:val="21"/>
                <w:highlight w:val="none"/>
              </w:rPr>
              <w:tab/>
            </w:r>
          </w:p>
          <w:p>
            <w:pPr>
              <w:pStyle w:val="87"/>
              <w:adjustRightInd w:val="0"/>
              <w:snapToGrid w:val="0"/>
              <w:spacing w:line="336" w:lineRule="auto"/>
              <w:ind w:left="323"/>
              <w:rPr>
                <w:color w:val="auto"/>
                <w:sz w:val="21"/>
                <w:highlight w:val="none"/>
              </w:rPr>
            </w:pPr>
            <w:r>
              <w:rPr>
                <w:rFonts w:hint="eastAsia"/>
                <w:color w:val="auto"/>
                <w:sz w:val="21"/>
                <w:highlight w:val="none"/>
              </w:rPr>
              <w:t>（发包人将在签订合同协议书后，将上述信息书面通知承包人）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87"/>
              <w:ind w:left="9"/>
              <w:jc w:val="center"/>
              <w:rPr>
                <w:rFonts w:ascii="Times New Roman"/>
                <w:color w:val="auto"/>
                <w:sz w:val="21"/>
                <w:highlight w:val="none"/>
              </w:rPr>
            </w:pPr>
            <w:r>
              <w:rPr>
                <w:rFonts w:ascii="Times New Roman"/>
                <w:color w:val="auto"/>
                <w:sz w:val="21"/>
                <w:highlight w:val="none"/>
              </w:rPr>
              <w:t>4</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87"/>
              <w:ind w:left="104" w:right="90"/>
              <w:jc w:val="center"/>
              <w:rPr>
                <w:rFonts w:ascii="Times New Roman"/>
                <w:color w:val="auto"/>
                <w:sz w:val="21"/>
                <w:highlight w:val="none"/>
              </w:rPr>
            </w:pPr>
            <w:r>
              <w:rPr>
                <w:rFonts w:ascii="Times New Roman"/>
                <w:color w:val="auto"/>
                <w:sz w:val="21"/>
                <w:highlight w:val="none"/>
              </w:rPr>
              <w:t>1.1.2.9</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336" w:lineRule="auto"/>
              <w:ind w:left="113" w:right="-28" w:firstLine="210"/>
              <w:rPr>
                <w:color w:val="auto"/>
                <w:sz w:val="21"/>
                <w:highlight w:val="none"/>
              </w:rPr>
            </w:pPr>
            <w:r>
              <w:rPr>
                <w:rFonts w:hint="eastAsia"/>
                <w:color w:val="auto"/>
                <w:spacing w:val="-3"/>
                <w:sz w:val="21"/>
                <w:highlight w:val="none"/>
              </w:rPr>
              <w:t>项目法人：本项目的项目法人由项目出资人和项目管理法人组成，其中项目出资人为辽宁省交通运输厅，是项目各项费用的支付主体；项目管理法人为辽宁省交通</w:t>
            </w:r>
            <w:r>
              <w:rPr>
                <w:rFonts w:hint="eastAsia"/>
                <w:color w:val="auto"/>
                <w:spacing w:val="-11"/>
                <w:sz w:val="21"/>
                <w:highlight w:val="none"/>
              </w:rPr>
              <w:t>运输事业发展中心，是本合同工程的监督管理主体。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263"/>
              <w:jc w:val="center"/>
              <w:rPr>
                <w:rFonts w:ascii="Times New Roman"/>
                <w:color w:val="auto"/>
                <w:sz w:val="21"/>
                <w:szCs w:val="22"/>
                <w:highlight w:val="none"/>
                <w:lang w:val="zh-CN" w:eastAsia="zh-CN" w:bidi="zh-CN"/>
              </w:rPr>
            </w:pPr>
            <w:r>
              <w:rPr>
                <w:rFonts w:ascii="Times New Roman"/>
                <w:color w:val="auto"/>
                <w:sz w:val="21"/>
                <w:szCs w:val="22"/>
                <w:highlight w:val="none"/>
                <w:lang w:val="zh-CN" w:eastAsia="zh-CN" w:bidi="zh-CN"/>
              </w:rPr>
              <w:t>5</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263"/>
              <w:jc w:val="center"/>
              <w:rPr>
                <w:rFonts w:ascii="Times New Roman"/>
                <w:color w:val="auto"/>
                <w:sz w:val="21"/>
                <w:szCs w:val="22"/>
                <w:highlight w:val="none"/>
                <w:lang w:val="zh-CN" w:eastAsia="zh-CN" w:bidi="zh-CN"/>
              </w:rPr>
            </w:pPr>
            <w:r>
              <w:rPr>
                <w:rFonts w:ascii="Times New Roman"/>
                <w:color w:val="auto"/>
                <w:sz w:val="21"/>
                <w:szCs w:val="22"/>
                <w:highlight w:val="none"/>
                <w:lang w:val="en-US" w:eastAsia="en-US" w:bidi="zh-CN"/>
              </w:rPr>
              <w:t>1.1.2.10</w:t>
            </w:r>
          </w:p>
        </w:tc>
        <w:tc>
          <w:tcPr>
            <w:tcW w:w="7780" w:type="dxa"/>
            <w:tcBorders>
              <w:top w:val="single" w:color="000000" w:sz="2" w:space="0"/>
              <w:left w:val="single" w:color="000000" w:sz="2" w:space="0"/>
              <w:bottom w:val="single" w:color="000000" w:sz="2" w:space="0"/>
              <w:right w:val="single" w:color="000000" w:sz="8" w:space="0"/>
            </w:tcBorders>
            <w:shd w:val="clear" w:color="auto" w:fill="FFFFFF"/>
            <w:vAlign w:val="bottom"/>
          </w:tcPr>
          <w:p>
            <w:pPr>
              <w:pStyle w:val="263"/>
              <w:adjustRightInd w:val="0"/>
              <w:snapToGrid w:val="0"/>
              <w:spacing w:line="336" w:lineRule="auto"/>
              <w:ind w:firstLine="204" w:firstLineChars="100"/>
              <w:jc w:val="both"/>
              <w:rPr>
                <w:color w:val="auto"/>
                <w:spacing w:val="-3"/>
                <w:sz w:val="21"/>
                <w:highlight w:val="none"/>
              </w:rPr>
            </w:pPr>
            <w:r>
              <w:rPr>
                <w:rFonts w:hint="eastAsia"/>
                <w:color w:val="auto"/>
                <w:spacing w:val="-3"/>
                <w:sz w:val="21"/>
                <w:szCs w:val="22"/>
                <w:highlight w:val="none"/>
                <w:lang w:val="zh-CN" w:eastAsia="zh-CN" w:bidi="zh-CN"/>
              </w:rPr>
              <w:t>项目代建人：指本项目的发包人，是承担本合同工程质量、安全、投资及工期等管理的责任主体。承包人应理解并接受，发包人是由项目管理法人以协议等方式委托，全面负责本</w:t>
            </w:r>
            <w:r>
              <w:rPr>
                <w:rFonts w:hint="eastAsia"/>
                <w:color w:val="auto"/>
                <w:spacing w:val="-3"/>
                <w:sz w:val="21"/>
                <w:szCs w:val="22"/>
                <w:highlight w:val="none"/>
                <w:lang w:val="en-US" w:eastAsia="zh-CN" w:bidi="zh-CN"/>
              </w:rPr>
              <w:t>合同</w:t>
            </w:r>
            <w:r>
              <w:rPr>
                <w:rFonts w:hint="eastAsia"/>
                <w:color w:val="auto"/>
                <w:spacing w:val="-3"/>
                <w:sz w:val="21"/>
                <w:szCs w:val="22"/>
                <w:highlight w:val="none"/>
                <w:lang w:val="zh-CN" w:eastAsia="zh-CN" w:bidi="zh-CN"/>
              </w:rPr>
              <w:t>工程管理的执行机构，本</w:t>
            </w:r>
            <w:r>
              <w:rPr>
                <w:rFonts w:hint="eastAsia"/>
                <w:color w:val="auto"/>
                <w:spacing w:val="-3"/>
                <w:sz w:val="21"/>
                <w:szCs w:val="22"/>
                <w:highlight w:val="none"/>
                <w:lang w:val="en-US" w:eastAsia="zh-CN" w:bidi="zh-CN"/>
              </w:rPr>
              <w:t>合同</w:t>
            </w:r>
            <w:r>
              <w:rPr>
                <w:rFonts w:hint="eastAsia"/>
                <w:color w:val="auto"/>
                <w:spacing w:val="-3"/>
                <w:sz w:val="21"/>
                <w:szCs w:val="22"/>
                <w:highlight w:val="none"/>
                <w:lang w:val="zh-CN" w:eastAsia="zh-CN" w:bidi="zh-CN"/>
              </w:rPr>
              <w:t>仅约束发包人与承包人，本合同效力不及于出资人及项目管理法人。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87"/>
              <w:ind w:left="9"/>
              <w:jc w:val="center"/>
              <w:rPr>
                <w:rFonts w:ascii="Times New Roman"/>
                <w:color w:val="auto"/>
                <w:sz w:val="21"/>
                <w:highlight w:val="none"/>
              </w:rPr>
            </w:pPr>
            <w:r>
              <w:rPr>
                <w:rFonts w:hint="eastAsia" w:ascii="Times New Roman"/>
                <w:color w:val="auto"/>
                <w:sz w:val="21"/>
                <w:highlight w:val="none"/>
                <w:lang w:val="en-US"/>
              </w:rPr>
              <w:t>6</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87"/>
              <w:ind w:left="106" w:right="90"/>
              <w:jc w:val="center"/>
              <w:rPr>
                <w:rFonts w:ascii="Times New Roman"/>
                <w:color w:val="auto"/>
                <w:sz w:val="21"/>
                <w:highlight w:val="none"/>
                <w:lang w:val="en-US" w:eastAsia="en-US"/>
              </w:rPr>
            </w:pPr>
            <w:r>
              <w:rPr>
                <w:rFonts w:ascii="Times New Roman"/>
                <w:color w:val="auto"/>
                <w:sz w:val="21"/>
                <w:highlight w:val="none"/>
              </w:rPr>
              <w:t>1.1.3.14</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tabs>
                <w:tab w:val="left" w:pos="7208"/>
              </w:tabs>
              <w:adjustRightInd w:val="0"/>
              <w:snapToGrid w:val="0"/>
              <w:spacing w:line="336" w:lineRule="auto"/>
              <w:ind w:left="113" w:right="81" w:firstLine="211"/>
              <w:rPr>
                <w:color w:val="auto"/>
                <w:spacing w:val="-3"/>
                <w:sz w:val="21"/>
                <w:highlight w:val="none"/>
              </w:rPr>
            </w:pPr>
            <w:r>
              <w:rPr>
                <w:color w:val="auto"/>
                <w:sz w:val="21"/>
                <w:szCs w:val="21"/>
                <w:highlight w:val="none"/>
              </w:rPr>
              <w:t>本工程的主体和关鍵性工作是指：</w:t>
            </w:r>
            <w:r>
              <w:rPr>
                <w:rFonts w:hint="eastAsia" w:ascii="宋体" w:hAnsi="宋体"/>
                <w:b/>
                <w:bCs/>
                <w:color w:val="auto"/>
                <w:szCs w:val="21"/>
                <w:highlight w:val="none"/>
                <w:u w:val="single"/>
              </w:rPr>
              <w:t>桥梁上部下部主体结构等工程</w:t>
            </w:r>
            <w:r>
              <w:rPr>
                <w:rFonts w:hint="eastAsia"/>
                <w:color w:val="auto"/>
                <w:sz w:val="21"/>
                <w:szCs w:val="21"/>
                <w:highlight w:val="none"/>
                <w:u w:val="single"/>
                <w:lang w:val="en-US"/>
              </w:rPr>
              <w:t xml:space="preserve"> </w:t>
            </w:r>
            <w:r>
              <w:rPr>
                <w:color w:val="auto"/>
                <w:sz w:val="21"/>
                <w:szCs w:val="21"/>
                <w:highlight w:val="none"/>
              </w:rPr>
              <w:t>。</w:t>
            </w:r>
            <w:r>
              <w:rPr>
                <w:rFonts w:hint="eastAsia" w:ascii="方正行楷简体" w:hAnsi="方正行楷简体" w:eastAsia="方正行楷简体" w:cs="方正行楷简体"/>
                <w:color w:val="auto"/>
                <w:sz w:val="21"/>
                <w:szCs w:val="21"/>
                <w:highlight w:val="none"/>
              </w:rPr>
              <w:t>(由发包人根据工程实际情况填写，例如：桥梁主体结构重建)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FFFFFF"/>
            <w:vAlign w:val="center"/>
          </w:tcPr>
          <w:p>
            <w:pPr>
              <w:pStyle w:val="87"/>
              <w:spacing w:before="133"/>
              <w:ind w:left="9"/>
              <w:jc w:val="center"/>
              <w:rPr>
                <w:rFonts w:ascii="Times New Roman"/>
                <w:color w:val="auto"/>
                <w:sz w:val="21"/>
                <w:highlight w:val="none"/>
              </w:rPr>
            </w:pPr>
            <w:r>
              <w:rPr>
                <w:rFonts w:hint="eastAsia" w:ascii="Times New Roman"/>
                <w:color w:val="auto"/>
                <w:sz w:val="21"/>
                <w:highlight w:val="none"/>
                <w:lang w:val="en-US"/>
              </w:rPr>
              <w:t>7</w:t>
            </w: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87"/>
              <w:spacing w:before="133"/>
              <w:ind w:left="104" w:right="90"/>
              <w:jc w:val="center"/>
              <w:rPr>
                <w:rFonts w:ascii="Times New Roman"/>
                <w:color w:val="auto"/>
                <w:sz w:val="21"/>
                <w:highlight w:val="none"/>
              </w:rPr>
            </w:pPr>
            <w:r>
              <w:rPr>
                <w:rFonts w:ascii="Times New Roman"/>
                <w:color w:val="auto"/>
                <w:sz w:val="21"/>
                <w:highlight w:val="none"/>
              </w:rPr>
              <w:t>1.1.4.5</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336" w:lineRule="auto"/>
              <w:ind w:left="326"/>
              <w:rPr>
                <w:color w:val="auto"/>
                <w:sz w:val="21"/>
                <w:highlight w:val="none"/>
              </w:rPr>
            </w:pPr>
            <w:r>
              <w:rPr>
                <w:rFonts w:hint="eastAsia"/>
                <w:color w:val="auto"/>
                <w:spacing w:val="-3"/>
                <w:sz w:val="21"/>
                <w:highlight w:val="none"/>
                <w:lang w:val="en-US"/>
              </w:rPr>
              <w:t>养护工程</w:t>
            </w:r>
            <w:r>
              <w:rPr>
                <w:rFonts w:hint="eastAsia"/>
                <w:color w:val="auto"/>
                <w:spacing w:val="-3"/>
                <w:sz w:val="21"/>
                <w:highlight w:val="none"/>
              </w:rPr>
              <w:t>缺陷责任期：自实际验收之日起计算</w:t>
            </w:r>
            <w:r>
              <w:rPr>
                <w:rFonts w:hint="eastAsia"/>
                <w:color w:val="auto"/>
                <w:spacing w:val="-3"/>
                <w:sz w:val="21"/>
                <w:highlight w:val="none"/>
                <w:u w:val="single"/>
              </w:rPr>
              <w:t xml:space="preserve"> </w:t>
            </w:r>
            <w:r>
              <w:rPr>
                <w:rFonts w:hint="eastAsia"/>
                <w:color w:val="auto"/>
                <w:sz w:val="21"/>
                <w:highlight w:val="none"/>
                <w:u w:val="single"/>
                <w:lang w:val="en-US"/>
              </w:rPr>
              <w:t>12</w:t>
            </w:r>
            <w:r>
              <w:rPr>
                <w:rFonts w:hint="eastAsia"/>
                <w:color w:val="auto"/>
                <w:spacing w:val="51"/>
                <w:sz w:val="21"/>
                <w:highlight w:val="none"/>
                <w:u w:val="single"/>
              </w:rPr>
              <w:t xml:space="preserve"> </w:t>
            </w:r>
            <w:r>
              <w:rPr>
                <w:rFonts w:hint="eastAsia"/>
                <w:color w:val="auto"/>
                <w:sz w:val="21"/>
                <w:highlight w:val="none"/>
              </w:rPr>
              <w:t>个月</w:t>
            </w:r>
          </w:p>
        </w:tc>
      </w:tr>
    </w:tbl>
    <w:p>
      <w:pPr>
        <w:pStyle w:val="268"/>
        <w:spacing w:before="120" w:after="120" w:line="360" w:lineRule="exact"/>
        <w:outlineLvl w:val="9"/>
        <w:rPr>
          <w:rFonts w:eastAsia="宋体" w:cs="Arial"/>
          <w:bCs/>
          <w:color w:val="auto"/>
          <w:sz w:val="24"/>
          <w:szCs w:val="24"/>
          <w:highlight w:val="none"/>
        </w:rPr>
        <w:sectPr>
          <w:pgSz w:w="11906" w:h="16838"/>
          <w:pgMar w:top="1440" w:right="991" w:bottom="1440" w:left="1418" w:header="851" w:footer="992" w:gutter="0"/>
          <w:cols w:space="720" w:num="1"/>
          <w:docGrid w:type="lines" w:linePitch="312" w:charSpace="0"/>
        </w:sectPr>
      </w:pPr>
    </w:p>
    <w:tbl>
      <w:tblPr>
        <w:tblStyle w:val="47"/>
        <w:tblW w:w="9610" w:type="dxa"/>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295"/>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295"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263"/>
              <w:jc w:val="center"/>
              <w:rPr>
                <w:color w:val="auto"/>
                <w:sz w:val="21"/>
                <w:highlight w:val="none"/>
              </w:rPr>
            </w:pPr>
            <w:r>
              <w:rPr>
                <w:rFonts w:ascii="Times New Roman"/>
                <w:color w:val="auto"/>
                <w:sz w:val="21"/>
                <w:szCs w:val="22"/>
                <w:highlight w:val="none"/>
                <w:lang w:val="en-US" w:eastAsia="en-US" w:bidi="zh-CN"/>
              </w:rPr>
              <w:t>8</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263"/>
              <w:jc w:val="center"/>
              <w:rPr>
                <w:color w:val="auto"/>
                <w:sz w:val="21"/>
                <w:highlight w:val="none"/>
              </w:rPr>
            </w:pPr>
            <w:r>
              <w:rPr>
                <w:rFonts w:ascii="Times New Roman"/>
                <w:color w:val="auto"/>
                <w:sz w:val="21"/>
                <w:szCs w:val="22"/>
                <w:highlight w:val="none"/>
                <w:lang w:val="en-US" w:eastAsia="en-US" w:bidi="zh-CN"/>
              </w:rPr>
              <w:t>1.1.5.1</w:t>
            </w:r>
          </w:p>
        </w:tc>
        <w:tc>
          <w:tcPr>
            <w:tcW w:w="7780" w:type="dxa"/>
            <w:tcBorders>
              <w:top w:val="single" w:color="000000" w:sz="2" w:space="0"/>
              <w:left w:val="single" w:color="000000" w:sz="2" w:space="0"/>
              <w:bottom w:val="single" w:color="000000" w:sz="2" w:space="0"/>
              <w:right w:val="single" w:color="000000" w:sz="8" w:space="0"/>
            </w:tcBorders>
            <w:vAlign w:val="bottom"/>
          </w:tcPr>
          <w:p>
            <w:pPr>
              <w:pStyle w:val="263"/>
              <w:ind w:firstLine="280" w:firstLineChars="100"/>
              <w:rPr>
                <w:rFonts w:ascii="方正行楷简体" w:hAnsi="方正行楷简体" w:eastAsia="方正行楷简体" w:cs="方正行楷简体"/>
                <w:color w:val="auto"/>
                <w:sz w:val="28"/>
                <w:szCs w:val="28"/>
                <w:highlight w:val="none"/>
                <w:lang w:val="en-US" w:eastAsia="zh-CN" w:bidi="zh-CN"/>
              </w:rPr>
            </w:pPr>
            <w:r>
              <w:rPr>
                <w:rFonts w:hint="eastAsia" w:ascii="方正行楷简体" w:hAnsi="方正行楷简体" w:eastAsia="方正行楷简体" w:cs="方正行楷简体"/>
                <w:color w:val="auto"/>
                <w:sz w:val="28"/>
                <w:szCs w:val="28"/>
                <w:highlight w:val="none"/>
                <w:lang w:val="en-US" w:eastAsia="zh-CN" w:bidi="zh-CN"/>
              </w:rPr>
              <w:t>采用总价合同方式的养护工程，可约定为：</w:t>
            </w:r>
          </w:p>
          <w:p>
            <w:pPr>
              <w:pStyle w:val="263"/>
              <w:ind w:firstLine="220" w:firstLineChars="100"/>
              <w:rPr>
                <w:color w:val="auto"/>
                <w:sz w:val="21"/>
                <w:szCs w:val="21"/>
                <w:highlight w:val="none"/>
              </w:rPr>
            </w:pPr>
            <w:r>
              <w:rPr>
                <w:color w:val="auto"/>
                <w:sz w:val="22"/>
                <w:szCs w:val="21"/>
                <w:highlight w:val="none"/>
                <w:lang w:val="zh-CN" w:eastAsia="zh-CN" w:bidi="zh-CN"/>
              </w:rPr>
              <w:t>签约合同价：指签订合同时合同协议书中写明的合同总金额，签约合同价中无 暂列金额、暂估价。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85"/>
              <w:ind w:left="9"/>
              <w:jc w:val="center"/>
              <w:rPr>
                <w:color w:val="auto"/>
                <w:sz w:val="21"/>
                <w:highlight w:val="none"/>
              </w:rPr>
            </w:pPr>
            <w:r>
              <w:rPr>
                <w:rFonts w:hint="eastAsia"/>
                <w:color w:val="auto"/>
                <w:sz w:val="21"/>
                <w:highlight w:val="none"/>
                <w:lang w:val="en-US"/>
              </w:rPr>
              <w:t>9</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73"/>
              <w:ind w:right="90"/>
              <w:jc w:val="center"/>
              <w:rPr>
                <w:color w:val="auto"/>
                <w:sz w:val="21"/>
                <w:highlight w:val="none"/>
              </w:rPr>
            </w:pPr>
            <w:r>
              <w:rPr>
                <w:rFonts w:hint="eastAsia"/>
                <w:color w:val="auto"/>
                <w:sz w:val="21"/>
                <w:highlight w:val="none"/>
              </w:rPr>
              <w:t>1.1.5.2</w:t>
            </w:r>
          </w:p>
        </w:tc>
        <w:tc>
          <w:tcPr>
            <w:tcW w:w="7780" w:type="dxa"/>
            <w:tcBorders>
              <w:top w:val="single" w:color="000000" w:sz="2" w:space="0"/>
              <w:left w:val="single" w:color="000000" w:sz="2" w:space="0"/>
              <w:bottom w:val="single" w:color="000000" w:sz="2" w:space="0"/>
              <w:right w:val="single" w:color="000000" w:sz="8" w:space="0"/>
            </w:tcBorders>
          </w:tcPr>
          <w:p>
            <w:pPr>
              <w:adjustRightInd w:val="0"/>
              <w:snapToGrid w:val="0"/>
              <w:spacing w:line="264" w:lineRule="auto"/>
              <w:ind w:firstLine="420" w:firstLineChars="150"/>
              <w:rPr>
                <w:color w:val="auto"/>
                <w:szCs w:val="21"/>
                <w:highlight w:val="none"/>
              </w:rPr>
            </w:pPr>
            <w:r>
              <w:rPr>
                <w:rFonts w:hint="eastAsia" w:ascii="方正行楷简体" w:hAnsi="方正行楷简体" w:eastAsia="方正行楷简体" w:cs="方正行楷简体"/>
                <w:color w:val="auto"/>
                <w:sz w:val="28"/>
                <w:szCs w:val="28"/>
                <w:highlight w:val="none"/>
                <w:lang w:val="en-US"/>
              </w:rPr>
              <w:t>采用总价合同方式的养护工程，可约定为：</w:t>
            </w:r>
          </w:p>
          <w:p>
            <w:pPr>
              <w:adjustRightInd w:val="0"/>
              <w:snapToGrid w:val="0"/>
              <w:spacing w:line="264" w:lineRule="auto"/>
              <w:ind w:firstLine="330" w:firstLineChars="150"/>
              <w:rPr>
                <w:color w:val="auto"/>
                <w:szCs w:val="21"/>
                <w:highlight w:val="none"/>
              </w:rPr>
            </w:pPr>
            <w:r>
              <w:rPr>
                <w:rFonts w:hint="eastAsia"/>
                <w:color w:val="auto"/>
                <w:szCs w:val="21"/>
                <w:highlight w:val="none"/>
              </w:rPr>
              <w:t>（1）</w:t>
            </w:r>
            <w:r>
              <w:rPr>
                <w:color w:val="auto"/>
                <w:szCs w:val="21"/>
                <w:highlight w:val="none"/>
              </w:rPr>
              <w:t>合同价格是指承包人按合同约定完成了包括缺陷责任期内的全部承包工作后，发包人应付给承包人的工程施工价款，包括在履行合同过程中按合同约定进行的变更和调整。</w:t>
            </w:r>
          </w:p>
          <w:p>
            <w:pPr>
              <w:adjustRightInd w:val="0"/>
              <w:snapToGrid w:val="0"/>
              <w:spacing w:line="264" w:lineRule="auto"/>
              <w:ind w:firstLine="330" w:firstLineChars="150"/>
              <w:rPr>
                <w:color w:val="auto"/>
                <w:szCs w:val="21"/>
                <w:highlight w:val="none"/>
              </w:rPr>
            </w:pPr>
            <w:r>
              <w:rPr>
                <w:color w:val="auto"/>
                <w:szCs w:val="21"/>
                <w:highlight w:val="none"/>
              </w:rPr>
              <w:t>（2）合同价格采用总价合同方式。指承包人按照施工图设计文件（含变更设计文件）完成本工程所有施工内容，按合同约定完成包括缺陷责任期内的全部合同义务且保证工程满足合同约定的质量要求及质量检验标准后，</w:t>
            </w:r>
            <w:r>
              <w:rPr>
                <w:color w:val="auto"/>
                <w:highlight w:val="none"/>
              </w:rPr>
              <w:t>出资人</w:t>
            </w:r>
            <w:r>
              <w:rPr>
                <w:color w:val="auto"/>
                <w:szCs w:val="21"/>
                <w:highlight w:val="none"/>
              </w:rPr>
              <w:t>应付给承包人的工程施工价款，包括在履行合同过程中按专用合同条款第15.4款约定进行的变更和调整。除合同约定引起的变更和调整外，发包人以及承包人已充分考虑了在履约过程中的所有风险，签约合同价即为</w:t>
            </w:r>
            <w:r>
              <w:rPr>
                <w:color w:val="auto"/>
                <w:highlight w:val="none"/>
              </w:rPr>
              <w:t>出资人</w:t>
            </w:r>
            <w:r>
              <w:rPr>
                <w:color w:val="auto"/>
                <w:szCs w:val="21"/>
                <w:highlight w:val="none"/>
              </w:rPr>
              <w:t>最终支付给承包人的工程施工价款。</w:t>
            </w:r>
          </w:p>
          <w:p>
            <w:pPr>
              <w:pStyle w:val="263"/>
              <w:tabs>
                <w:tab w:val="left" w:pos="1039"/>
              </w:tabs>
              <w:adjustRightInd w:val="0"/>
              <w:snapToGrid w:val="0"/>
              <w:spacing w:line="264" w:lineRule="auto"/>
              <w:ind w:firstLine="440" w:firstLineChars="200"/>
              <w:jc w:val="both"/>
              <w:rPr>
                <w:color w:val="auto"/>
                <w:sz w:val="22"/>
                <w:szCs w:val="21"/>
                <w:highlight w:val="none"/>
                <w:lang w:val="zh-CN" w:eastAsia="zh-CN" w:bidi="zh-CN"/>
              </w:rPr>
            </w:pPr>
            <w:r>
              <w:rPr>
                <w:color w:val="auto"/>
                <w:sz w:val="22"/>
                <w:szCs w:val="21"/>
                <w:highlight w:val="none"/>
                <w:lang w:val="zh-CN" w:eastAsia="zh-CN" w:bidi="zh-CN"/>
              </w:rPr>
              <w:t>（3）合同价格结算价：根据“签约合同价"、“按专用合同条款第</w:t>
            </w:r>
            <w:r>
              <w:rPr>
                <w:color w:val="auto"/>
                <w:sz w:val="22"/>
                <w:szCs w:val="21"/>
                <w:highlight w:val="none"/>
                <w:lang w:val="en-US" w:eastAsia="zh-CN" w:bidi="zh-CN"/>
              </w:rPr>
              <w:t>15.4</w:t>
            </w:r>
            <w:r>
              <w:rPr>
                <w:color w:val="auto"/>
                <w:sz w:val="22"/>
                <w:szCs w:val="21"/>
                <w:highlight w:val="none"/>
                <w:lang w:val="zh-CN" w:eastAsia="zh-CN" w:bidi="zh-CN"/>
              </w:rPr>
              <w:t>款约定进行的变更和调整”进行计算。</w:t>
            </w:r>
          </w:p>
          <w:p>
            <w:pPr>
              <w:pStyle w:val="263"/>
              <w:adjustRightInd w:val="0"/>
              <w:snapToGrid w:val="0"/>
              <w:spacing w:line="264" w:lineRule="auto"/>
              <w:ind w:firstLine="460"/>
              <w:jc w:val="both"/>
              <w:rPr>
                <w:color w:val="auto"/>
                <w:sz w:val="22"/>
                <w:szCs w:val="21"/>
                <w:highlight w:val="none"/>
                <w:lang w:val="zh-CN" w:eastAsia="zh-CN" w:bidi="zh-CN"/>
              </w:rPr>
            </w:pPr>
            <w:r>
              <w:rPr>
                <w:color w:val="auto"/>
                <w:sz w:val="22"/>
                <w:szCs w:val="21"/>
                <w:highlight w:val="none"/>
                <w:lang w:val="zh-CN" w:eastAsia="zh-CN" w:bidi="zh-CN"/>
              </w:rPr>
              <w:t>发包人应付给承包人的工程施工价款最终结算价以发包人、监理人、承包人共同核定的金额为准。</w:t>
            </w:r>
          </w:p>
          <w:p>
            <w:pPr>
              <w:pStyle w:val="263"/>
              <w:adjustRightInd w:val="0"/>
              <w:snapToGrid w:val="0"/>
              <w:spacing w:line="264" w:lineRule="auto"/>
              <w:ind w:firstLine="460"/>
              <w:jc w:val="both"/>
              <w:rPr>
                <w:color w:val="auto"/>
                <w:sz w:val="22"/>
                <w:szCs w:val="21"/>
                <w:highlight w:val="none"/>
                <w:lang w:val="zh-CN" w:eastAsia="zh-CN" w:bidi="zh-CN"/>
              </w:rPr>
            </w:pPr>
            <w:r>
              <w:rPr>
                <w:color w:val="auto"/>
                <w:sz w:val="22"/>
                <w:szCs w:val="21"/>
                <w:highlight w:val="none"/>
                <w:lang w:val="zh-CN" w:eastAsia="zh-CN" w:bidi="zh-CN"/>
              </w:rPr>
              <w:t>在竣工决算经行业主管部门审查（如有）、审计方审计（如有）后，发包人将综合审查审计意见（如有）调整工程施工价款结算价，承包人应予以接受。当行业主管部门和审计方对同一内容有不同意见的，以审查、审计两者最终核定工程价款较低金额为准。</w:t>
            </w:r>
          </w:p>
          <w:p>
            <w:pPr>
              <w:pStyle w:val="87"/>
              <w:adjustRightInd w:val="0"/>
              <w:snapToGrid w:val="0"/>
              <w:spacing w:line="264" w:lineRule="auto"/>
              <w:ind w:left="113" w:firstLine="210"/>
              <w:rPr>
                <w:color w:val="auto"/>
                <w:sz w:val="21"/>
                <w:highlight w:val="none"/>
              </w:rPr>
            </w:pPr>
            <w:r>
              <w:rPr>
                <w:color w:val="auto"/>
                <w:szCs w:val="21"/>
                <w:highlight w:val="none"/>
              </w:rPr>
              <w:t>依据审查、审计结论（如有）需承包人返还工程款时，承包人应按发包人要求的时限及时返还，否则，发包人有权扣减（或动用承包人的质量保证金）相应的质量保证金予以抵扣。质量保证金不足以抵扣承包人需返还工程款的，承包人应按发包人要求的时限及时补齐，否则，发包人将通过诉讼手段向承包人进行追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spacing w:line="190" w:lineRule="exact"/>
              <w:rPr>
                <w:color w:val="auto"/>
                <w:szCs w:val="21"/>
                <w:highlight w:val="none"/>
                <w:lang w:val="en-US"/>
              </w:rPr>
            </w:pPr>
            <w:r>
              <w:rPr>
                <w:rStyle w:val="238"/>
                <w:rFonts w:hint="eastAsia"/>
                <w:color w:val="auto"/>
                <w:sz w:val="21"/>
                <w:szCs w:val="21"/>
                <w:highlight w:val="none"/>
                <w:lang w:val="en-US"/>
              </w:rPr>
              <w:t>10</w:t>
            </w:r>
          </w:p>
        </w:tc>
        <w:tc>
          <w:tcPr>
            <w:tcW w:w="1295" w:type="dxa"/>
            <w:tcBorders>
              <w:top w:val="single" w:color="000000" w:sz="2" w:space="0"/>
              <w:left w:val="single" w:color="000000" w:sz="2" w:space="0"/>
              <w:bottom w:val="single" w:color="000000" w:sz="2" w:space="0"/>
              <w:right w:val="single" w:color="000000" w:sz="2" w:space="0"/>
            </w:tcBorders>
            <w:vAlign w:val="center"/>
          </w:tcPr>
          <w:p>
            <w:pPr>
              <w:spacing w:line="190" w:lineRule="exact"/>
              <w:rPr>
                <w:color w:val="auto"/>
                <w:szCs w:val="21"/>
                <w:highlight w:val="none"/>
              </w:rPr>
            </w:pPr>
            <w:r>
              <w:rPr>
                <w:rStyle w:val="238"/>
                <w:rFonts w:ascii="宋体" w:hAnsi="宋体" w:eastAsia="宋体"/>
                <w:color w:val="auto"/>
                <w:sz w:val="21"/>
                <w:szCs w:val="21"/>
                <w:highlight w:val="none"/>
                <w:lang w:eastAsia="en-US" w:bidi="en-US"/>
              </w:rPr>
              <w:t>1.1.5.5</w:t>
            </w:r>
          </w:p>
        </w:tc>
        <w:tc>
          <w:tcPr>
            <w:tcW w:w="7780" w:type="dxa"/>
            <w:tcBorders>
              <w:top w:val="single" w:color="000000" w:sz="2" w:space="0"/>
              <w:left w:val="single" w:color="000000" w:sz="2" w:space="0"/>
              <w:bottom w:val="single" w:color="000000" w:sz="2" w:space="0"/>
              <w:right w:val="single" w:color="000000" w:sz="8" w:space="0"/>
            </w:tcBorders>
            <w:vAlign w:val="bottom"/>
          </w:tcPr>
          <w:p>
            <w:pPr>
              <w:adjustRightInd w:val="0"/>
              <w:snapToGrid w:val="0"/>
              <w:spacing w:line="264" w:lineRule="auto"/>
              <w:ind w:firstLine="345" w:firstLineChars="150"/>
              <w:rPr>
                <w:color w:val="auto"/>
                <w:spacing w:val="10"/>
                <w:szCs w:val="21"/>
                <w:highlight w:val="none"/>
              </w:rPr>
            </w:pPr>
            <w:r>
              <w:rPr>
                <w:rStyle w:val="238"/>
                <w:rFonts w:ascii="宋体" w:hAnsi="宋体" w:eastAsia="宋体"/>
                <w:color w:val="auto"/>
                <w:sz w:val="21"/>
                <w:szCs w:val="21"/>
                <w:highlight w:val="none"/>
              </w:rPr>
              <w:t>暂估价：指对于合同中某些不确定价格的材料、设备以及专业工程的金额发包人预先指定了一个价格作为投标人报价的依据。该作为暂估价的材料、设备以及专业工程在合同执行过程中的实际价格按照合同条款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
              <w:ind w:left="9"/>
              <w:jc w:val="center"/>
              <w:rPr>
                <w:color w:val="auto"/>
                <w:sz w:val="21"/>
                <w:highlight w:val="none"/>
              </w:rPr>
            </w:pPr>
            <w:r>
              <w:rPr>
                <w:rFonts w:hint="eastAsia"/>
                <w:color w:val="auto"/>
                <w:sz w:val="21"/>
                <w:highlight w:val="none"/>
              </w:rPr>
              <w:t>1</w:t>
            </w:r>
            <w:r>
              <w:rPr>
                <w:rFonts w:hint="eastAsia"/>
                <w:color w:val="auto"/>
                <w:sz w:val="21"/>
                <w:highlight w:val="none"/>
                <w:lang w:val="en-US"/>
              </w:rPr>
              <w:t>1</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
              <w:ind w:right="90"/>
              <w:jc w:val="center"/>
              <w:rPr>
                <w:color w:val="auto"/>
                <w:sz w:val="21"/>
                <w:highlight w:val="none"/>
              </w:rPr>
            </w:pPr>
            <w:r>
              <w:rPr>
                <w:rFonts w:hint="eastAsia"/>
                <w:color w:val="auto"/>
                <w:sz w:val="21"/>
                <w:highlight w:val="none"/>
              </w:rPr>
              <w:t>1.1.6.2～</w:t>
            </w:r>
          </w:p>
          <w:p>
            <w:pPr>
              <w:pStyle w:val="87"/>
              <w:spacing w:before="143"/>
              <w:ind w:right="90"/>
              <w:jc w:val="center"/>
              <w:rPr>
                <w:color w:val="auto"/>
                <w:sz w:val="21"/>
                <w:highlight w:val="none"/>
              </w:rPr>
            </w:pPr>
            <w:r>
              <w:rPr>
                <w:rFonts w:hint="eastAsia"/>
                <w:color w:val="auto"/>
                <w:sz w:val="21"/>
                <w:highlight w:val="none"/>
              </w:rPr>
              <w:t>1.1.6.5</w:t>
            </w:r>
          </w:p>
        </w:tc>
        <w:tc>
          <w:tcPr>
            <w:tcW w:w="7780" w:type="dxa"/>
            <w:tcBorders>
              <w:top w:val="single" w:color="000000" w:sz="2" w:space="0"/>
              <w:left w:val="single" w:color="000000" w:sz="2" w:space="0"/>
              <w:bottom w:val="single" w:color="000000" w:sz="2" w:space="0"/>
              <w:right w:val="single" w:color="000000" w:sz="8" w:space="0"/>
            </w:tcBorders>
          </w:tcPr>
          <w:p>
            <w:pPr>
              <w:pStyle w:val="87"/>
              <w:shd w:val="clear" w:color="auto" w:fill="FFFFFF"/>
              <w:adjustRightInd w:val="0"/>
              <w:snapToGrid w:val="0"/>
              <w:spacing w:line="264" w:lineRule="auto"/>
              <w:ind w:firstLine="440" w:firstLineChars="200"/>
              <w:rPr>
                <w:color w:val="auto"/>
                <w:sz w:val="21"/>
                <w:highlight w:val="none"/>
              </w:rPr>
            </w:pPr>
            <w:r>
              <w:rPr>
                <w:color w:val="auto"/>
                <w:highlight w:val="none"/>
              </w:rPr>
              <w:t>本工程为按一阶段验收的一般养护工程</w:t>
            </w:r>
            <w:r>
              <w:rPr>
                <w:rFonts w:hint="eastAsia"/>
                <w:color w:val="auto"/>
                <w:sz w:val="21"/>
                <w:highlight w:val="none"/>
              </w:rPr>
              <w:t>，交工验收与竣工验收合并进行，统称为“工程验收”。本项第 1.1.6.2 目～第 1.1.6.5 目细化为：</w:t>
            </w:r>
          </w:p>
          <w:p>
            <w:pPr>
              <w:pStyle w:val="87"/>
              <w:shd w:val="clear" w:color="auto" w:fill="FFFFFF"/>
              <w:tabs>
                <w:tab w:val="left" w:pos="959"/>
              </w:tabs>
              <w:adjustRightInd w:val="0"/>
              <w:snapToGrid w:val="0"/>
              <w:spacing w:line="264" w:lineRule="auto"/>
              <w:ind w:right="84" w:firstLine="420" w:firstLineChars="200"/>
              <w:rPr>
                <w:color w:val="auto"/>
                <w:sz w:val="21"/>
                <w:highlight w:val="none"/>
              </w:rPr>
            </w:pPr>
            <w:r>
              <w:rPr>
                <w:rFonts w:hint="eastAsia"/>
                <w:color w:val="auto"/>
                <w:sz w:val="21"/>
                <w:highlight w:val="none"/>
              </w:rPr>
              <w:t>1.1.6.</w:t>
            </w:r>
            <w:r>
              <w:rPr>
                <w:rFonts w:hint="eastAsia"/>
                <w:color w:val="auto"/>
                <w:sz w:val="21"/>
                <w:highlight w:val="none"/>
                <w:lang w:val="en-US"/>
              </w:rPr>
              <w:t>2</w:t>
            </w:r>
            <w:r>
              <w:rPr>
                <w:rFonts w:hint="eastAsia"/>
                <w:color w:val="auto"/>
                <w:spacing w:val="-7"/>
                <w:sz w:val="21"/>
                <w:highlight w:val="none"/>
              </w:rPr>
              <w:t>竣工验收：指通用合同条款中</w:t>
            </w:r>
            <w:r>
              <w:rPr>
                <w:rFonts w:hint="eastAsia"/>
                <w:color w:val="auto"/>
                <w:sz w:val="21"/>
                <w:highlight w:val="none"/>
              </w:rPr>
              <w:t>“</w:t>
            </w:r>
            <w:r>
              <w:rPr>
                <w:rFonts w:hint="eastAsia"/>
                <w:color w:val="auto"/>
                <w:spacing w:val="-3"/>
                <w:sz w:val="21"/>
                <w:highlight w:val="none"/>
              </w:rPr>
              <w:t>竣工验收”</w:t>
            </w:r>
            <w:r>
              <w:rPr>
                <w:rFonts w:hint="eastAsia"/>
                <w:color w:val="auto"/>
                <w:spacing w:val="-26"/>
                <w:sz w:val="21"/>
                <w:highlight w:val="none"/>
              </w:rPr>
              <w:t>，《公路工程竣</w:t>
            </w:r>
            <w:r>
              <w:rPr>
                <w:rFonts w:hint="eastAsia"/>
                <w:color w:val="auto"/>
                <w:sz w:val="21"/>
                <w:highlight w:val="none"/>
              </w:rPr>
              <w:t>（交</w:t>
            </w:r>
            <w:r>
              <w:rPr>
                <w:rFonts w:hint="eastAsia"/>
                <w:color w:val="auto"/>
                <w:spacing w:val="-29"/>
                <w:sz w:val="21"/>
                <w:highlight w:val="none"/>
              </w:rPr>
              <w:t>）</w:t>
            </w:r>
            <w:r>
              <w:rPr>
                <w:rFonts w:hint="eastAsia"/>
                <w:color w:val="auto"/>
                <w:spacing w:val="-3"/>
                <w:sz w:val="21"/>
                <w:highlight w:val="none"/>
              </w:rPr>
              <w:t>工验收办</w:t>
            </w:r>
            <w:r>
              <w:rPr>
                <w:rFonts w:hint="eastAsia"/>
                <w:color w:val="auto"/>
                <w:spacing w:val="-8"/>
                <w:sz w:val="21"/>
                <w:highlight w:val="none"/>
              </w:rPr>
              <w:t>法》中的交工验收和竣工验收，统称为“工程验收”。</w:t>
            </w:r>
          </w:p>
          <w:p>
            <w:pPr>
              <w:pStyle w:val="87"/>
              <w:shd w:val="clear" w:color="auto" w:fill="FFFFFF"/>
              <w:tabs>
                <w:tab w:val="left" w:pos="959"/>
              </w:tabs>
              <w:adjustRightInd w:val="0"/>
              <w:snapToGrid w:val="0"/>
              <w:spacing w:line="264" w:lineRule="auto"/>
              <w:ind w:right="82" w:firstLine="420" w:firstLineChars="200"/>
              <w:rPr>
                <w:color w:val="auto"/>
                <w:sz w:val="21"/>
                <w:highlight w:val="none"/>
              </w:rPr>
            </w:pPr>
            <w:r>
              <w:rPr>
                <w:rFonts w:hint="eastAsia"/>
                <w:color w:val="auto"/>
                <w:sz w:val="21"/>
                <w:highlight w:val="none"/>
              </w:rPr>
              <w:t>1.1.6.</w:t>
            </w:r>
            <w:r>
              <w:rPr>
                <w:rFonts w:hint="eastAsia"/>
                <w:color w:val="auto"/>
                <w:sz w:val="21"/>
                <w:highlight w:val="none"/>
                <w:lang w:val="en-US"/>
              </w:rPr>
              <w:t>3</w:t>
            </w:r>
            <w:r>
              <w:rPr>
                <w:rFonts w:hint="eastAsia"/>
                <w:color w:val="auto"/>
                <w:spacing w:val="-6"/>
                <w:sz w:val="21"/>
                <w:highlight w:val="none"/>
              </w:rPr>
              <w:t>交工：指通用合同条款中</w:t>
            </w:r>
            <w:r>
              <w:rPr>
                <w:rFonts w:hint="eastAsia"/>
                <w:color w:val="auto"/>
                <w:sz w:val="21"/>
                <w:highlight w:val="none"/>
              </w:rPr>
              <w:t>“</w:t>
            </w:r>
            <w:r>
              <w:rPr>
                <w:rFonts w:hint="eastAsia"/>
                <w:color w:val="auto"/>
                <w:spacing w:val="-2"/>
                <w:sz w:val="21"/>
                <w:highlight w:val="none"/>
              </w:rPr>
              <w:t>竣工</w:t>
            </w:r>
            <w:r>
              <w:rPr>
                <w:rFonts w:hint="eastAsia"/>
                <w:color w:val="auto"/>
                <w:spacing w:val="-3"/>
                <w:sz w:val="21"/>
                <w:highlight w:val="none"/>
              </w:rPr>
              <w:t>”</w:t>
            </w:r>
            <w:r>
              <w:rPr>
                <w:rFonts w:hint="eastAsia"/>
                <w:color w:val="auto"/>
                <w:spacing w:val="-23"/>
                <w:sz w:val="21"/>
                <w:highlight w:val="none"/>
              </w:rPr>
              <w:t>，《公路工程竣</w:t>
            </w:r>
            <w:r>
              <w:rPr>
                <w:rFonts w:hint="eastAsia"/>
                <w:color w:val="auto"/>
                <w:sz w:val="21"/>
                <w:highlight w:val="none"/>
              </w:rPr>
              <w:t>（交</w:t>
            </w:r>
            <w:r>
              <w:rPr>
                <w:rFonts w:hint="eastAsia"/>
                <w:color w:val="auto"/>
                <w:spacing w:val="-25"/>
                <w:sz w:val="21"/>
                <w:highlight w:val="none"/>
              </w:rPr>
              <w:t>）</w:t>
            </w:r>
            <w:r>
              <w:rPr>
                <w:rFonts w:hint="eastAsia"/>
                <w:color w:val="auto"/>
                <w:spacing w:val="-6"/>
                <w:sz w:val="21"/>
                <w:highlight w:val="none"/>
              </w:rPr>
              <w:t>工验收办法》中的</w:t>
            </w:r>
            <w:r>
              <w:rPr>
                <w:rFonts w:hint="eastAsia"/>
                <w:color w:val="auto"/>
                <w:spacing w:val="-4"/>
                <w:sz w:val="21"/>
                <w:highlight w:val="none"/>
              </w:rPr>
              <w:t>交工和竣工。</w:t>
            </w:r>
          </w:p>
          <w:p>
            <w:pPr>
              <w:pStyle w:val="87"/>
              <w:shd w:val="clear" w:color="auto" w:fill="FFFFFF"/>
              <w:tabs>
                <w:tab w:val="left" w:pos="54"/>
              </w:tabs>
              <w:adjustRightInd w:val="0"/>
              <w:snapToGrid w:val="0"/>
              <w:spacing w:line="264" w:lineRule="auto"/>
              <w:ind w:firstLine="420" w:firstLineChars="200"/>
              <w:rPr>
                <w:color w:val="auto"/>
                <w:sz w:val="21"/>
                <w:highlight w:val="none"/>
              </w:rPr>
            </w:pPr>
            <w:r>
              <w:rPr>
                <w:rFonts w:hint="eastAsia"/>
                <w:color w:val="auto"/>
                <w:sz w:val="21"/>
                <w:highlight w:val="none"/>
              </w:rPr>
              <w:t>1.1.6.</w:t>
            </w:r>
            <w:r>
              <w:rPr>
                <w:rFonts w:hint="eastAsia"/>
                <w:color w:val="auto"/>
                <w:sz w:val="21"/>
                <w:highlight w:val="none"/>
                <w:lang w:val="en-US"/>
              </w:rPr>
              <w:t>4</w:t>
            </w:r>
            <w:r>
              <w:rPr>
                <w:rFonts w:hint="eastAsia"/>
                <w:color w:val="auto"/>
                <w:spacing w:val="-7"/>
                <w:sz w:val="21"/>
                <w:highlight w:val="none"/>
              </w:rPr>
              <w:t>交工验收：指通用合同条款中</w:t>
            </w:r>
            <w:r>
              <w:rPr>
                <w:rFonts w:hint="eastAsia"/>
                <w:color w:val="auto"/>
                <w:sz w:val="21"/>
                <w:highlight w:val="none"/>
              </w:rPr>
              <w:t>“</w:t>
            </w:r>
            <w:r>
              <w:rPr>
                <w:rFonts w:hint="eastAsia"/>
                <w:color w:val="auto"/>
                <w:spacing w:val="-3"/>
                <w:sz w:val="21"/>
                <w:highlight w:val="none"/>
              </w:rPr>
              <w:t>竣工验收”</w:t>
            </w:r>
            <w:r>
              <w:rPr>
                <w:rFonts w:hint="eastAsia"/>
                <w:color w:val="auto"/>
                <w:spacing w:val="-26"/>
                <w:sz w:val="21"/>
                <w:highlight w:val="none"/>
              </w:rPr>
              <w:t>，《公路工程竣</w:t>
            </w:r>
            <w:r>
              <w:rPr>
                <w:rFonts w:hint="eastAsia"/>
                <w:color w:val="auto"/>
                <w:sz w:val="21"/>
                <w:highlight w:val="none"/>
              </w:rPr>
              <w:t>（交</w:t>
            </w:r>
            <w:r>
              <w:rPr>
                <w:rFonts w:hint="eastAsia"/>
                <w:color w:val="auto"/>
                <w:spacing w:val="-29"/>
                <w:sz w:val="21"/>
                <w:highlight w:val="none"/>
              </w:rPr>
              <w:t>）</w:t>
            </w:r>
            <w:r>
              <w:rPr>
                <w:rFonts w:hint="eastAsia"/>
                <w:color w:val="auto"/>
                <w:spacing w:val="-3"/>
                <w:sz w:val="21"/>
                <w:highlight w:val="none"/>
              </w:rPr>
              <w:t>工验收办</w:t>
            </w:r>
            <w:r>
              <w:rPr>
                <w:rFonts w:hint="eastAsia"/>
                <w:color w:val="auto"/>
                <w:sz w:val="21"/>
                <w:highlight w:val="none"/>
              </w:rPr>
              <w:t>法》中的交工验收和竣工验收，统称为“工程验收”。</w:t>
            </w:r>
          </w:p>
          <w:p>
            <w:pPr>
              <w:pStyle w:val="87"/>
              <w:shd w:val="clear" w:color="auto" w:fill="FFFFFF"/>
              <w:tabs>
                <w:tab w:val="left" w:pos="54"/>
              </w:tabs>
              <w:adjustRightInd w:val="0"/>
              <w:snapToGrid w:val="0"/>
              <w:spacing w:line="264" w:lineRule="auto"/>
              <w:ind w:firstLine="420" w:firstLineChars="200"/>
              <w:rPr>
                <w:color w:val="auto"/>
                <w:spacing w:val="-7"/>
                <w:sz w:val="21"/>
                <w:highlight w:val="none"/>
              </w:rPr>
            </w:pPr>
            <w:r>
              <w:rPr>
                <w:rFonts w:hint="eastAsia"/>
                <w:color w:val="auto"/>
                <w:sz w:val="21"/>
                <w:highlight w:val="none"/>
              </w:rPr>
              <w:t>1.1.6.</w:t>
            </w:r>
            <w:r>
              <w:rPr>
                <w:rFonts w:hint="eastAsia"/>
                <w:color w:val="auto"/>
                <w:sz w:val="21"/>
                <w:highlight w:val="none"/>
                <w:lang w:val="en-US"/>
              </w:rPr>
              <w:t>5</w:t>
            </w:r>
            <w:r>
              <w:rPr>
                <w:rFonts w:hint="eastAsia"/>
                <w:color w:val="auto"/>
                <w:spacing w:val="-3"/>
                <w:sz w:val="21"/>
                <w:highlight w:val="none"/>
              </w:rPr>
              <w:t>交工验收证书：指通用合同条款中</w:t>
            </w:r>
            <w:r>
              <w:rPr>
                <w:rFonts w:hint="eastAsia"/>
                <w:color w:val="auto"/>
                <w:sz w:val="21"/>
                <w:highlight w:val="none"/>
              </w:rPr>
              <w:t>“</w:t>
            </w:r>
            <w:r>
              <w:rPr>
                <w:rFonts w:hint="eastAsia"/>
                <w:color w:val="auto"/>
                <w:spacing w:val="-3"/>
                <w:sz w:val="21"/>
                <w:highlight w:val="none"/>
              </w:rPr>
              <w:t>工程接收证书</w:t>
            </w:r>
            <w:r>
              <w:rPr>
                <w:rFonts w:hint="eastAsia"/>
                <w:color w:val="auto"/>
                <w:spacing w:val="-106"/>
                <w:sz w:val="21"/>
                <w:highlight w:val="none"/>
              </w:rPr>
              <w:t>”</w:t>
            </w:r>
            <w:r>
              <w:rPr>
                <w:rFonts w:hint="eastAsia"/>
                <w:color w:val="auto"/>
                <w:spacing w:val="-18"/>
                <w:sz w:val="21"/>
                <w:highlight w:val="none"/>
              </w:rPr>
              <w:t>，《公路工程竣</w:t>
            </w:r>
            <w:r>
              <w:rPr>
                <w:rFonts w:hint="eastAsia"/>
                <w:color w:val="auto"/>
                <w:spacing w:val="-3"/>
                <w:sz w:val="21"/>
                <w:highlight w:val="none"/>
              </w:rPr>
              <w:t>（交</w:t>
            </w:r>
            <w:r>
              <w:rPr>
                <w:rFonts w:hint="eastAsia"/>
                <w:color w:val="auto"/>
                <w:sz w:val="21"/>
                <w:highlight w:val="none"/>
              </w:rPr>
              <w:t xml:space="preserve">） </w:t>
            </w:r>
            <w:r>
              <w:rPr>
                <w:rFonts w:hint="eastAsia"/>
                <w:color w:val="auto"/>
                <w:spacing w:val="-7"/>
                <w:sz w:val="21"/>
                <w:highlight w:val="none"/>
              </w:rPr>
              <w:t>工验收办法》中的交工验收或竣工验收证书，统称为“工程验收证书”。</w:t>
            </w:r>
          </w:p>
          <w:p>
            <w:pPr>
              <w:pStyle w:val="87"/>
              <w:shd w:val="clear" w:color="auto" w:fill="FFFFFF"/>
              <w:tabs>
                <w:tab w:val="left" w:pos="54"/>
              </w:tabs>
              <w:adjustRightInd w:val="0"/>
              <w:snapToGrid w:val="0"/>
              <w:spacing w:line="264" w:lineRule="auto"/>
              <w:ind w:firstLine="392" w:firstLineChars="200"/>
              <w:rPr>
                <w:color w:val="auto"/>
                <w:spacing w:val="-7"/>
                <w:sz w:val="21"/>
                <w:highlight w:val="none"/>
              </w:rPr>
            </w:pPr>
          </w:p>
          <w:p>
            <w:pPr>
              <w:pStyle w:val="87"/>
              <w:shd w:val="clear" w:color="auto" w:fill="FFFFFF"/>
              <w:tabs>
                <w:tab w:val="left" w:pos="54"/>
              </w:tabs>
              <w:adjustRightInd w:val="0"/>
              <w:snapToGrid w:val="0"/>
              <w:spacing w:line="264" w:lineRule="auto"/>
              <w:ind w:firstLine="392" w:firstLineChars="200"/>
              <w:rPr>
                <w:color w:val="auto"/>
                <w:spacing w:val="-7"/>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295"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2</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
              <w:ind w:right="90"/>
              <w:jc w:val="center"/>
              <w:rPr>
                <w:color w:val="auto"/>
                <w:sz w:val="21"/>
                <w:highlight w:val="none"/>
              </w:rPr>
            </w:pPr>
            <w:r>
              <w:rPr>
                <w:rFonts w:hint="eastAsia"/>
                <w:color w:val="auto"/>
                <w:sz w:val="21"/>
                <w:highlight w:val="none"/>
              </w:rPr>
              <w:t>1.1.6.10</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ind w:firstLine="420" w:firstLineChars="200"/>
              <w:rPr>
                <w:color w:val="auto"/>
                <w:sz w:val="21"/>
                <w:highlight w:val="none"/>
              </w:rPr>
            </w:pPr>
            <w:r>
              <w:rPr>
                <w:rFonts w:hint="eastAsia"/>
                <w:color w:val="auto"/>
                <w:sz w:val="21"/>
                <w:highlight w:val="none"/>
              </w:rPr>
              <w:t>完工：是指承包人按照批准的施工图设计文件（含变更设计文件）完成合同范围内所有工程。工程完工前，承包人应完成自检并经监理人检验。工程完工时，合同工程应基本具备完整的使用功能，并具备申请工程验收的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0"/>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3</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20"/>
              <w:ind w:right="90"/>
              <w:jc w:val="center"/>
              <w:rPr>
                <w:color w:val="auto"/>
                <w:sz w:val="21"/>
                <w:highlight w:val="none"/>
              </w:rPr>
            </w:pPr>
            <w:r>
              <w:rPr>
                <w:rFonts w:hint="eastAsia"/>
                <w:color w:val="auto"/>
                <w:sz w:val="21"/>
                <w:highlight w:val="none"/>
              </w:rPr>
              <w:t>1.1.6.11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rPr>
                <w:color w:val="auto"/>
                <w:sz w:val="21"/>
                <w:highlight w:val="none"/>
              </w:rPr>
            </w:pPr>
            <w:r>
              <w:rPr>
                <w:rFonts w:hint="eastAsia"/>
                <w:color w:val="auto"/>
                <w:sz w:val="21"/>
                <w:highlight w:val="none"/>
              </w:rPr>
              <w:t>完工证明：是指工程完工后，由监理人向承包人出具经发包人签认的证明材料。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2" w:space="0"/>
              <w:left w:val="single" w:color="000000" w:sz="8" w:space="0"/>
              <w:bottom w:val="single" w:color="000000" w:sz="8"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4</w:t>
            </w:r>
          </w:p>
        </w:tc>
        <w:tc>
          <w:tcPr>
            <w:tcW w:w="1295" w:type="dxa"/>
            <w:tcBorders>
              <w:top w:val="single" w:color="000000" w:sz="2" w:space="0"/>
              <w:left w:val="single" w:color="000000" w:sz="2" w:space="0"/>
              <w:bottom w:val="single" w:color="000000" w:sz="8" w:space="0"/>
              <w:right w:val="single" w:color="000000" w:sz="2" w:space="0"/>
            </w:tcBorders>
            <w:vAlign w:val="center"/>
          </w:tcPr>
          <w:p>
            <w:pPr>
              <w:pStyle w:val="87"/>
              <w:ind w:right="90"/>
              <w:jc w:val="center"/>
              <w:rPr>
                <w:color w:val="auto"/>
                <w:sz w:val="21"/>
                <w:highlight w:val="none"/>
              </w:rPr>
            </w:pPr>
            <w:r>
              <w:rPr>
                <w:rFonts w:hint="eastAsia"/>
                <w:color w:val="auto"/>
                <w:sz w:val="21"/>
                <w:highlight w:val="none"/>
              </w:rPr>
              <w:t>1.6.3</w:t>
            </w:r>
          </w:p>
        </w:tc>
        <w:tc>
          <w:tcPr>
            <w:tcW w:w="7780" w:type="dxa"/>
            <w:tcBorders>
              <w:top w:val="single" w:color="000000" w:sz="2" w:space="0"/>
              <w:left w:val="single" w:color="000000" w:sz="2" w:space="0"/>
              <w:bottom w:val="single" w:color="000000" w:sz="8" w:space="0"/>
              <w:right w:val="single" w:color="000000" w:sz="8" w:space="0"/>
            </w:tcBorders>
          </w:tcPr>
          <w:p>
            <w:pPr>
              <w:pStyle w:val="87"/>
              <w:tabs>
                <w:tab w:val="left" w:pos="1481"/>
              </w:tabs>
              <w:adjustRightInd w:val="0"/>
              <w:snapToGrid w:val="0"/>
              <w:spacing w:line="300" w:lineRule="auto"/>
              <w:ind w:right="-29"/>
              <w:rPr>
                <w:color w:val="auto"/>
                <w:sz w:val="21"/>
                <w:highlight w:val="none"/>
              </w:rPr>
            </w:pPr>
            <w:r>
              <w:rPr>
                <w:rFonts w:hint="eastAsia"/>
                <w:color w:val="auto"/>
                <w:sz w:val="21"/>
                <w:highlight w:val="none"/>
              </w:rPr>
              <w:t>图纸</w:t>
            </w:r>
            <w:r>
              <w:rPr>
                <w:rFonts w:hint="eastAsia"/>
                <w:color w:val="auto"/>
                <w:spacing w:val="-3"/>
                <w:sz w:val="21"/>
                <w:highlight w:val="none"/>
              </w:rPr>
              <w:t>需</w:t>
            </w:r>
            <w:r>
              <w:rPr>
                <w:rFonts w:hint="eastAsia"/>
                <w:color w:val="auto"/>
                <w:sz w:val="21"/>
                <w:highlight w:val="none"/>
              </w:rPr>
              <w:t>要</w:t>
            </w:r>
            <w:r>
              <w:rPr>
                <w:rFonts w:hint="eastAsia"/>
                <w:color w:val="auto"/>
                <w:spacing w:val="-3"/>
                <w:sz w:val="21"/>
                <w:highlight w:val="none"/>
              </w:rPr>
              <w:t>修</w:t>
            </w:r>
            <w:r>
              <w:rPr>
                <w:rFonts w:hint="eastAsia"/>
                <w:color w:val="auto"/>
                <w:sz w:val="21"/>
                <w:highlight w:val="none"/>
              </w:rPr>
              <w:t>改</w:t>
            </w:r>
            <w:r>
              <w:rPr>
                <w:rFonts w:hint="eastAsia"/>
                <w:color w:val="auto"/>
                <w:spacing w:val="-3"/>
                <w:sz w:val="21"/>
                <w:highlight w:val="none"/>
              </w:rPr>
              <w:t>和</w:t>
            </w:r>
            <w:r>
              <w:rPr>
                <w:rFonts w:hint="eastAsia"/>
                <w:color w:val="auto"/>
                <w:sz w:val="21"/>
                <w:highlight w:val="none"/>
              </w:rPr>
              <w:t>补</w:t>
            </w:r>
            <w:r>
              <w:rPr>
                <w:rFonts w:hint="eastAsia"/>
                <w:color w:val="auto"/>
                <w:spacing w:val="-3"/>
                <w:sz w:val="21"/>
                <w:highlight w:val="none"/>
              </w:rPr>
              <w:t>充</w:t>
            </w:r>
            <w:r>
              <w:rPr>
                <w:rFonts w:hint="eastAsia"/>
                <w:color w:val="auto"/>
                <w:sz w:val="21"/>
                <w:highlight w:val="none"/>
              </w:rPr>
              <w:t>的</w:t>
            </w:r>
            <w:r>
              <w:rPr>
                <w:rFonts w:hint="eastAsia"/>
                <w:color w:val="auto"/>
                <w:spacing w:val="-3"/>
                <w:sz w:val="21"/>
                <w:highlight w:val="none"/>
              </w:rPr>
              <w:t>，</w:t>
            </w:r>
            <w:r>
              <w:rPr>
                <w:rFonts w:hint="eastAsia"/>
                <w:color w:val="auto"/>
                <w:sz w:val="21"/>
                <w:highlight w:val="none"/>
              </w:rPr>
              <w:t>应由</w:t>
            </w:r>
            <w:r>
              <w:rPr>
                <w:rFonts w:hint="eastAsia"/>
                <w:color w:val="auto"/>
                <w:spacing w:val="-3"/>
                <w:sz w:val="21"/>
                <w:highlight w:val="none"/>
              </w:rPr>
              <w:t>监</w:t>
            </w:r>
            <w:r>
              <w:rPr>
                <w:rFonts w:hint="eastAsia"/>
                <w:color w:val="auto"/>
                <w:sz w:val="21"/>
                <w:highlight w:val="none"/>
              </w:rPr>
              <w:t>理</w:t>
            </w:r>
            <w:r>
              <w:rPr>
                <w:rFonts w:hint="eastAsia"/>
                <w:color w:val="auto"/>
                <w:spacing w:val="-3"/>
                <w:sz w:val="21"/>
                <w:highlight w:val="none"/>
              </w:rPr>
              <w:t>人</w:t>
            </w:r>
            <w:r>
              <w:rPr>
                <w:rFonts w:hint="eastAsia"/>
                <w:color w:val="auto"/>
                <w:sz w:val="21"/>
                <w:highlight w:val="none"/>
              </w:rPr>
              <w:t>取</w:t>
            </w:r>
            <w:r>
              <w:rPr>
                <w:rFonts w:hint="eastAsia"/>
                <w:color w:val="auto"/>
                <w:spacing w:val="-3"/>
                <w:sz w:val="21"/>
                <w:highlight w:val="none"/>
              </w:rPr>
              <w:t>得</w:t>
            </w:r>
            <w:r>
              <w:rPr>
                <w:rFonts w:hint="eastAsia"/>
                <w:color w:val="auto"/>
                <w:sz w:val="21"/>
                <w:highlight w:val="none"/>
              </w:rPr>
              <w:t>发</w:t>
            </w:r>
            <w:r>
              <w:rPr>
                <w:rFonts w:hint="eastAsia"/>
                <w:color w:val="auto"/>
                <w:spacing w:val="-3"/>
                <w:sz w:val="21"/>
                <w:highlight w:val="none"/>
              </w:rPr>
              <w:t>包</w:t>
            </w:r>
            <w:r>
              <w:rPr>
                <w:rFonts w:hint="eastAsia"/>
                <w:color w:val="auto"/>
                <w:sz w:val="21"/>
                <w:highlight w:val="none"/>
              </w:rPr>
              <w:t>人</w:t>
            </w:r>
            <w:r>
              <w:rPr>
                <w:rFonts w:hint="eastAsia"/>
                <w:color w:val="auto"/>
                <w:spacing w:val="-3"/>
                <w:sz w:val="21"/>
                <w:highlight w:val="none"/>
              </w:rPr>
              <w:t>同</w:t>
            </w:r>
            <w:r>
              <w:rPr>
                <w:rFonts w:hint="eastAsia"/>
                <w:color w:val="auto"/>
                <w:sz w:val="21"/>
                <w:highlight w:val="none"/>
              </w:rPr>
              <w:t>意后</w:t>
            </w:r>
            <w:r>
              <w:rPr>
                <w:rFonts w:hint="eastAsia"/>
                <w:color w:val="auto"/>
                <w:spacing w:val="-3"/>
                <w:sz w:val="21"/>
                <w:highlight w:val="none"/>
              </w:rPr>
              <w:t>，</w:t>
            </w:r>
            <w:r>
              <w:rPr>
                <w:rFonts w:hint="eastAsia"/>
                <w:color w:val="auto"/>
                <w:sz w:val="21"/>
                <w:highlight w:val="none"/>
              </w:rPr>
              <w:t>在</w:t>
            </w:r>
            <w:r>
              <w:rPr>
                <w:rFonts w:hint="eastAsia"/>
                <w:color w:val="auto"/>
                <w:spacing w:val="-3"/>
                <w:sz w:val="21"/>
                <w:highlight w:val="none"/>
              </w:rPr>
              <w:t>该</w:t>
            </w:r>
            <w:r>
              <w:rPr>
                <w:rFonts w:hint="eastAsia"/>
                <w:color w:val="auto"/>
                <w:sz w:val="21"/>
                <w:highlight w:val="none"/>
              </w:rPr>
              <w:t>工</w:t>
            </w:r>
            <w:r>
              <w:rPr>
                <w:rFonts w:hint="eastAsia"/>
                <w:color w:val="auto"/>
                <w:spacing w:val="-3"/>
                <w:sz w:val="21"/>
                <w:highlight w:val="none"/>
              </w:rPr>
              <w:t>程</w:t>
            </w:r>
            <w:r>
              <w:rPr>
                <w:rFonts w:hint="eastAsia"/>
                <w:color w:val="auto"/>
                <w:sz w:val="21"/>
                <w:highlight w:val="none"/>
              </w:rPr>
              <w:t>或</w:t>
            </w:r>
            <w:r>
              <w:rPr>
                <w:rFonts w:hint="eastAsia"/>
                <w:color w:val="auto"/>
                <w:spacing w:val="-3"/>
                <w:sz w:val="21"/>
                <w:highlight w:val="none"/>
              </w:rPr>
              <w:t>工</w:t>
            </w:r>
            <w:r>
              <w:rPr>
                <w:rFonts w:hint="eastAsia"/>
                <w:color w:val="auto"/>
                <w:sz w:val="21"/>
                <w:highlight w:val="none"/>
              </w:rPr>
              <w:t>程</w:t>
            </w:r>
            <w:r>
              <w:rPr>
                <w:rFonts w:hint="eastAsia"/>
                <w:color w:val="auto"/>
                <w:spacing w:val="-3"/>
                <w:sz w:val="21"/>
                <w:highlight w:val="none"/>
              </w:rPr>
              <w:t>相</w:t>
            </w:r>
            <w:r>
              <w:rPr>
                <w:rFonts w:hint="eastAsia"/>
                <w:color w:val="auto"/>
                <w:sz w:val="21"/>
                <w:highlight w:val="none"/>
              </w:rPr>
              <w:t>应部位施</w:t>
            </w:r>
            <w:r>
              <w:rPr>
                <w:rFonts w:hint="eastAsia"/>
                <w:color w:val="auto"/>
                <w:spacing w:val="-3"/>
                <w:sz w:val="21"/>
                <w:highlight w:val="none"/>
              </w:rPr>
              <w:t>工</w:t>
            </w:r>
            <w:r>
              <w:rPr>
                <w:rFonts w:hint="eastAsia"/>
                <w:color w:val="auto"/>
                <w:sz w:val="21"/>
                <w:highlight w:val="none"/>
              </w:rPr>
              <w:t>前</w:t>
            </w:r>
            <w:r>
              <w:rPr>
                <w:rFonts w:hint="eastAsia"/>
                <w:color w:val="auto"/>
                <w:sz w:val="21"/>
                <w:highlight w:val="none"/>
                <w:u w:val="single"/>
              </w:rPr>
              <w:t xml:space="preserve"> </w:t>
            </w:r>
            <w:r>
              <w:rPr>
                <w:rFonts w:hint="eastAsia"/>
                <w:color w:val="auto"/>
                <w:spacing w:val="1"/>
                <w:sz w:val="21"/>
                <w:highlight w:val="none"/>
                <w:u w:val="single"/>
              </w:rPr>
              <w:t xml:space="preserve"> </w:t>
            </w:r>
            <w:r>
              <w:rPr>
                <w:rFonts w:hint="eastAsia"/>
                <w:color w:val="auto"/>
                <w:sz w:val="21"/>
                <w:highlight w:val="none"/>
                <w:u w:val="single"/>
              </w:rPr>
              <w:t>7</w:t>
            </w:r>
            <w:r>
              <w:rPr>
                <w:rFonts w:hint="eastAsia"/>
                <w:color w:val="auto"/>
                <w:sz w:val="21"/>
                <w:highlight w:val="none"/>
                <w:u w:val="single"/>
              </w:rPr>
              <w:tab/>
            </w:r>
            <w:r>
              <w:rPr>
                <w:rFonts w:hint="eastAsia"/>
                <w:color w:val="auto"/>
                <w:sz w:val="21"/>
                <w:highlight w:val="none"/>
              </w:rPr>
              <w:t>天</w:t>
            </w:r>
            <w:r>
              <w:rPr>
                <w:rFonts w:hint="eastAsia"/>
                <w:color w:val="auto"/>
                <w:spacing w:val="-3"/>
                <w:sz w:val="21"/>
                <w:highlight w:val="none"/>
              </w:rPr>
              <w:t>签</w:t>
            </w:r>
            <w:r>
              <w:rPr>
                <w:rFonts w:hint="eastAsia"/>
                <w:color w:val="auto"/>
                <w:sz w:val="21"/>
                <w:highlight w:val="none"/>
              </w:rPr>
              <w:t>发</w:t>
            </w:r>
            <w:r>
              <w:rPr>
                <w:rFonts w:hint="eastAsia"/>
                <w:color w:val="auto"/>
                <w:spacing w:val="-3"/>
                <w:sz w:val="21"/>
                <w:highlight w:val="none"/>
              </w:rPr>
              <w:t>图纸</w:t>
            </w:r>
            <w:r>
              <w:rPr>
                <w:rFonts w:hint="eastAsia"/>
                <w:color w:val="auto"/>
                <w:sz w:val="21"/>
                <w:highlight w:val="none"/>
              </w:rPr>
              <w:t>修改</w:t>
            </w:r>
            <w:r>
              <w:rPr>
                <w:rFonts w:hint="eastAsia"/>
                <w:color w:val="auto"/>
                <w:spacing w:val="-3"/>
                <w:sz w:val="21"/>
                <w:highlight w:val="none"/>
              </w:rPr>
              <w:t>图</w:t>
            </w:r>
            <w:r>
              <w:rPr>
                <w:rFonts w:hint="eastAsia"/>
                <w:color w:val="auto"/>
                <w:sz w:val="21"/>
                <w:highlight w:val="none"/>
              </w:rPr>
              <w:t>给</w:t>
            </w:r>
            <w:r>
              <w:rPr>
                <w:rFonts w:hint="eastAsia"/>
                <w:color w:val="auto"/>
                <w:spacing w:val="-3"/>
                <w:sz w:val="21"/>
                <w:highlight w:val="none"/>
              </w:rPr>
              <w:t>承</w:t>
            </w:r>
            <w:r>
              <w:rPr>
                <w:rFonts w:hint="eastAsia"/>
                <w:color w:val="auto"/>
                <w:sz w:val="21"/>
                <w:highlight w:val="none"/>
              </w:rPr>
              <w:t>包</w:t>
            </w:r>
            <w:r>
              <w:rPr>
                <w:rFonts w:hint="eastAsia"/>
                <w:color w:val="auto"/>
                <w:spacing w:val="-3"/>
                <w:sz w:val="21"/>
                <w:highlight w:val="none"/>
              </w:rPr>
              <w:t>人</w:t>
            </w:r>
            <w:r>
              <w:rPr>
                <w:rFonts w:hint="eastAsia"/>
                <w:color w:val="auto"/>
                <w:sz w:val="21"/>
                <w:highlight w:val="none"/>
              </w:rPr>
              <w:t>。</w:t>
            </w:r>
            <w:r>
              <w:rPr>
                <w:rFonts w:hint="eastAsia"/>
                <w:color w:val="auto"/>
                <w:spacing w:val="-3"/>
                <w:sz w:val="21"/>
                <w:highlight w:val="none"/>
              </w:rPr>
              <w:t>承</w:t>
            </w:r>
            <w:r>
              <w:rPr>
                <w:rFonts w:hint="eastAsia"/>
                <w:color w:val="auto"/>
                <w:sz w:val="21"/>
                <w:highlight w:val="none"/>
              </w:rPr>
              <w:t>包</w:t>
            </w:r>
            <w:r>
              <w:rPr>
                <w:rFonts w:hint="eastAsia"/>
                <w:color w:val="auto"/>
                <w:spacing w:val="-3"/>
                <w:sz w:val="21"/>
                <w:highlight w:val="none"/>
              </w:rPr>
              <w:t>人</w:t>
            </w:r>
            <w:r>
              <w:rPr>
                <w:rFonts w:hint="eastAsia"/>
                <w:color w:val="auto"/>
                <w:sz w:val="21"/>
                <w:highlight w:val="none"/>
              </w:rPr>
              <w:t>应按</w:t>
            </w:r>
            <w:r>
              <w:rPr>
                <w:rFonts w:hint="eastAsia"/>
                <w:color w:val="auto"/>
                <w:spacing w:val="-3"/>
                <w:sz w:val="21"/>
                <w:highlight w:val="none"/>
              </w:rPr>
              <w:t>修</w:t>
            </w:r>
            <w:r>
              <w:rPr>
                <w:rFonts w:hint="eastAsia"/>
                <w:color w:val="auto"/>
                <w:sz w:val="21"/>
                <w:highlight w:val="none"/>
              </w:rPr>
              <w:t>改</w:t>
            </w:r>
            <w:r>
              <w:rPr>
                <w:rFonts w:hint="eastAsia"/>
                <w:color w:val="auto"/>
                <w:spacing w:val="-3"/>
                <w:sz w:val="21"/>
                <w:highlight w:val="none"/>
              </w:rPr>
              <w:t>或</w:t>
            </w:r>
            <w:r>
              <w:rPr>
                <w:rFonts w:hint="eastAsia"/>
                <w:color w:val="auto"/>
                <w:sz w:val="21"/>
                <w:highlight w:val="none"/>
              </w:rPr>
              <w:t>补</w:t>
            </w:r>
            <w:r>
              <w:rPr>
                <w:rFonts w:hint="eastAsia"/>
                <w:color w:val="auto"/>
                <w:spacing w:val="-3"/>
                <w:sz w:val="21"/>
                <w:highlight w:val="none"/>
              </w:rPr>
              <w:t>充</w:t>
            </w:r>
            <w:r>
              <w:rPr>
                <w:rFonts w:hint="eastAsia"/>
                <w:color w:val="auto"/>
                <w:sz w:val="21"/>
                <w:highlight w:val="none"/>
              </w:rPr>
              <w:t>（</w:t>
            </w:r>
            <w:r>
              <w:rPr>
                <w:rFonts w:hint="eastAsia"/>
                <w:color w:val="auto"/>
                <w:spacing w:val="-3"/>
                <w:sz w:val="21"/>
                <w:highlight w:val="none"/>
              </w:rPr>
              <w:t>新</w:t>
            </w:r>
            <w:r>
              <w:rPr>
                <w:rFonts w:hint="eastAsia"/>
                <w:color w:val="auto"/>
                <w:sz w:val="21"/>
                <w:highlight w:val="none"/>
              </w:rPr>
              <w:t>增</w:t>
            </w:r>
            <w:r>
              <w:rPr>
                <w:rFonts w:hint="eastAsia"/>
                <w:color w:val="auto"/>
                <w:spacing w:val="-3"/>
                <w:sz w:val="21"/>
                <w:highlight w:val="none"/>
              </w:rPr>
              <w:t>减</w:t>
            </w:r>
            <w:r>
              <w:rPr>
                <w:rFonts w:hint="eastAsia"/>
                <w:color w:val="auto"/>
                <w:sz w:val="21"/>
                <w:highlight w:val="none"/>
              </w:rPr>
              <w:t>工程） 后的</w:t>
            </w:r>
            <w:r>
              <w:rPr>
                <w:rFonts w:hint="eastAsia"/>
                <w:color w:val="auto"/>
                <w:spacing w:val="-3"/>
                <w:sz w:val="21"/>
                <w:highlight w:val="none"/>
              </w:rPr>
              <w:t>图</w:t>
            </w:r>
            <w:r>
              <w:rPr>
                <w:rFonts w:hint="eastAsia"/>
                <w:color w:val="auto"/>
                <w:sz w:val="21"/>
                <w:highlight w:val="none"/>
              </w:rPr>
              <w:t>纸</w:t>
            </w:r>
            <w:r>
              <w:rPr>
                <w:rFonts w:hint="eastAsia"/>
                <w:color w:val="auto"/>
                <w:spacing w:val="-3"/>
                <w:sz w:val="21"/>
                <w:highlight w:val="none"/>
              </w:rPr>
              <w:t>施</w:t>
            </w:r>
            <w:r>
              <w:rPr>
                <w:rFonts w:hint="eastAsia"/>
                <w:color w:val="auto"/>
                <w:sz w:val="21"/>
                <w:highlight w:val="none"/>
              </w:rPr>
              <w:t>工。</w:t>
            </w:r>
          </w:p>
          <w:p>
            <w:pPr>
              <w:pStyle w:val="87"/>
              <w:adjustRightInd w:val="0"/>
              <w:snapToGrid w:val="0"/>
              <w:spacing w:line="300" w:lineRule="auto"/>
              <w:rPr>
                <w:color w:val="auto"/>
                <w:sz w:val="21"/>
                <w:highlight w:val="none"/>
              </w:rPr>
            </w:pPr>
            <w:r>
              <w:rPr>
                <w:rFonts w:hint="eastAsia"/>
                <w:color w:val="auto"/>
                <w:spacing w:val="-3"/>
                <w:sz w:val="21"/>
                <w:highlight w:val="none"/>
              </w:rPr>
              <w:t>在没有发包人及监理人共同批准的前提下，承包人不得对施工图的任何部分进行修改，否则按承包人违约处理，并由承包人承担由此产生的一切后果和经济责任。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2"/>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5</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20"/>
              <w:ind w:right="90"/>
              <w:jc w:val="center"/>
              <w:rPr>
                <w:color w:val="auto"/>
                <w:sz w:val="21"/>
                <w:highlight w:val="none"/>
              </w:rPr>
            </w:pPr>
            <w:r>
              <w:rPr>
                <w:rFonts w:hint="eastAsia"/>
                <w:color w:val="auto"/>
                <w:sz w:val="21"/>
                <w:highlight w:val="none"/>
              </w:rPr>
              <w:t>1.7.2</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00" w:lineRule="auto"/>
              <w:rPr>
                <w:color w:val="auto"/>
                <w:sz w:val="21"/>
                <w:highlight w:val="none"/>
              </w:rPr>
            </w:pPr>
            <w:r>
              <w:rPr>
                <w:rFonts w:hint="eastAsia"/>
                <w:color w:val="auto"/>
                <w:sz w:val="21"/>
                <w:highlight w:val="none"/>
              </w:rPr>
              <w:t>来往函件送达的期限：</w:t>
            </w:r>
            <w:r>
              <w:rPr>
                <w:rFonts w:hint="eastAsia"/>
                <w:color w:val="auto"/>
                <w:sz w:val="21"/>
                <w:highlight w:val="none"/>
                <w:u w:val="single"/>
              </w:rPr>
              <w:t xml:space="preserve"> 函件发出 24 小时内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2"/>
              <w:ind w:left="35" w:right="26"/>
              <w:jc w:val="center"/>
              <w:rPr>
                <w:color w:val="auto"/>
                <w:sz w:val="21"/>
                <w:highlight w:val="none"/>
                <w:lang w:val="en-US"/>
              </w:rPr>
            </w:pPr>
            <w:r>
              <w:rPr>
                <w:rFonts w:hint="eastAsia"/>
                <w:color w:val="auto"/>
                <w:sz w:val="21"/>
                <w:highlight w:val="none"/>
                <w:lang w:val="en-US"/>
              </w:rPr>
              <w:t>16</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263"/>
              <w:adjustRightInd w:val="0"/>
              <w:snapToGrid w:val="0"/>
              <w:spacing w:line="264" w:lineRule="auto"/>
              <w:jc w:val="center"/>
              <w:rPr>
                <w:color w:val="auto"/>
                <w:sz w:val="21"/>
                <w:szCs w:val="22"/>
                <w:highlight w:val="none"/>
                <w:lang w:val="zh-CN" w:eastAsia="zh-CN" w:bidi="zh-CN"/>
              </w:rPr>
            </w:pPr>
            <w:r>
              <w:rPr>
                <w:rFonts w:hint="eastAsia"/>
                <w:color w:val="auto"/>
                <w:sz w:val="21"/>
                <w:szCs w:val="22"/>
                <w:highlight w:val="none"/>
                <w:lang w:val="en-US" w:eastAsia="en-US" w:bidi="zh-CN"/>
              </w:rPr>
              <w:t>2.6</w:t>
            </w:r>
          </w:p>
        </w:tc>
        <w:tc>
          <w:tcPr>
            <w:tcW w:w="7780" w:type="dxa"/>
            <w:tcBorders>
              <w:top w:val="single" w:color="000000" w:sz="2" w:space="0"/>
              <w:left w:val="single" w:color="000000" w:sz="2" w:space="0"/>
              <w:bottom w:val="single" w:color="000000" w:sz="2" w:space="0"/>
              <w:right w:val="single" w:color="000000" w:sz="8" w:space="0"/>
            </w:tcBorders>
            <w:vAlign w:val="bottom"/>
          </w:tcPr>
          <w:p>
            <w:pPr>
              <w:pStyle w:val="263"/>
              <w:adjustRightInd w:val="0"/>
              <w:snapToGrid w:val="0"/>
              <w:spacing w:line="264" w:lineRule="auto"/>
              <w:jc w:val="both"/>
              <w:rPr>
                <w:color w:val="auto"/>
                <w:sz w:val="21"/>
                <w:szCs w:val="22"/>
                <w:highlight w:val="none"/>
                <w:lang w:val="zh-CN" w:eastAsia="zh-CN" w:bidi="zh-CN"/>
              </w:rPr>
            </w:pPr>
            <w:r>
              <w:rPr>
                <w:rFonts w:hint="eastAsia"/>
                <w:color w:val="auto"/>
                <w:sz w:val="21"/>
                <w:szCs w:val="22"/>
                <w:highlight w:val="none"/>
                <w:lang w:val="zh-CN" w:eastAsia="zh-CN" w:bidi="zh-CN"/>
              </w:rPr>
              <w:t>本工程资金来源全部为财政资金，属于出资人在财政资金到位后列入年度生产建设投资计划的项目，出资人下达的投资计划即为工程款支付担保。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7</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right="90"/>
              <w:jc w:val="center"/>
              <w:rPr>
                <w:color w:val="auto"/>
                <w:sz w:val="21"/>
                <w:highlight w:val="none"/>
              </w:rPr>
            </w:pPr>
            <w:r>
              <w:rPr>
                <w:rFonts w:hint="eastAsia"/>
                <w:color w:val="auto"/>
                <w:sz w:val="21"/>
                <w:highlight w:val="none"/>
              </w:rPr>
              <w:t>3.1.1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00" w:lineRule="auto"/>
              <w:rPr>
                <w:color w:val="auto"/>
                <w:sz w:val="21"/>
                <w:highlight w:val="none"/>
              </w:rPr>
            </w:pPr>
            <w:r>
              <w:rPr>
                <w:rFonts w:hint="eastAsia"/>
                <w:color w:val="auto"/>
                <w:sz w:val="21"/>
                <w:highlight w:val="none"/>
              </w:rPr>
              <w:t>监理人在行使下列权力前需要经发包人事先批准：</w:t>
            </w:r>
          </w:p>
          <w:p>
            <w:pPr>
              <w:pStyle w:val="87"/>
              <w:adjustRightInd w:val="0"/>
              <w:snapToGrid w:val="0"/>
              <w:spacing w:line="300" w:lineRule="auto"/>
              <w:ind w:left="311"/>
              <w:rPr>
                <w:color w:val="auto"/>
                <w:sz w:val="21"/>
                <w:highlight w:val="none"/>
              </w:rPr>
            </w:pPr>
            <w:r>
              <w:rPr>
                <w:rFonts w:hint="eastAsia"/>
                <w:color w:val="auto"/>
                <w:sz w:val="21"/>
                <w:highlight w:val="none"/>
              </w:rPr>
              <w:t>（6）监理人在行使根据第 15.3 款发出的变更指示前需要经发包人事先批准。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8</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
              <w:ind w:right="-15"/>
              <w:jc w:val="center"/>
              <w:rPr>
                <w:color w:val="auto"/>
                <w:sz w:val="21"/>
                <w:highlight w:val="none"/>
              </w:rPr>
            </w:pPr>
            <w:r>
              <w:rPr>
                <w:rFonts w:hint="eastAsia"/>
                <w:color w:val="auto"/>
                <w:spacing w:val="-4"/>
                <w:sz w:val="21"/>
                <w:highlight w:val="none"/>
              </w:rPr>
              <w:t>4.1.10(1)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00" w:lineRule="auto"/>
              <w:ind w:right="79"/>
              <w:rPr>
                <w:color w:val="auto"/>
                <w:sz w:val="21"/>
                <w:highlight w:val="none"/>
              </w:rPr>
            </w:pPr>
            <w:r>
              <w:rPr>
                <w:color w:val="auto"/>
                <w:highlight w:val="none"/>
              </w:rPr>
              <w:t>承包人应根据工程实际情况确定临时占地最长使用期限，临时占地的租地费用由承包人在投标阶段综合考虑并计入相关清单子目报价中，发包人不再另行计量，出资人不再另行支付。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9</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right="-15"/>
              <w:jc w:val="center"/>
              <w:rPr>
                <w:color w:val="auto"/>
                <w:sz w:val="21"/>
                <w:highlight w:val="none"/>
              </w:rPr>
            </w:pPr>
            <w:r>
              <w:rPr>
                <w:rFonts w:hint="eastAsia"/>
                <w:color w:val="auto"/>
                <w:spacing w:val="-4"/>
                <w:sz w:val="21"/>
                <w:highlight w:val="none"/>
              </w:rPr>
              <w:t>4.1.10(3)</w:t>
            </w:r>
          </w:p>
        </w:tc>
        <w:tc>
          <w:tcPr>
            <w:tcW w:w="7780" w:type="dxa"/>
            <w:tcBorders>
              <w:top w:val="single" w:color="000000" w:sz="2" w:space="0"/>
              <w:left w:val="single" w:color="000000" w:sz="2" w:space="0"/>
              <w:bottom w:val="single" w:color="000000" w:sz="2" w:space="0"/>
              <w:right w:val="single" w:color="000000" w:sz="8" w:space="0"/>
            </w:tcBorders>
          </w:tcPr>
          <w:p>
            <w:pPr>
              <w:pStyle w:val="263"/>
              <w:adjustRightInd w:val="0"/>
              <w:snapToGrid w:val="0"/>
              <w:spacing w:line="264" w:lineRule="auto"/>
              <w:jc w:val="both"/>
              <w:rPr>
                <w:color w:val="auto"/>
                <w:sz w:val="21"/>
                <w:szCs w:val="21"/>
                <w:highlight w:val="none"/>
              </w:rPr>
            </w:pPr>
            <w:r>
              <w:rPr>
                <w:color w:val="auto"/>
                <w:sz w:val="21"/>
                <w:szCs w:val="21"/>
                <w:highlight w:val="none"/>
              </w:rPr>
              <w:t>承包人对于农民工工资的发放应严格遵守《保障农民工工资支付条例》（国务院令 第</w:t>
            </w:r>
            <w:r>
              <w:rPr>
                <w:rFonts w:ascii="Times New Roman" w:hAnsi="Times New Roman" w:eastAsia="Times New Roman" w:cs="Times New Roman"/>
                <w:color w:val="auto"/>
                <w:sz w:val="21"/>
                <w:szCs w:val="21"/>
                <w:highlight w:val="none"/>
              </w:rPr>
              <w:t>724</w:t>
            </w:r>
            <w:r>
              <w:rPr>
                <w:color w:val="auto"/>
                <w:sz w:val="21"/>
                <w:szCs w:val="21"/>
                <w:highlight w:val="none"/>
              </w:rPr>
              <w:t>号）、《辽宁省公路水运工程建设领域农民工工资支付管理办法》（辽交公水规〔</w:t>
            </w:r>
            <w:r>
              <w:rPr>
                <w:rFonts w:ascii="Times New Roman" w:hAnsi="Times New Roman" w:eastAsia="Times New Roman" w:cs="Times New Roman"/>
                <w:color w:val="auto"/>
                <w:sz w:val="21"/>
                <w:szCs w:val="21"/>
                <w:highlight w:val="none"/>
              </w:rPr>
              <w:t>2020</w:t>
            </w:r>
            <w:r>
              <w:rPr>
                <w:color w:val="auto"/>
                <w:sz w:val="21"/>
                <w:szCs w:val="21"/>
                <w:highlight w:val="none"/>
              </w:rPr>
              <w:t>〕</w:t>
            </w:r>
            <w:r>
              <w:rPr>
                <w:rFonts w:ascii="Times New Roman" w:hAnsi="Times New Roman" w:eastAsia="Times New Roman" w:cs="Times New Roman"/>
                <w:color w:val="auto"/>
                <w:sz w:val="21"/>
                <w:szCs w:val="21"/>
                <w:highlight w:val="none"/>
              </w:rPr>
              <w:t>1</w:t>
            </w:r>
            <w:r>
              <w:rPr>
                <w:color w:val="auto"/>
                <w:sz w:val="21"/>
                <w:szCs w:val="21"/>
                <w:highlight w:val="none"/>
              </w:rPr>
              <w:t>号）等国家和项目所在省、市相关主管部门施行的规定，主要包括：</w:t>
            </w:r>
          </w:p>
          <w:p>
            <w:pPr>
              <w:pStyle w:val="263"/>
              <w:tabs>
                <w:tab w:val="left" w:pos="725"/>
              </w:tabs>
              <w:adjustRightInd w:val="0"/>
              <w:snapToGrid w:val="0"/>
              <w:spacing w:line="264" w:lineRule="auto"/>
              <w:ind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eastAsia="zh-CN" w:bidi="en-US"/>
              </w:rPr>
              <w:t>a</w:t>
            </w:r>
            <w:r>
              <w:rPr>
                <w:color w:val="auto"/>
                <w:sz w:val="21"/>
                <w:szCs w:val="21"/>
                <w:highlight w:val="none"/>
                <w:lang w:val="en-US" w:eastAsia="zh-CN" w:bidi="en-US"/>
              </w:rPr>
              <w:t>、</w:t>
            </w:r>
            <w:r>
              <w:rPr>
                <w:color w:val="auto"/>
                <w:sz w:val="21"/>
                <w:szCs w:val="21"/>
                <w:highlight w:val="none"/>
              </w:rPr>
              <w:t>承包人（包括其分包人）应实行农民工劳动用工实名制管理，与招用的农民工书面约定或者通过依法制定的规章制度规定工资支付标准、支付时间、支付方式等内容。承包人（包括其分包人）应按照与农民工订立的劳动合同中约定的工资支付周期和具体支付日期足额支付工资。</w:t>
            </w:r>
          </w:p>
          <w:p>
            <w:pPr>
              <w:pStyle w:val="87"/>
              <w:adjustRightInd w:val="0"/>
              <w:snapToGrid w:val="0"/>
              <w:spacing w:line="264" w:lineRule="auto"/>
              <w:ind w:right="79"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bidi="en-US"/>
              </w:rPr>
              <w:t>b</w:t>
            </w:r>
            <w:r>
              <w:rPr>
                <w:color w:val="auto"/>
                <w:sz w:val="21"/>
                <w:szCs w:val="21"/>
                <w:highlight w:val="none"/>
                <w:lang w:val="en-US" w:bidi="en-US"/>
              </w:rPr>
              <w:t>、</w:t>
            </w:r>
            <w:r>
              <w:rPr>
                <w:color w:val="auto"/>
                <w:sz w:val="21"/>
                <w:szCs w:val="21"/>
                <w:highlight w:val="none"/>
              </w:rPr>
              <w:t>农民工工资应当以货币形式，通过银行转账或者现金支付给农民工本人，不得以实物或者有价证券等其他形式替代。</w:t>
            </w:r>
          </w:p>
          <w:p>
            <w:pPr>
              <w:pStyle w:val="87"/>
              <w:adjustRightInd w:val="0"/>
              <w:snapToGrid w:val="0"/>
              <w:spacing w:line="264" w:lineRule="auto"/>
              <w:ind w:right="79" w:firstLine="210" w:firstLineChars="100"/>
              <w:jc w:val="both"/>
              <w:rPr>
                <w:color w:val="auto"/>
                <w:sz w:val="21"/>
                <w:szCs w:val="21"/>
                <w:highlight w:val="none"/>
              </w:rPr>
            </w:pPr>
            <w:r>
              <w:rPr>
                <w:rFonts w:hint="eastAsia"/>
                <w:color w:val="auto"/>
                <w:sz w:val="21"/>
                <w:szCs w:val="21"/>
                <w:highlight w:val="none"/>
                <w:lang w:val="en-US"/>
              </w:rPr>
              <w:t>c、</w:t>
            </w:r>
            <w:r>
              <w:rPr>
                <w:color w:val="auto"/>
                <w:sz w:val="21"/>
                <w:szCs w:val="21"/>
                <w:highlight w:val="none"/>
              </w:rPr>
              <w:t>承包人在每次申报计量支付时，应将农民工工资款单独列项，出资人将按照经审核后的数额将农民工工资拨付至承包人的农民工工资专用账户</w:t>
            </w:r>
            <w:r>
              <w:rPr>
                <w:rFonts w:hint="eastAsia"/>
                <w:color w:val="auto"/>
                <w:sz w:val="21"/>
                <w:szCs w:val="21"/>
                <w:highlight w:val="none"/>
              </w:rPr>
              <w:t>。</w:t>
            </w:r>
          </w:p>
          <w:p>
            <w:pPr>
              <w:pStyle w:val="87"/>
              <w:adjustRightInd w:val="0"/>
              <w:snapToGrid w:val="0"/>
              <w:spacing w:line="264" w:lineRule="auto"/>
              <w:ind w:right="79"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bidi="en-US"/>
              </w:rPr>
              <w:t>d</w:t>
            </w:r>
            <w:r>
              <w:rPr>
                <w:color w:val="auto"/>
                <w:sz w:val="21"/>
                <w:szCs w:val="21"/>
                <w:highlight w:val="none"/>
                <w:lang w:val="en-US" w:bidi="en-US"/>
              </w:rPr>
              <w:t>、</w:t>
            </w:r>
            <w:r>
              <w:rPr>
                <w:color w:val="auto"/>
                <w:sz w:val="21"/>
                <w:szCs w:val="21"/>
                <w:highlight w:val="none"/>
              </w:rPr>
              <w:t>承包人应当按照工资支付周期编制书面工资支付台账，并至少保存</w:t>
            </w:r>
            <w:r>
              <w:rPr>
                <w:rFonts w:ascii="Times New Roman" w:hAnsi="Times New Roman" w:eastAsia="Times New Roman" w:cs="Times New Roman"/>
                <w:color w:val="auto"/>
                <w:sz w:val="21"/>
                <w:szCs w:val="21"/>
                <w:highlight w:val="none"/>
              </w:rPr>
              <w:t>3</w:t>
            </w:r>
            <w:r>
              <w:rPr>
                <w:color w:val="auto"/>
                <w:sz w:val="21"/>
                <w:szCs w:val="21"/>
                <w:highlight w:val="none"/>
              </w:rPr>
              <w:t>年。书面工资支付台账应当包括用人单位名称，支付周期，支付日期，支付对象姓名、身份证号码、联系方式，工作时间，应发工资项目及数额，代扣、代缴、扣除项目和数额，实发工资数额，银行代发工资凭证或者农民工签字等内容。用人单位向农民工支付工资时，应当提供农民工本人的工资清单</w:t>
            </w:r>
            <w:r>
              <w:rPr>
                <w:rFonts w:hint="eastAsia"/>
                <w:color w:val="auto"/>
                <w:sz w:val="21"/>
                <w:szCs w:val="21"/>
                <w:highlight w:val="none"/>
              </w:rPr>
              <w:t>。</w:t>
            </w:r>
          </w:p>
          <w:p>
            <w:pPr>
              <w:pStyle w:val="87"/>
              <w:adjustRightInd w:val="0"/>
              <w:snapToGrid w:val="0"/>
              <w:spacing w:line="264" w:lineRule="auto"/>
              <w:ind w:right="79"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bidi="en-US"/>
              </w:rPr>
              <w:t>e</w:t>
            </w:r>
            <w:r>
              <w:rPr>
                <w:color w:val="auto"/>
                <w:sz w:val="21"/>
                <w:szCs w:val="21"/>
                <w:highlight w:val="none"/>
                <w:lang w:val="en-US" w:bidi="en-US"/>
              </w:rPr>
              <w:t>、</w:t>
            </w:r>
            <w:r>
              <w:rPr>
                <w:color w:val="auto"/>
                <w:sz w:val="21"/>
                <w:szCs w:val="21"/>
                <w:highlight w:val="none"/>
              </w:rPr>
              <w:t>承包人应分解工程价款中的人工费用，在本合同签订后</w:t>
            </w:r>
            <w:r>
              <w:rPr>
                <w:rFonts w:ascii="Times New Roman" w:hAnsi="Times New Roman" w:eastAsia="Times New Roman" w:cs="Times New Roman"/>
                <w:color w:val="auto"/>
                <w:sz w:val="21"/>
                <w:szCs w:val="21"/>
                <w:highlight w:val="none"/>
              </w:rPr>
              <w:t>15</w:t>
            </w:r>
            <w:r>
              <w:rPr>
                <w:color w:val="auto"/>
                <w:sz w:val="21"/>
                <w:szCs w:val="21"/>
                <w:highlight w:val="none"/>
              </w:rPr>
              <w:t>日内按照有关规定 开设农民工工资专用账户，专项用于支付本工程项目的农民工工资。开设、使用农民工工资专用账户有关资料应当由承包人妥善保存备查。工程完工且未拖欠农民工工资的，承包人公示</w:t>
            </w:r>
            <w:r>
              <w:rPr>
                <w:rFonts w:ascii="Times New Roman" w:hAnsi="Times New Roman" w:eastAsia="Times New Roman" w:cs="Times New Roman"/>
                <w:color w:val="auto"/>
                <w:sz w:val="21"/>
                <w:szCs w:val="21"/>
                <w:highlight w:val="none"/>
              </w:rPr>
              <w:t>30</w:t>
            </w:r>
            <w:r>
              <w:rPr>
                <w:color w:val="auto"/>
                <w:sz w:val="21"/>
                <w:szCs w:val="21"/>
                <w:highlight w:val="none"/>
              </w:rPr>
              <w:t>日后，可以申请注销农民工工资专用账户，账户内余额归承包人所有。</w:t>
            </w:r>
          </w:p>
          <w:p>
            <w:pPr>
              <w:pStyle w:val="87"/>
              <w:adjustRightInd w:val="0"/>
              <w:snapToGrid w:val="0"/>
              <w:spacing w:line="264" w:lineRule="auto"/>
              <w:ind w:right="79" w:firstLine="210" w:firstLineChars="100"/>
              <w:jc w:val="both"/>
              <w:rPr>
                <w:color w:val="auto"/>
                <w:highlight w:val="none"/>
                <w:lang w:val="en-US"/>
              </w:rPr>
            </w:pPr>
            <w:r>
              <w:rPr>
                <w:rFonts w:ascii="Times New Roman" w:hAnsi="Times New Roman" w:eastAsia="Times New Roman" w:cs="Times New Roman"/>
                <w:color w:val="auto"/>
                <w:sz w:val="21"/>
                <w:szCs w:val="21"/>
                <w:highlight w:val="none"/>
                <w:lang w:val="en-US" w:bidi="en-US"/>
              </w:rPr>
              <w:t>f</w:t>
            </w:r>
            <w:r>
              <w:rPr>
                <w:color w:val="auto"/>
                <w:sz w:val="21"/>
                <w:szCs w:val="21"/>
                <w:highlight w:val="none"/>
                <w:lang w:val="en-US" w:bidi="en-US"/>
              </w:rPr>
              <w:t>、</w:t>
            </w:r>
            <w:r>
              <w:rPr>
                <w:color w:val="auto"/>
                <w:sz w:val="21"/>
                <w:szCs w:val="21"/>
                <w:highlight w:val="none"/>
              </w:rPr>
              <w:t>承包人（包括其分包人）应当依法与所招用的农民工订立劳动合同并进行用工实名登记，通过相应的管理服务信息平台（如有）进行用工实名登记、管理。未与承包人（包括其分包人）订立劳动合同并进行用工实名登记的人员，不得进</w:t>
            </w:r>
          </w:p>
        </w:tc>
      </w:tr>
    </w:tbl>
    <w:p>
      <w:pPr>
        <w:pStyle w:val="268"/>
        <w:spacing w:before="120" w:after="120" w:line="360" w:lineRule="exact"/>
        <w:outlineLvl w:val="9"/>
        <w:rPr>
          <w:color w:val="auto"/>
          <w:sz w:val="20"/>
          <w:highlight w:val="none"/>
        </w:rPr>
        <w:sectPr>
          <w:pgSz w:w="11906" w:h="16838"/>
          <w:pgMar w:top="1440" w:right="991" w:bottom="1440" w:left="1418" w:header="851" w:footer="992" w:gutter="0"/>
          <w:cols w:space="720" w:num="1"/>
          <w:docGrid w:type="lines" w:linePitch="312" w:charSpace="0"/>
        </w:sectPr>
      </w:pPr>
    </w:p>
    <w:tbl>
      <w:tblPr>
        <w:tblStyle w:val="47"/>
        <w:tblW w:w="9610" w:type="dxa"/>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295"/>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295"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1</w:t>
            </w:r>
            <w:r>
              <w:rPr>
                <w:rFonts w:hint="eastAsia"/>
                <w:color w:val="auto"/>
                <w:sz w:val="21"/>
                <w:highlight w:val="none"/>
                <w:lang w:val="en-US"/>
              </w:rPr>
              <w:t>9</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right="-15"/>
              <w:jc w:val="center"/>
              <w:rPr>
                <w:color w:val="auto"/>
                <w:sz w:val="21"/>
                <w:highlight w:val="none"/>
              </w:rPr>
            </w:pPr>
            <w:r>
              <w:rPr>
                <w:rFonts w:hint="eastAsia"/>
                <w:color w:val="auto"/>
                <w:spacing w:val="-4"/>
                <w:sz w:val="21"/>
                <w:highlight w:val="none"/>
              </w:rPr>
              <w:t>4.1.10(3)</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ind w:right="79"/>
              <w:jc w:val="both"/>
              <w:rPr>
                <w:color w:val="auto"/>
                <w:sz w:val="21"/>
                <w:szCs w:val="21"/>
                <w:highlight w:val="none"/>
              </w:rPr>
            </w:pPr>
            <w:r>
              <w:rPr>
                <w:color w:val="auto"/>
                <w:sz w:val="21"/>
                <w:szCs w:val="21"/>
                <w:highlight w:val="none"/>
              </w:rPr>
              <w:t>入项目现场施工。承包人对工程进行分包的，应在工程项目部配备劳资专管员，对分包人劳动用工实施监督管理，掌握施工现场用工、考勤、工资支付等情况，审核分包人编制的农民工工资支付表。承包人应当建立用工管理台账，并保存至工程完工且工资全部结清后至少</w:t>
            </w:r>
            <w:r>
              <w:rPr>
                <w:rFonts w:ascii="Times New Roman" w:hAnsi="Times New Roman" w:eastAsia="Times New Roman" w:cs="Times New Roman"/>
                <w:color w:val="auto"/>
                <w:sz w:val="21"/>
                <w:szCs w:val="21"/>
                <w:highlight w:val="none"/>
              </w:rPr>
              <w:t>3</w:t>
            </w:r>
            <w:r>
              <w:rPr>
                <w:color w:val="auto"/>
                <w:sz w:val="21"/>
                <w:szCs w:val="21"/>
                <w:highlight w:val="none"/>
              </w:rPr>
              <w:t>年。</w:t>
            </w:r>
          </w:p>
          <w:p>
            <w:pPr>
              <w:pStyle w:val="87"/>
              <w:adjustRightInd w:val="0"/>
              <w:snapToGrid w:val="0"/>
              <w:spacing w:line="264" w:lineRule="auto"/>
              <w:ind w:right="79"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bidi="en-US"/>
              </w:rPr>
              <w:t>g</w:t>
            </w:r>
            <w:r>
              <w:rPr>
                <w:color w:val="auto"/>
                <w:sz w:val="21"/>
                <w:szCs w:val="21"/>
                <w:highlight w:val="none"/>
                <w:lang w:val="en-US" w:bidi="en-US"/>
              </w:rPr>
              <w:t>、</w:t>
            </w:r>
            <w:r>
              <w:rPr>
                <w:color w:val="auto"/>
                <w:sz w:val="21"/>
                <w:szCs w:val="21"/>
                <w:highlight w:val="none"/>
              </w:rPr>
              <w:t>分包人（如有）拖欠农民工工资的，由承包人先行清偿，再依法进行追偿。因承包人转包导致拖欠农民工工资的，由承包人先行清偿，再依法进行追偿。</w:t>
            </w:r>
          </w:p>
          <w:p>
            <w:pPr>
              <w:pStyle w:val="87"/>
              <w:adjustRightInd w:val="0"/>
              <w:snapToGrid w:val="0"/>
              <w:spacing w:line="264" w:lineRule="auto"/>
              <w:ind w:right="79"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bidi="en-US"/>
              </w:rPr>
              <w:t>h</w:t>
            </w:r>
            <w:r>
              <w:rPr>
                <w:color w:val="auto"/>
                <w:sz w:val="21"/>
                <w:szCs w:val="21"/>
                <w:highlight w:val="none"/>
                <w:lang w:val="en-US" w:bidi="en-US"/>
              </w:rPr>
              <w:t>、</w:t>
            </w:r>
            <w:r>
              <w:rPr>
                <w:color w:val="auto"/>
                <w:sz w:val="21"/>
                <w:szCs w:val="21"/>
                <w:highlight w:val="none"/>
              </w:rPr>
              <w:t>承包人应当按照项目所在省、市的人力资源社会保障行政部门、交通运输主管部门等的有关规定存储工资保证金。</w:t>
            </w:r>
          </w:p>
          <w:p>
            <w:pPr>
              <w:pStyle w:val="87"/>
              <w:adjustRightInd w:val="0"/>
              <w:snapToGrid w:val="0"/>
              <w:spacing w:line="264" w:lineRule="auto"/>
              <w:ind w:right="79" w:firstLine="210" w:firstLineChars="100"/>
              <w:jc w:val="both"/>
              <w:rPr>
                <w:color w:val="auto"/>
                <w:sz w:val="21"/>
                <w:szCs w:val="21"/>
                <w:highlight w:val="none"/>
              </w:rPr>
            </w:pPr>
            <w:r>
              <w:rPr>
                <w:rFonts w:ascii="Times New Roman" w:hAnsi="Times New Roman" w:eastAsia="Times New Roman" w:cs="Times New Roman"/>
                <w:color w:val="auto"/>
                <w:sz w:val="21"/>
                <w:szCs w:val="21"/>
                <w:highlight w:val="none"/>
                <w:lang w:val="en-US" w:bidi="en-US"/>
              </w:rPr>
              <w:t>i</w:t>
            </w:r>
            <w:r>
              <w:rPr>
                <w:color w:val="auto"/>
                <w:sz w:val="21"/>
                <w:szCs w:val="21"/>
                <w:highlight w:val="none"/>
                <w:lang w:val="en-US" w:bidi="en-US"/>
              </w:rPr>
              <w:t>、</w:t>
            </w:r>
            <w:r>
              <w:rPr>
                <w:color w:val="auto"/>
                <w:sz w:val="21"/>
                <w:szCs w:val="21"/>
                <w:highlight w:val="none"/>
              </w:rPr>
              <w:t>承包人应当在施工现场醒目位置设立维权信息告示牌，明示下列事项：①发包人、承包人及所在项目部、分包单位、相关行业工程建设主管部门、劳资专管员等基本信息；②当地最低工资标准、工资支付日期等基本信息；③交通运输主管部门和劳动保障监察投诉举报电话、劳动争议调解仲裁申请渠道、法律援助申请渠道、公共法律服务热线等信息</w:t>
            </w:r>
            <w:r>
              <w:rPr>
                <w:rFonts w:hint="eastAsia"/>
                <w:color w:val="auto"/>
                <w:sz w:val="21"/>
                <w:szCs w:val="21"/>
                <w:highlight w:val="none"/>
              </w:rPr>
              <w:t>。</w:t>
            </w:r>
          </w:p>
          <w:p>
            <w:pPr>
              <w:pStyle w:val="87"/>
              <w:adjustRightInd w:val="0"/>
              <w:snapToGrid w:val="0"/>
              <w:spacing w:line="264" w:lineRule="auto"/>
              <w:ind w:right="79" w:firstLine="210" w:firstLineChars="100"/>
              <w:jc w:val="both"/>
              <w:rPr>
                <w:color w:val="auto"/>
                <w:highlight w:val="none"/>
                <w:lang w:val="en-US"/>
              </w:rPr>
            </w:pPr>
            <w:r>
              <w:rPr>
                <w:rFonts w:ascii="Times New Roman" w:hAnsi="Times New Roman" w:eastAsia="Times New Roman" w:cs="Times New Roman"/>
                <w:color w:val="auto"/>
                <w:sz w:val="21"/>
                <w:szCs w:val="21"/>
                <w:highlight w:val="none"/>
                <w:lang w:val="en-US" w:bidi="en-US"/>
              </w:rPr>
              <w:t>j</w:t>
            </w:r>
            <w:r>
              <w:rPr>
                <w:color w:val="auto"/>
                <w:sz w:val="21"/>
                <w:szCs w:val="21"/>
                <w:highlight w:val="none"/>
                <w:lang w:val="en-US" w:bidi="en-US"/>
              </w:rPr>
              <w:t>、</w:t>
            </w:r>
            <w:r>
              <w:rPr>
                <w:color w:val="auto"/>
                <w:sz w:val="21"/>
                <w:szCs w:val="21"/>
                <w:highlight w:val="none"/>
              </w:rPr>
              <w:t>承包人在履行合同过程中出现拖欠或克扣农民工工资或与本工程有关的债务 而导致阻工、上访，经发包人、监理人及政府相关部门确认后，出资人将停止对承包人的支付，直到其妥善处理为止</w:t>
            </w:r>
            <w:r>
              <w:rPr>
                <w:rFonts w:hint="eastAsia"/>
                <w:color w:val="auto"/>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20</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right="-15"/>
              <w:jc w:val="center"/>
              <w:rPr>
                <w:color w:val="auto"/>
                <w:spacing w:val="-4"/>
                <w:sz w:val="21"/>
                <w:highlight w:val="none"/>
                <w:lang w:val="en-US"/>
              </w:rPr>
            </w:pPr>
            <w:r>
              <w:rPr>
                <w:rFonts w:hint="eastAsia"/>
                <w:color w:val="auto"/>
                <w:spacing w:val="-4"/>
                <w:sz w:val="21"/>
                <w:highlight w:val="none"/>
                <w:lang w:val="en-US"/>
              </w:rPr>
              <w:t>4.2</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ind w:right="79" w:firstLine="210" w:firstLineChars="100"/>
              <w:jc w:val="both"/>
              <w:rPr>
                <w:color w:val="auto"/>
                <w:sz w:val="21"/>
                <w:szCs w:val="21"/>
                <w:highlight w:val="none"/>
              </w:rPr>
            </w:pPr>
            <w:r>
              <w:rPr>
                <w:color w:val="auto"/>
                <w:sz w:val="21"/>
                <w:szCs w:val="21"/>
                <w:highlight w:val="none"/>
              </w:rPr>
              <w:t>履约保证金额度为</w:t>
            </w:r>
            <w:r>
              <w:rPr>
                <w:rFonts w:hint="eastAsia"/>
                <w:color w:val="auto"/>
                <w:sz w:val="21"/>
                <w:szCs w:val="21"/>
                <w:highlight w:val="none"/>
                <w:u w:val="single"/>
                <w:lang w:val="en-US"/>
              </w:rPr>
              <w:t xml:space="preserve">  </w:t>
            </w:r>
            <w:r>
              <w:rPr>
                <w:color w:val="auto"/>
                <w:sz w:val="21"/>
                <w:szCs w:val="21"/>
                <w:highlight w:val="none"/>
                <w:u w:val="single"/>
              </w:rPr>
              <w:t>签约合同价的3%</w:t>
            </w:r>
            <w:r>
              <w:rPr>
                <w:rFonts w:hint="eastAsia"/>
                <w:color w:val="auto"/>
                <w:sz w:val="21"/>
                <w:szCs w:val="21"/>
                <w:highlight w:val="none"/>
                <w:u w:val="single"/>
                <w:lang w:val="en-US"/>
              </w:rPr>
              <w:t xml:space="preserve">  </w:t>
            </w:r>
            <w:r>
              <w:rPr>
                <w:color w:val="auto"/>
                <w:sz w:val="21"/>
                <w:szCs w:val="21"/>
                <w:highlight w:val="none"/>
              </w:rPr>
              <w:t>。（</w:t>
            </w:r>
            <w:r>
              <w:rPr>
                <w:rFonts w:hint="eastAsia" w:ascii="方正行楷简体" w:hAnsi="方正行楷简体" w:eastAsia="方正行楷简体" w:cs="方正行楷简体"/>
                <w:color w:val="auto"/>
                <w:sz w:val="21"/>
                <w:szCs w:val="21"/>
                <w:highlight w:val="none"/>
                <w:lang w:val="en-US"/>
              </w:rPr>
              <w:t>履约保证全额度一股为签约合同价的 3%</w:t>
            </w:r>
            <w:r>
              <w:rPr>
                <w:color w:val="auto"/>
                <w:sz w:val="21"/>
                <w:szCs w:val="21"/>
                <w:highlight w:val="none"/>
              </w:rPr>
              <w:t>）</w:t>
            </w:r>
          </w:p>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承包人应保证其履约保证金在发包人签发工程验收证书且承包人按照合同约定缴 纳质量保证金前一直有效。发包人应在收到承包人缴纳的质量保证金后28天内将履 约保证金退还给承包人。</w:t>
            </w:r>
          </w:p>
          <w:p>
            <w:pPr>
              <w:pStyle w:val="87"/>
              <w:adjustRightInd w:val="0"/>
              <w:snapToGrid w:val="0"/>
              <w:spacing w:line="264" w:lineRule="auto"/>
              <w:ind w:right="79" w:firstLine="210" w:firstLineChars="100"/>
              <w:jc w:val="both"/>
              <w:rPr>
                <w:color w:val="auto"/>
                <w:sz w:val="21"/>
                <w:szCs w:val="21"/>
                <w:highlight w:val="none"/>
                <w:lang w:val="en-US"/>
              </w:rPr>
            </w:pPr>
            <w:r>
              <w:rPr>
                <w:rFonts w:hint="eastAsia"/>
                <w:color w:val="auto"/>
                <w:sz w:val="21"/>
                <w:szCs w:val="21"/>
                <w:highlight w:val="none"/>
              </w:rPr>
              <w:t>承包人拒绝按照本合同约定缴纳质量保证金的，发包人有权从应付工程款中扣留相应金额作为质量保证金，或者直接将履约保证金金额用于保证承包人在缺陷责任期内履行缺陷修复义务。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263"/>
              <w:adjustRightInd w:val="0"/>
              <w:snapToGrid w:val="0"/>
              <w:spacing w:line="264" w:lineRule="auto"/>
              <w:jc w:val="center"/>
              <w:rPr>
                <w:color w:val="auto"/>
                <w:sz w:val="21"/>
                <w:szCs w:val="21"/>
                <w:highlight w:val="none"/>
                <w:lang w:val="en-US" w:eastAsia="zh-CN"/>
              </w:rPr>
            </w:pPr>
            <w:r>
              <w:rPr>
                <w:rFonts w:hint="eastAsia"/>
                <w:color w:val="auto"/>
                <w:sz w:val="21"/>
                <w:szCs w:val="21"/>
                <w:highlight w:val="none"/>
              </w:rPr>
              <w:t>21</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263"/>
              <w:adjustRightInd w:val="0"/>
              <w:snapToGrid w:val="0"/>
              <w:spacing w:line="264" w:lineRule="auto"/>
              <w:ind w:firstLine="210" w:firstLineChars="100"/>
              <w:jc w:val="both"/>
              <w:rPr>
                <w:color w:val="auto"/>
                <w:sz w:val="21"/>
                <w:szCs w:val="21"/>
                <w:highlight w:val="none"/>
                <w:lang w:val="en-US" w:eastAsia="zh-CN"/>
              </w:rPr>
            </w:pPr>
            <w:r>
              <w:rPr>
                <w:rFonts w:hint="eastAsia"/>
                <w:color w:val="auto"/>
                <w:sz w:val="21"/>
                <w:szCs w:val="21"/>
                <w:highlight w:val="none"/>
                <w:lang w:val="en-US" w:eastAsia="en-US"/>
              </w:rPr>
              <w:t>4.3.4</w:t>
            </w:r>
          </w:p>
        </w:tc>
        <w:tc>
          <w:tcPr>
            <w:tcW w:w="7780" w:type="dxa"/>
            <w:tcBorders>
              <w:top w:val="single" w:color="000000" w:sz="2" w:space="0"/>
              <w:left w:val="single" w:color="000000" w:sz="2" w:space="0"/>
              <w:bottom w:val="single" w:color="000000" w:sz="2" w:space="0"/>
              <w:right w:val="single" w:color="000000" w:sz="8" w:space="0"/>
            </w:tcBorders>
            <w:vAlign w:val="bottom"/>
          </w:tcPr>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lang w:val="en-US" w:eastAsia="zh-CN"/>
              </w:rPr>
              <w:t>4.3.4</w:t>
            </w:r>
            <w:r>
              <w:rPr>
                <w:rFonts w:hint="eastAsia"/>
                <w:color w:val="auto"/>
                <w:sz w:val="21"/>
                <w:szCs w:val="21"/>
                <w:highlight w:val="none"/>
              </w:rPr>
              <w:t>劳务分包</w:t>
            </w:r>
          </w:p>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本项补充：</w:t>
            </w:r>
          </w:p>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eastAsia"/>
                <w:color w:val="auto"/>
                <w:sz w:val="21"/>
                <w:szCs w:val="21"/>
                <w:highlight w:val="none"/>
              </w:rPr>
              <w:t>劳务分包合同应当包括以下内容：劳务合同期限、工作内容和工作时间、劳动保护和劳动条件、劳务报酬(在劳动合同中要明确工资以货币形式按月支付，并约定支付的时间、标准和支付方式)、劳动纪律(在劳动合同中明确要求农民工遵守的用人单位依法制定的有关规章制度，用人单位应当在签订劳动合同前告知农民 工)、违反劳务合同的责任(劳务合同中应当约定违约责任，一方违反劳务合同给对 方造成经济损失的，要按《劳动法》等有关法律规定承担赔偿责任)。</w:t>
            </w:r>
          </w:p>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w:t>
            </w:r>
            <w:r>
              <w:rPr>
                <w:rFonts w:hint="eastAsia"/>
                <w:color w:val="auto"/>
                <w:sz w:val="21"/>
                <w:szCs w:val="21"/>
                <w:highlight w:val="none"/>
              </w:rPr>
              <w:t>发包人批准的劳务分包并不免除本合同规定的承包人的任何责任或义务，发包人对承包人与劳务分包人之间的法律与经济纠纷不承担任何责任和义务。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263"/>
              <w:adjustRightInd w:val="0"/>
              <w:snapToGrid w:val="0"/>
              <w:spacing w:line="264" w:lineRule="auto"/>
              <w:jc w:val="center"/>
              <w:rPr>
                <w:color w:val="auto"/>
                <w:sz w:val="21"/>
                <w:szCs w:val="21"/>
                <w:highlight w:val="none"/>
                <w:lang w:eastAsia="zh-CN"/>
              </w:rPr>
            </w:pPr>
            <w:r>
              <w:rPr>
                <w:rFonts w:hint="eastAsia"/>
                <w:color w:val="auto"/>
                <w:sz w:val="21"/>
                <w:szCs w:val="21"/>
                <w:highlight w:val="none"/>
              </w:rPr>
              <w:t>2</w:t>
            </w:r>
            <w:r>
              <w:rPr>
                <w:rFonts w:hint="eastAsia"/>
                <w:color w:val="auto"/>
                <w:sz w:val="21"/>
                <w:szCs w:val="21"/>
                <w:highlight w:val="none"/>
                <w:lang w:val="en-US" w:eastAsia="zh-CN"/>
              </w:rPr>
              <w:t>2</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263"/>
              <w:adjustRightInd w:val="0"/>
              <w:snapToGrid w:val="0"/>
              <w:spacing w:line="264" w:lineRule="auto"/>
              <w:ind w:firstLine="210" w:firstLineChars="100"/>
              <w:jc w:val="both"/>
              <w:rPr>
                <w:color w:val="auto"/>
                <w:sz w:val="21"/>
                <w:szCs w:val="21"/>
                <w:highlight w:val="none"/>
                <w:lang w:val="en-US" w:eastAsia="en-US"/>
              </w:rPr>
            </w:pPr>
            <w:r>
              <w:rPr>
                <w:rFonts w:hint="eastAsia"/>
                <w:color w:val="auto"/>
                <w:sz w:val="21"/>
                <w:szCs w:val="21"/>
                <w:highlight w:val="none"/>
                <w:lang w:val="en-US" w:eastAsia="en-US"/>
              </w:rPr>
              <w:t>4.3</w:t>
            </w:r>
          </w:p>
        </w:tc>
        <w:tc>
          <w:tcPr>
            <w:tcW w:w="7780" w:type="dxa"/>
            <w:tcBorders>
              <w:top w:val="single" w:color="000000" w:sz="2" w:space="0"/>
              <w:left w:val="single" w:color="000000" w:sz="2" w:space="0"/>
              <w:bottom w:val="single" w:color="000000" w:sz="2" w:space="0"/>
              <w:right w:val="single" w:color="000000" w:sz="8" w:space="0"/>
            </w:tcBorders>
            <w:vAlign w:val="bottom"/>
          </w:tcPr>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本款补充：</w:t>
            </w:r>
          </w:p>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w:t>
            </w:r>
            <w:r>
              <w:rPr>
                <w:rFonts w:hint="eastAsia"/>
                <w:color w:val="auto"/>
                <w:sz w:val="21"/>
                <w:szCs w:val="21"/>
                <w:highlight w:val="none"/>
              </w:rPr>
              <w:t>3</w:t>
            </w:r>
            <w:r>
              <w:rPr>
                <w:rFonts w:hint="eastAsia"/>
                <w:color w:val="auto"/>
                <w:sz w:val="21"/>
                <w:szCs w:val="21"/>
                <w:highlight w:val="none"/>
                <w:lang w:val="en-US" w:eastAsia="zh-CN"/>
              </w:rPr>
              <w:t>.</w:t>
            </w:r>
            <w:r>
              <w:rPr>
                <w:rFonts w:hint="eastAsia"/>
                <w:color w:val="auto"/>
                <w:sz w:val="21"/>
                <w:szCs w:val="21"/>
                <w:highlight w:val="none"/>
              </w:rPr>
              <w:t>8本项目的分包合同及劳动合同应按照发包人的要求，按照住房和城乡建设部和劳动社会保障部的示范合同文本，或交通运输主管部门颁发的示范合同文本编制并签订。</w:t>
            </w:r>
          </w:p>
          <w:p>
            <w:pPr>
              <w:pStyle w:val="263"/>
              <w:adjustRightInd w:val="0"/>
              <w:snapToGrid w:val="0"/>
              <w:spacing w:line="264" w:lineRule="auto"/>
              <w:ind w:firstLine="210" w:firstLineChars="100"/>
              <w:jc w:val="both"/>
              <w:rPr>
                <w:color w:val="auto"/>
                <w:sz w:val="21"/>
                <w:szCs w:val="21"/>
                <w:highlight w:val="none"/>
                <w:lang w:val="en-US" w:eastAsia="zh-CN"/>
              </w:rPr>
            </w:pPr>
            <w:r>
              <w:rPr>
                <w:rFonts w:hint="eastAsia"/>
                <w:color w:val="auto"/>
                <w:sz w:val="21"/>
                <w:szCs w:val="21"/>
                <w:highlight w:val="none"/>
              </w:rPr>
              <w:t>4</w:t>
            </w:r>
            <w:r>
              <w:rPr>
                <w:rFonts w:hint="eastAsia"/>
                <w:color w:val="auto"/>
                <w:sz w:val="21"/>
                <w:szCs w:val="21"/>
                <w:highlight w:val="none"/>
                <w:lang w:val="en-US" w:eastAsia="zh-CN"/>
              </w:rPr>
              <w:t>.</w:t>
            </w:r>
            <w:r>
              <w:rPr>
                <w:rFonts w:hint="eastAsia"/>
                <w:color w:val="auto"/>
                <w:sz w:val="21"/>
                <w:szCs w:val="21"/>
                <w:highlight w:val="none"/>
              </w:rPr>
              <w:t>3</w:t>
            </w:r>
            <w:r>
              <w:rPr>
                <w:rFonts w:hint="eastAsia"/>
                <w:color w:val="auto"/>
                <w:sz w:val="21"/>
                <w:szCs w:val="21"/>
                <w:highlight w:val="none"/>
                <w:lang w:val="en-US" w:eastAsia="zh-CN"/>
              </w:rPr>
              <w:t>.</w:t>
            </w:r>
            <w:r>
              <w:rPr>
                <w:rFonts w:hint="eastAsia"/>
                <w:color w:val="auto"/>
                <w:sz w:val="21"/>
                <w:szCs w:val="21"/>
                <w:highlight w:val="none"/>
              </w:rPr>
              <w:t>9承包人的分包应符合本项目招标文件第二章</w:t>
            </w:r>
            <w:r>
              <w:rPr>
                <w:rFonts w:hint="eastAsia"/>
                <w:color w:val="auto"/>
                <w:sz w:val="21"/>
                <w:szCs w:val="21"/>
                <w:highlight w:val="none"/>
                <w:lang w:val="zh-CN" w:eastAsia="zh-CN"/>
              </w:rPr>
              <w:t>“投标</w:t>
            </w:r>
            <w:r>
              <w:rPr>
                <w:rFonts w:hint="eastAsia"/>
                <w:color w:val="auto"/>
                <w:sz w:val="21"/>
                <w:szCs w:val="21"/>
                <w:highlight w:val="none"/>
              </w:rPr>
              <w:t>人须知</w:t>
            </w:r>
            <w:r>
              <w:rPr>
                <w:rFonts w:hint="eastAsia"/>
                <w:color w:val="auto"/>
                <w:sz w:val="21"/>
                <w:szCs w:val="21"/>
                <w:highlight w:val="none"/>
                <w:lang w:val="en-US" w:eastAsia="zh-CN"/>
              </w:rPr>
              <w:t>"</w:t>
            </w:r>
            <w:r>
              <w:rPr>
                <w:rFonts w:hint="eastAsia"/>
                <w:color w:val="auto"/>
                <w:sz w:val="21"/>
                <w:szCs w:val="21"/>
                <w:highlight w:val="none"/>
              </w:rPr>
              <w:t>第</w:t>
            </w:r>
            <w:r>
              <w:rPr>
                <w:rFonts w:hint="eastAsia"/>
                <w:color w:val="auto"/>
                <w:sz w:val="21"/>
                <w:szCs w:val="21"/>
                <w:highlight w:val="none"/>
                <w:lang w:val="en-US" w:eastAsia="zh-CN"/>
              </w:rPr>
              <w:t>1.11</w:t>
            </w:r>
            <w:r>
              <w:rPr>
                <w:rFonts w:hint="eastAsia"/>
                <w:color w:val="auto"/>
                <w:sz w:val="21"/>
                <w:szCs w:val="21"/>
                <w:highlight w:val="none"/>
              </w:rPr>
              <w:t>款的规 定</w:t>
            </w:r>
            <w:r>
              <w:rPr>
                <w:rFonts w:hint="eastAsia"/>
                <w:color w:val="auto"/>
                <w:sz w:val="21"/>
                <w:szCs w:val="21"/>
                <w:highlight w:val="none"/>
                <w:lang w:eastAsia="zh-CN"/>
              </w:rPr>
              <w:t>。</w:t>
            </w:r>
          </w:p>
        </w:tc>
      </w:tr>
    </w:tbl>
    <w:p>
      <w:pPr>
        <w:pStyle w:val="267"/>
        <w:rPr>
          <w:color w:val="auto"/>
          <w:highlight w:val="none"/>
        </w:rPr>
        <w:sectPr>
          <w:pgSz w:w="11906" w:h="16838"/>
          <w:pgMar w:top="1440" w:right="991" w:bottom="1440" w:left="1418" w:header="851" w:footer="992" w:gutter="0"/>
          <w:cols w:space="720" w:num="1"/>
          <w:docGrid w:type="lines" w:linePitch="312" w:charSpace="0"/>
        </w:sectPr>
      </w:pPr>
    </w:p>
    <w:tbl>
      <w:tblPr>
        <w:tblStyle w:val="47"/>
        <w:tblW w:w="9610" w:type="dxa"/>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295"/>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295"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23</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right="90"/>
              <w:jc w:val="center"/>
              <w:rPr>
                <w:color w:val="auto"/>
                <w:sz w:val="21"/>
                <w:highlight w:val="none"/>
              </w:rPr>
            </w:pPr>
            <w:r>
              <w:rPr>
                <w:rFonts w:hint="eastAsia"/>
                <w:color w:val="auto"/>
                <w:sz w:val="21"/>
                <w:highlight w:val="none"/>
              </w:rPr>
              <w:t>4.3.10</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300" w:lineRule="auto"/>
              <w:ind w:left="113" w:right="-28" w:firstLine="204"/>
              <w:rPr>
                <w:color w:val="auto"/>
                <w:sz w:val="21"/>
                <w:highlight w:val="none"/>
              </w:rPr>
            </w:pPr>
            <w:r>
              <w:rPr>
                <w:rFonts w:hint="eastAsia"/>
                <w:color w:val="auto"/>
                <w:sz w:val="21"/>
                <w:highlight w:val="none"/>
              </w:rPr>
              <w:t>有关分包的其他要求：</w:t>
            </w:r>
          </w:p>
          <w:p>
            <w:pPr>
              <w:pStyle w:val="87"/>
              <w:adjustRightInd w:val="0"/>
              <w:snapToGrid w:val="0"/>
              <w:spacing w:line="300" w:lineRule="auto"/>
              <w:ind w:firstLine="210" w:firstLineChars="100"/>
              <w:rPr>
                <w:color w:val="auto"/>
                <w:sz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r>
              <w:rPr>
                <w:color w:val="auto"/>
                <w:sz w:val="21"/>
                <w:highlight w:val="none"/>
              </w:rPr>
              <w:t xml:space="preserve">承包人应在拟分包工程开工前，在投标文件的基础上补充填报分包人名称、分包人资质、分包人拟投入的管理人员（项目经理、项目总工、专业工程师等）、分包工程的施工组织设计等相关信息，编写详细的分包计划，报发包人审核直至符合要求，同时，承包人应将与分包人签订的分包合同上报发包人审核直至符合要求，否则分包工程不予开工，由此造成的工期拖延、经济损失均由承包人承担。同时，对于情节严重的，发包人将其违约行为上报省级交通主管部门，作为不良记录纳入公路建设市场信用信息管理系统。 </w:t>
            </w:r>
          </w:p>
          <w:p>
            <w:pPr>
              <w:pStyle w:val="87"/>
              <w:adjustRightInd w:val="0"/>
              <w:snapToGrid w:val="0"/>
              <w:spacing w:line="300" w:lineRule="auto"/>
              <w:ind w:right="-28" w:firstLine="210" w:firstLineChars="100"/>
              <w:rPr>
                <w:color w:val="auto"/>
                <w:sz w:val="21"/>
                <w:highlight w:val="none"/>
                <w:lang w:val="en-US"/>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w:t>
            </w:r>
            <w:r>
              <w:rPr>
                <w:color w:val="auto"/>
                <w:highlight w:val="none"/>
              </w:rPr>
              <w:t>承包人与分包人订立的书面分包合同中应约定工程款计量周期、工程款进度结算办法。承包人应在分包合同中要求分包人按月考核农民工工作量并编制工资支付表，经农民工本人签字确认后，与当月工程进度等情况一并交承包人。承包人根据分包人编制的工资支付表，通过农民工工资专用账户直接将工资支付到农民工本人的银行账户，并向分包人提供代发工资凭证。用于支付农民工工资的银行账户所绑定的农民工本人社会保障卡或者银行卡，承包人不得以任何理由扣押或者变相扣押</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24</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right="90"/>
              <w:jc w:val="center"/>
              <w:rPr>
                <w:color w:val="auto"/>
                <w:sz w:val="21"/>
                <w:highlight w:val="none"/>
              </w:rPr>
            </w:pPr>
            <w:r>
              <w:rPr>
                <w:rFonts w:hint="eastAsia"/>
                <w:color w:val="auto"/>
                <w:sz w:val="21"/>
                <w:highlight w:val="none"/>
              </w:rPr>
              <w:t>4.</w:t>
            </w:r>
            <w:r>
              <w:rPr>
                <w:rFonts w:hint="eastAsia"/>
                <w:color w:val="auto"/>
                <w:sz w:val="21"/>
                <w:highlight w:val="none"/>
                <w:lang w:val="en-US"/>
              </w:rPr>
              <w:t>8</w:t>
            </w:r>
            <w:r>
              <w:rPr>
                <w:rFonts w:hint="eastAsia"/>
                <w:color w:val="auto"/>
                <w:sz w:val="21"/>
                <w:highlight w:val="none"/>
              </w:rPr>
              <w:t>.</w:t>
            </w:r>
            <w:r>
              <w:rPr>
                <w:rFonts w:hint="eastAsia"/>
                <w:color w:val="auto"/>
                <w:sz w:val="21"/>
                <w:highlight w:val="none"/>
                <w:lang w:val="en-US"/>
              </w:rPr>
              <w:t>8</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264" w:lineRule="auto"/>
              <w:ind w:right="-28" w:firstLine="440" w:firstLineChars="200"/>
              <w:rPr>
                <w:color w:val="auto"/>
                <w:sz w:val="21"/>
                <w:szCs w:val="21"/>
                <w:highlight w:val="none"/>
              </w:rPr>
            </w:pPr>
            <w:r>
              <w:rPr>
                <w:color w:val="auto"/>
                <w:highlight w:val="none"/>
              </w:rPr>
              <w:t>承包人在组织人员进驻工程现场时，应切实按照各级人民政府及各级卫生防疫、交通运输等主管部门相关要求釆取预防疫情的有效措施，制定各类防疫措施、管理办法和等级表格，进场前报发包人备案。承包人应将可能发生的全部费用计入报价中，出资人将不另行支付。因承包人釆取措施不力所造成的一切后果，均由承包人自行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25</w:t>
            </w:r>
          </w:p>
        </w:tc>
        <w:tc>
          <w:tcPr>
            <w:tcW w:w="12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rPr>
              <w:t>4.9</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264" w:lineRule="auto"/>
              <w:ind w:right="79" w:firstLine="210" w:firstLineChars="100"/>
              <w:jc w:val="both"/>
              <w:rPr>
                <w:color w:val="auto"/>
                <w:sz w:val="21"/>
                <w:highlight w:val="none"/>
              </w:rPr>
            </w:pPr>
            <w:r>
              <w:rPr>
                <w:color w:val="auto"/>
                <w:sz w:val="21"/>
                <w:szCs w:val="21"/>
                <w:highlight w:val="none"/>
              </w:rPr>
              <w:t>工程价款应专款专用：经项目管理法人、发包人提出申请后，出资人按合同约定支付给承包人的各项价款应专用于合同工程。出资人支付的工程进度款应为本工程的专款专用资金，不得转移或用于其他工程。发包人及其派出机构有权不定期对承包人工程资金使用情况进行检查，发现问题及时责令承包人限期改正，否则，将终止支付，直至承包人改正为止</w:t>
            </w:r>
            <w:r>
              <w:rPr>
                <w:rFonts w:hint="eastAsia"/>
                <w:color w:val="auto"/>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8" w:space="0"/>
              <w:right w:val="single" w:color="000000" w:sz="2" w:space="0"/>
            </w:tcBorders>
            <w:shd w:val="clear" w:color="auto" w:fill="auto"/>
            <w:vAlign w:val="center"/>
          </w:tcPr>
          <w:p>
            <w:pPr>
              <w:pStyle w:val="87"/>
              <w:ind w:left="35" w:right="26"/>
              <w:jc w:val="center"/>
              <w:rPr>
                <w:color w:val="auto"/>
                <w:sz w:val="21"/>
                <w:highlight w:val="none"/>
              </w:rPr>
            </w:pPr>
            <w:r>
              <w:rPr>
                <w:rFonts w:hint="eastAsia"/>
                <w:color w:val="auto"/>
                <w:sz w:val="21"/>
                <w:highlight w:val="none"/>
              </w:rPr>
              <w:t>2</w:t>
            </w:r>
            <w:r>
              <w:rPr>
                <w:rFonts w:hint="eastAsia"/>
                <w:color w:val="auto"/>
                <w:sz w:val="21"/>
                <w:highlight w:val="none"/>
                <w:lang w:val="en-US"/>
              </w:rPr>
              <w:t>6</w:t>
            </w:r>
          </w:p>
        </w:tc>
        <w:tc>
          <w:tcPr>
            <w:tcW w:w="1295" w:type="dxa"/>
            <w:tcBorders>
              <w:top w:val="single" w:color="000000" w:sz="2" w:space="0"/>
              <w:left w:val="single" w:color="000000" w:sz="2" w:space="0"/>
              <w:bottom w:val="single" w:color="000000" w:sz="8"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rPr>
              <w:t>4.13</w:t>
            </w:r>
          </w:p>
        </w:tc>
        <w:tc>
          <w:tcPr>
            <w:tcW w:w="7780" w:type="dxa"/>
            <w:tcBorders>
              <w:top w:val="single" w:color="000000" w:sz="2" w:space="0"/>
              <w:left w:val="single" w:color="000000" w:sz="2" w:space="0"/>
              <w:bottom w:val="single" w:color="000000" w:sz="8" w:space="0"/>
              <w:right w:val="single" w:color="000000" w:sz="8" w:space="0"/>
            </w:tcBorders>
            <w:shd w:val="clear" w:color="auto" w:fill="FFFFFF"/>
          </w:tcPr>
          <w:p>
            <w:pPr>
              <w:pStyle w:val="87"/>
              <w:adjustRightInd w:val="0"/>
              <w:snapToGrid w:val="0"/>
              <w:spacing w:line="300" w:lineRule="auto"/>
              <w:ind w:right="-29"/>
              <w:rPr>
                <w:color w:val="auto"/>
                <w:sz w:val="21"/>
                <w:highlight w:val="none"/>
              </w:rPr>
            </w:pPr>
            <w:r>
              <w:rPr>
                <w:rFonts w:hint="eastAsia"/>
                <w:color w:val="auto"/>
                <w:spacing w:val="-10"/>
                <w:sz w:val="21"/>
                <w:highlight w:val="none"/>
              </w:rPr>
              <w:t>承包人为国有控股或参股企业的，承包人应按规定在项目现场设立基层党组织。</w:t>
            </w:r>
            <w:r>
              <w:rPr>
                <w:rFonts w:hint="eastAsia"/>
                <w:color w:val="auto"/>
                <w:spacing w:val="-5"/>
                <w:sz w:val="21"/>
                <w:highlight w:val="none"/>
              </w:rPr>
              <w:t>承包人为非国有控股或参股企业的，承包人应创造条件使党员能够参加党组织生活</w:t>
            </w:r>
            <w:r>
              <w:rPr>
                <w:rFonts w:hint="eastAsia"/>
                <w:color w:val="auto"/>
                <w:spacing w:val="-4"/>
                <w:sz w:val="21"/>
                <w:highlight w:val="none"/>
              </w:rPr>
              <w:t>并接受相应管理。承包人应在项目现场设立基层党组织，积极组织党员学习，承办</w:t>
            </w:r>
            <w:r>
              <w:rPr>
                <w:rFonts w:hint="eastAsia"/>
                <w:color w:val="auto"/>
                <w:spacing w:val="-10"/>
                <w:sz w:val="21"/>
                <w:highlight w:val="none"/>
              </w:rPr>
              <w:t>党建工作室</w:t>
            </w:r>
            <w:r>
              <w:rPr>
                <w:rFonts w:hint="eastAsia"/>
                <w:color w:val="auto"/>
                <w:spacing w:val="-3"/>
                <w:sz w:val="21"/>
                <w:highlight w:val="none"/>
              </w:rPr>
              <w:t>（</w:t>
            </w:r>
            <w:r>
              <w:rPr>
                <w:rFonts w:hint="eastAsia"/>
                <w:color w:val="auto"/>
                <w:spacing w:val="-2"/>
                <w:sz w:val="21"/>
                <w:highlight w:val="none"/>
              </w:rPr>
              <w:t>党员之家</w:t>
            </w:r>
            <w:r>
              <w:rPr>
                <w:rFonts w:hint="eastAsia"/>
                <w:color w:val="auto"/>
                <w:spacing w:val="-72"/>
                <w:sz w:val="21"/>
                <w:highlight w:val="none"/>
              </w:rPr>
              <w:t>）</w:t>
            </w:r>
            <w:r>
              <w:rPr>
                <w:rFonts w:hint="eastAsia"/>
                <w:color w:val="auto"/>
                <w:spacing w:val="-12"/>
                <w:sz w:val="21"/>
                <w:highlight w:val="none"/>
              </w:rPr>
              <w:t>，建立党建工作制度、明确“两学一做”常态化制度化建设</w:t>
            </w:r>
            <w:r>
              <w:rPr>
                <w:rFonts w:hint="eastAsia"/>
                <w:color w:val="auto"/>
                <w:spacing w:val="-6"/>
                <w:sz w:val="21"/>
                <w:highlight w:val="none"/>
              </w:rPr>
              <w:t>目标和任务、明确党组织机构设置、党组织负责人及党务工作人员配备情况，编制</w:t>
            </w:r>
            <w:r>
              <w:rPr>
                <w:rFonts w:hint="eastAsia"/>
                <w:color w:val="auto"/>
                <w:spacing w:val="-4"/>
                <w:sz w:val="21"/>
                <w:highlight w:val="none"/>
              </w:rPr>
              <w:t>党务工作开展预案，并按照预案要求在项目实施过程中同步开展党务工作，充分发</w:t>
            </w:r>
            <w:r>
              <w:rPr>
                <w:rFonts w:hint="eastAsia"/>
                <w:color w:val="auto"/>
                <w:sz w:val="21"/>
                <w:highlight w:val="none"/>
              </w:rPr>
              <w:t>挥基层党组织在项目实施中的作用。</w:t>
            </w:r>
          </w:p>
        </w:tc>
      </w:tr>
    </w:tbl>
    <w:p>
      <w:pPr>
        <w:pStyle w:val="267"/>
        <w:rPr>
          <w:color w:val="auto"/>
          <w:highlight w:val="none"/>
        </w:rPr>
        <w:sectPr>
          <w:pgSz w:w="11906" w:h="16838"/>
          <w:pgMar w:top="1440" w:right="991" w:bottom="1440" w:left="1418" w:header="851" w:footer="992" w:gutter="0"/>
          <w:cols w:space="720" w:num="1"/>
          <w:docGrid w:type="lines" w:linePitch="312" w:charSpace="0"/>
        </w:sectPr>
      </w:pPr>
    </w:p>
    <w:tbl>
      <w:tblPr>
        <w:tblStyle w:val="47"/>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133"/>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rPr>
            </w:pPr>
            <w:r>
              <w:rPr>
                <w:rFonts w:hint="eastAsia"/>
                <w:color w:val="auto"/>
                <w:sz w:val="21"/>
                <w:highlight w:val="none"/>
              </w:rPr>
              <w:t>2</w:t>
            </w:r>
            <w:r>
              <w:rPr>
                <w:rFonts w:hint="eastAsia"/>
                <w:color w:val="auto"/>
                <w:sz w:val="21"/>
                <w:highlight w:val="none"/>
                <w:lang w:val="en-US"/>
              </w:rPr>
              <w:t>7</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5.1.2</w:t>
            </w:r>
          </w:p>
        </w:tc>
        <w:tc>
          <w:tcPr>
            <w:tcW w:w="7780" w:type="dxa"/>
            <w:tcBorders>
              <w:top w:val="single" w:color="000000" w:sz="2" w:space="0"/>
              <w:left w:val="single" w:color="000000" w:sz="2" w:space="0"/>
              <w:bottom w:val="single" w:color="000000" w:sz="2" w:space="0"/>
              <w:right w:val="single" w:color="000000" w:sz="8" w:space="0"/>
            </w:tcBorders>
          </w:tcPr>
          <w:p>
            <w:pPr>
              <w:pStyle w:val="263"/>
              <w:adjustRightInd w:val="0"/>
              <w:snapToGrid w:val="0"/>
              <w:spacing w:line="264" w:lineRule="auto"/>
              <w:ind w:firstLine="210" w:firstLineChars="100"/>
              <w:jc w:val="both"/>
              <w:rPr>
                <w:color w:val="auto"/>
                <w:sz w:val="21"/>
                <w:szCs w:val="21"/>
                <w:highlight w:val="none"/>
              </w:rPr>
            </w:pPr>
            <w:r>
              <w:rPr>
                <w:color w:val="auto"/>
                <w:sz w:val="21"/>
                <w:szCs w:val="21"/>
                <w:highlight w:val="none"/>
              </w:rPr>
              <w:t>为确保本合同工程的施工质量，在合同履行过程中，发包人将结合国内工程施工 现状，以及工程实际需要，对部分施工流程或工艺等提出特殊的设备要求，承包人 应予实施，由此所增加的设备购置费或租赁费用（合同另有约定除外）已包含在合 同价格中，出资人不另行支付。</w:t>
            </w:r>
          </w:p>
          <w:p>
            <w:pPr>
              <w:pStyle w:val="263"/>
              <w:adjustRightInd w:val="0"/>
              <w:snapToGrid w:val="0"/>
              <w:spacing w:line="264" w:lineRule="auto"/>
              <w:ind w:firstLine="210" w:firstLineChars="100"/>
              <w:jc w:val="both"/>
              <w:rPr>
                <w:color w:val="auto"/>
                <w:sz w:val="21"/>
                <w:szCs w:val="21"/>
                <w:highlight w:val="none"/>
              </w:rPr>
            </w:pPr>
            <w:r>
              <w:rPr>
                <w:color w:val="auto"/>
                <w:sz w:val="21"/>
                <w:szCs w:val="21"/>
                <w:highlight w:val="none"/>
              </w:rPr>
              <w:t>为保证工程质量，对于本项目所需的主要工程材料，承包人应选择信誉良好的材 料供应商或制造商或加工生产商。</w:t>
            </w:r>
          </w:p>
          <w:p>
            <w:pPr>
              <w:pStyle w:val="87"/>
              <w:adjustRightInd w:val="0"/>
              <w:snapToGrid w:val="0"/>
              <w:spacing w:line="264" w:lineRule="auto"/>
              <w:ind w:right="-29" w:firstLine="210" w:firstLineChars="100"/>
              <w:rPr>
                <w:color w:val="auto"/>
                <w:sz w:val="21"/>
                <w:szCs w:val="21"/>
                <w:highlight w:val="none"/>
              </w:rPr>
            </w:pPr>
            <w:r>
              <w:rPr>
                <w:color w:val="auto"/>
                <w:sz w:val="21"/>
                <w:szCs w:val="21"/>
                <w:highlight w:val="none"/>
              </w:rPr>
              <w:t>在与主要工程材料供应商或制造商或加工生产商签订供货合同前，承包人必须将 供应商或制造商或加工生产商的名单、相应资格、材料品质报告等送发包人备案并 获认可后，方可将主要工程材料用于实体工程，否则发包人将视其为不合格工程并 要求承包人返工重作或进行补救处理，由此造成的费用增加和（或）工期延误由承 包人承担</w:t>
            </w:r>
            <w:r>
              <w:rPr>
                <w:rFonts w:hint="eastAsia"/>
                <w:color w:val="auto"/>
                <w:spacing w:val="-7"/>
                <w:sz w:val="21"/>
                <w:szCs w:val="21"/>
                <w:highlight w:val="none"/>
              </w:rPr>
              <w:t>。</w:t>
            </w:r>
          </w:p>
          <w:p>
            <w:pPr>
              <w:pStyle w:val="87"/>
              <w:adjustRightInd w:val="0"/>
              <w:snapToGrid w:val="0"/>
              <w:spacing w:line="264" w:lineRule="auto"/>
              <w:ind w:right="80" w:firstLine="188" w:firstLineChars="100"/>
              <w:jc w:val="both"/>
              <w:rPr>
                <w:color w:val="auto"/>
                <w:sz w:val="21"/>
                <w:szCs w:val="21"/>
                <w:highlight w:val="none"/>
              </w:rPr>
            </w:pPr>
            <w:r>
              <w:rPr>
                <w:rFonts w:hint="eastAsia"/>
                <w:color w:val="auto"/>
                <w:spacing w:val="-11"/>
                <w:sz w:val="21"/>
                <w:szCs w:val="21"/>
                <w:highlight w:val="none"/>
              </w:rPr>
              <w:t>承包人应与供应商或制造商或加工生产商签订供货合同，明确双方的责权利，以及</w:t>
            </w:r>
            <w:r>
              <w:rPr>
                <w:rFonts w:hint="eastAsia"/>
                <w:color w:val="auto"/>
                <w:spacing w:val="-8"/>
                <w:sz w:val="21"/>
                <w:szCs w:val="21"/>
                <w:highlight w:val="none"/>
              </w:rPr>
              <w:t>供货方的供货时间与供货质量的保证措施和要求。</w:t>
            </w:r>
          </w:p>
          <w:p>
            <w:pPr>
              <w:pStyle w:val="87"/>
              <w:adjustRightInd w:val="0"/>
              <w:snapToGrid w:val="0"/>
              <w:spacing w:line="264" w:lineRule="auto"/>
              <w:ind w:firstLine="194" w:firstLineChars="100"/>
              <w:rPr>
                <w:color w:val="auto"/>
                <w:sz w:val="21"/>
                <w:highlight w:val="none"/>
              </w:rPr>
            </w:pPr>
            <w:r>
              <w:rPr>
                <w:rFonts w:hint="eastAsia"/>
                <w:color w:val="auto"/>
                <w:spacing w:val="-8"/>
                <w:sz w:val="21"/>
                <w:szCs w:val="21"/>
                <w:highlight w:val="none"/>
              </w:rPr>
              <w:t>经监理人鉴定质量不合格并令其清除出场的材料，其费用均</w:t>
            </w:r>
            <w:r>
              <w:rPr>
                <w:rFonts w:hint="eastAsia"/>
                <w:color w:val="auto"/>
                <w:spacing w:val="-8"/>
                <w:sz w:val="21"/>
                <w:highlight w:val="none"/>
              </w:rPr>
              <w:t>应由承包人自行负责。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66"/>
              <w:ind w:left="35" w:right="26"/>
              <w:jc w:val="center"/>
              <w:rPr>
                <w:color w:val="auto"/>
                <w:sz w:val="21"/>
                <w:highlight w:val="none"/>
              </w:rPr>
            </w:pPr>
            <w:r>
              <w:rPr>
                <w:rFonts w:hint="eastAsia"/>
                <w:color w:val="auto"/>
                <w:sz w:val="21"/>
                <w:highlight w:val="none"/>
              </w:rPr>
              <w:t>2</w:t>
            </w:r>
            <w:r>
              <w:rPr>
                <w:rFonts w:hint="eastAsia"/>
                <w:color w:val="auto"/>
                <w:sz w:val="21"/>
                <w:highlight w:val="none"/>
                <w:lang w:val="en-US"/>
              </w:rPr>
              <w:t>8</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66"/>
              <w:ind w:left="104" w:right="90"/>
              <w:jc w:val="center"/>
              <w:rPr>
                <w:color w:val="auto"/>
                <w:sz w:val="21"/>
                <w:highlight w:val="none"/>
              </w:rPr>
            </w:pPr>
            <w:r>
              <w:rPr>
                <w:rFonts w:hint="eastAsia"/>
                <w:color w:val="auto"/>
                <w:sz w:val="21"/>
                <w:highlight w:val="none"/>
              </w:rPr>
              <w:t>5.2.1</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6630"/>
              </w:tabs>
              <w:adjustRightInd w:val="0"/>
              <w:snapToGrid w:val="0"/>
              <w:spacing w:line="300" w:lineRule="auto"/>
              <w:ind w:left="326"/>
              <w:rPr>
                <w:color w:val="auto"/>
                <w:sz w:val="21"/>
                <w:highlight w:val="none"/>
              </w:rPr>
            </w:pPr>
            <w:r>
              <w:rPr>
                <w:rFonts w:hint="eastAsia"/>
                <w:color w:val="auto"/>
                <w:sz w:val="21"/>
                <w:highlight w:val="none"/>
              </w:rPr>
              <w:t>发包</w:t>
            </w:r>
            <w:r>
              <w:rPr>
                <w:rFonts w:hint="eastAsia"/>
                <w:color w:val="auto"/>
                <w:spacing w:val="-3"/>
                <w:sz w:val="21"/>
                <w:highlight w:val="none"/>
              </w:rPr>
              <w:t>人</w:t>
            </w:r>
            <w:r>
              <w:rPr>
                <w:rFonts w:hint="eastAsia"/>
                <w:color w:val="auto"/>
                <w:sz w:val="21"/>
                <w:highlight w:val="none"/>
              </w:rPr>
              <w:t>是</w:t>
            </w:r>
            <w:r>
              <w:rPr>
                <w:rFonts w:hint="eastAsia"/>
                <w:color w:val="auto"/>
                <w:spacing w:val="-3"/>
                <w:sz w:val="21"/>
                <w:highlight w:val="none"/>
              </w:rPr>
              <w:t>否</w:t>
            </w:r>
            <w:r>
              <w:rPr>
                <w:rFonts w:hint="eastAsia"/>
                <w:color w:val="auto"/>
                <w:sz w:val="21"/>
                <w:highlight w:val="none"/>
              </w:rPr>
              <w:t>提</w:t>
            </w:r>
            <w:r>
              <w:rPr>
                <w:rFonts w:hint="eastAsia"/>
                <w:color w:val="auto"/>
                <w:spacing w:val="-3"/>
                <w:sz w:val="21"/>
                <w:highlight w:val="none"/>
              </w:rPr>
              <w:t>供</w:t>
            </w:r>
            <w:r>
              <w:rPr>
                <w:rFonts w:hint="eastAsia"/>
                <w:color w:val="auto"/>
                <w:sz w:val="21"/>
                <w:highlight w:val="none"/>
              </w:rPr>
              <w:t>材</w:t>
            </w:r>
            <w:r>
              <w:rPr>
                <w:rFonts w:hint="eastAsia"/>
                <w:color w:val="auto"/>
                <w:spacing w:val="-3"/>
                <w:sz w:val="21"/>
                <w:highlight w:val="none"/>
              </w:rPr>
              <w:t>料</w:t>
            </w:r>
            <w:r>
              <w:rPr>
                <w:rFonts w:hint="eastAsia"/>
                <w:color w:val="auto"/>
                <w:sz w:val="21"/>
                <w:highlight w:val="none"/>
              </w:rPr>
              <w:t>或</w:t>
            </w:r>
            <w:r>
              <w:rPr>
                <w:rFonts w:hint="eastAsia"/>
                <w:color w:val="auto"/>
                <w:spacing w:val="-3"/>
                <w:sz w:val="21"/>
                <w:highlight w:val="none"/>
              </w:rPr>
              <w:t>工</w:t>
            </w:r>
            <w:r>
              <w:rPr>
                <w:rFonts w:hint="eastAsia"/>
                <w:color w:val="auto"/>
                <w:sz w:val="21"/>
                <w:highlight w:val="none"/>
              </w:rPr>
              <w:t>程设</w:t>
            </w:r>
            <w:r>
              <w:rPr>
                <w:rFonts w:hint="eastAsia"/>
                <w:color w:val="auto"/>
                <w:spacing w:val="-3"/>
                <w:sz w:val="21"/>
                <w:highlight w:val="none"/>
              </w:rPr>
              <w:t>备</w:t>
            </w:r>
            <w:r>
              <w:rPr>
                <w:rFonts w:hint="eastAsia"/>
                <w:color w:val="auto"/>
                <w:sz w:val="21"/>
                <w:highlight w:val="none"/>
              </w:rPr>
              <w:t>：</w:t>
            </w:r>
            <w:r>
              <w:rPr>
                <w:rFonts w:hint="eastAsia"/>
                <w:color w:val="auto"/>
                <w:sz w:val="21"/>
                <w:highlight w:val="none"/>
                <w:u w:val="single"/>
              </w:rPr>
              <w:t xml:space="preserve"> </w:t>
            </w:r>
            <w:r>
              <w:rPr>
                <w:rFonts w:hint="eastAsia"/>
                <w:color w:val="auto"/>
                <w:spacing w:val="28"/>
                <w:sz w:val="21"/>
                <w:highlight w:val="none"/>
                <w:u w:val="single"/>
              </w:rPr>
              <w:t xml:space="preserve"> 否</w:t>
            </w:r>
            <w:r>
              <w:rPr>
                <w:rFonts w:hint="eastAsia"/>
                <w:color w:val="auto"/>
                <w:sz w:val="21"/>
                <w:highlight w:val="none"/>
                <w:u w:val="single"/>
              </w:rPr>
              <w:t xml:space="preserve">   </w:t>
            </w:r>
          </w:p>
          <w:p>
            <w:pPr>
              <w:pStyle w:val="87"/>
              <w:adjustRightInd w:val="0"/>
              <w:snapToGrid w:val="0"/>
              <w:spacing w:line="300" w:lineRule="auto"/>
              <w:ind w:left="326"/>
              <w:rPr>
                <w:color w:val="auto"/>
                <w:sz w:val="21"/>
                <w:highlight w:val="none"/>
                <w:lang w:val="en-US"/>
              </w:rPr>
            </w:pPr>
            <w:r>
              <w:rPr>
                <w:color w:val="auto"/>
                <w:highlight w:val="none"/>
              </w:rPr>
              <w:t>发包人</w:t>
            </w:r>
            <w:r>
              <w:rPr>
                <w:rFonts w:hint="eastAsia"/>
                <w:color w:val="auto"/>
                <w:highlight w:val="none"/>
                <w:lang w:val="en-US"/>
              </w:rPr>
              <w:t>负责</w:t>
            </w:r>
            <w:r>
              <w:rPr>
                <w:color w:val="auto"/>
                <w:highlight w:val="none"/>
              </w:rPr>
              <w:t>提供材料或工程设备，约定如下：</w:t>
            </w:r>
            <w:r>
              <w:rPr>
                <w:rFonts w:hint="eastAsia"/>
                <w:color w:val="auto"/>
                <w:sz w:val="21"/>
                <w:highlight w:val="none"/>
                <w:u w:val="single"/>
              </w:rPr>
              <w:t xml:space="preserve"> </w:t>
            </w:r>
            <w:r>
              <w:rPr>
                <w:rFonts w:hint="eastAsia"/>
                <w:color w:val="auto"/>
                <w:spacing w:val="31"/>
                <w:sz w:val="21"/>
                <w:highlight w:val="none"/>
                <w:u w:val="single"/>
              </w:rPr>
              <w:t xml:space="preserve"> </w:t>
            </w:r>
            <w:r>
              <w:rPr>
                <w:rFonts w:hint="eastAsia"/>
                <w:color w:val="auto"/>
                <w:spacing w:val="31"/>
                <w:sz w:val="21"/>
                <w:highlight w:val="none"/>
                <w:u w:val="single"/>
                <w:lang w:val="en-US"/>
              </w:rPr>
              <w:t xml:space="preserve"> </w:t>
            </w:r>
            <w:r>
              <w:rPr>
                <w:rFonts w:hint="eastAsia"/>
                <w:color w:val="auto"/>
                <w:sz w:val="21"/>
                <w:highlight w:val="none"/>
                <w:u w:val="single"/>
              </w:rPr>
              <w:t>/</w:t>
            </w:r>
            <w:r>
              <w:rPr>
                <w:rFonts w:hint="eastAsia"/>
                <w:color w:val="auto"/>
                <w:sz w:val="21"/>
                <w:highlight w:val="none"/>
                <w:u w:val="single"/>
                <w:lang w:val="en-US"/>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rPr>
            </w:pPr>
            <w:r>
              <w:rPr>
                <w:rFonts w:hint="eastAsia"/>
                <w:color w:val="auto"/>
                <w:sz w:val="21"/>
                <w:highlight w:val="none"/>
              </w:rPr>
              <w:t>2</w:t>
            </w:r>
            <w:r>
              <w:rPr>
                <w:rFonts w:hint="eastAsia"/>
                <w:color w:val="auto"/>
                <w:sz w:val="21"/>
                <w:highlight w:val="none"/>
                <w:lang w:val="en-US"/>
              </w:rPr>
              <w:t>9</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both"/>
              <w:rPr>
                <w:color w:val="auto"/>
                <w:sz w:val="21"/>
                <w:highlight w:val="none"/>
              </w:rPr>
            </w:pPr>
            <w:r>
              <w:rPr>
                <w:rFonts w:hint="eastAsia"/>
                <w:color w:val="auto"/>
                <w:sz w:val="21"/>
                <w:highlight w:val="none"/>
              </w:rPr>
              <w:t>6.2</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4529"/>
              </w:tabs>
              <w:adjustRightInd w:val="0"/>
              <w:snapToGrid w:val="0"/>
              <w:spacing w:line="300" w:lineRule="auto"/>
              <w:ind w:left="326"/>
              <w:jc w:val="both"/>
              <w:rPr>
                <w:color w:val="auto"/>
                <w:sz w:val="21"/>
                <w:highlight w:val="none"/>
              </w:rPr>
            </w:pPr>
            <w:r>
              <w:rPr>
                <w:rFonts w:hint="eastAsia"/>
                <w:color w:val="auto"/>
                <w:sz w:val="21"/>
                <w:highlight w:val="none"/>
              </w:rPr>
              <w:t>发包</w:t>
            </w:r>
            <w:r>
              <w:rPr>
                <w:rFonts w:hint="eastAsia"/>
                <w:color w:val="auto"/>
                <w:spacing w:val="-3"/>
                <w:sz w:val="21"/>
                <w:highlight w:val="none"/>
              </w:rPr>
              <w:t>人</w:t>
            </w:r>
            <w:r>
              <w:rPr>
                <w:rFonts w:hint="eastAsia"/>
                <w:color w:val="auto"/>
                <w:sz w:val="21"/>
                <w:highlight w:val="none"/>
              </w:rPr>
              <w:t>是</w:t>
            </w:r>
            <w:r>
              <w:rPr>
                <w:rFonts w:hint="eastAsia"/>
                <w:color w:val="auto"/>
                <w:spacing w:val="-3"/>
                <w:sz w:val="21"/>
                <w:highlight w:val="none"/>
              </w:rPr>
              <w:t>否</w:t>
            </w:r>
            <w:r>
              <w:rPr>
                <w:rFonts w:hint="eastAsia"/>
                <w:color w:val="auto"/>
                <w:sz w:val="21"/>
                <w:highlight w:val="none"/>
              </w:rPr>
              <w:t>提</w:t>
            </w:r>
            <w:r>
              <w:rPr>
                <w:rFonts w:hint="eastAsia"/>
                <w:color w:val="auto"/>
                <w:spacing w:val="-3"/>
                <w:sz w:val="21"/>
                <w:highlight w:val="none"/>
              </w:rPr>
              <w:t>供</w:t>
            </w:r>
            <w:r>
              <w:rPr>
                <w:rFonts w:hint="eastAsia"/>
                <w:color w:val="auto"/>
                <w:sz w:val="21"/>
                <w:highlight w:val="none"/>
              </w:rPr>
              <w:t>施</w:t>
            </w:r>
            <w:r>
              <w:rPr>
                <w:rFonts w:hint="eastAsia"/>
                <w:color w:val="auto"/>
                <w:spacing w:val="-3"/>
                <w:sz w:val="21"/>
                <w:highlight w:val="none"/>
              </w:rPr>
              <w:t>工</w:t>
            </w:r>
            <w:r>
              <w:rPr>
                <w:rFonts w:hint="eastAsia"/>
                <w:color w:val="auto"/>
                <w:sz w:val="21"/>
                <w:highlight w:val="none"/>
              </w:rPr>
              <w:t>设</w:t>
            </w:r>
            <w:r>
              <w:rPr>
                <w:rFonts w:hint="eastAsia"/>
                <w:color w:val="auto"/>
                <w:spacing w:val="-3"/>
                <w:sz w:val="21"/>
                <w:highlight w:val="none"/>
              </w:rPr>
              <w:t>备</w:t>
            </w:r>
            <w:r>
              <w:rPr>
                <w:rFonts w:hint="eastAsia"/>
                <w:color w:val="auto"/>
                <w:sz w:val="21"/>
                <w:highlight w:val="none"/>
              </w:rPr>
              <w:t>和临</w:t>
            </w:r>
            <w:r>
              <w:rPr>
                <w:rFonts w:hint="eastAsia"/>
                <w:color w:val="auto"/>
                <w:spacing w:val="-3"/>
                <w:sz w:val="21"/>
                <w:highlight w:val="none"/>
              </w:rPr>
              <w:t>时</w:t>
            </w:r>
            <w:r>
              <w:rPr>
                <w:rFonts w:hint="eastAsia"/>
                <w:color w:val="auto"/>
                <w:sz w:val="21"/>
                <w:highlight w:val="none"/>
              </w:rPr>
              <w:t>设</w:t>
            </w:r>
            <w:r>
              <w:rPr>
                <w:rFonts w:hint="eastAsia"/>
                <w:color w:val="auto"/>
                <w:spacing w:val="-3"/>
                <w:sz w:val="21"/>
                <w:highlight w:val="none"/>
              </w:rPr>
              <w:t>施</w:t>
            </w:r>
            <w:r>
              <w:rPr>
                <w:rFonts w:hint="eastAsia"/>
                <w:color w:val="auto"/>
                <w:sz w:val="21"/>
                <w:highlight w:val="none"/>
              </w:rPr>
              <w:t>：</w:t>
            </w:r>
            <w:r>
              <w:rPr>
                <w:rFonts w:hint="eastAsia"/>
                <w:color w:val="auto"/>
                <w:sz w:val="21"/>
                <w:highlight w:val="none"/>
                <w:u w:val="single"/>
              </w:rPr>
              <w:t xml:space="preserve"> </w:t>
            </w:r>
            <w:r>
              <w:rPr>
                <w:rFonts w:hint="eastAsia"/>
                <w:color w:val="auto"/>
                <w:spacing w:val="19"/>
                <w:sz w:val="21"/>
                <w:highlight w:val="none"/>
                <w:u w:val="single"/>
              </w:rPr>
              <w:t xml:space="preserve"> </w:t>
            </w:r>
            <w:r>
              <w:rPr>
                <w:rFonts w:hint="eastAsia"/>
                <w:color w:val="auto"/>
                <w:sz w:val="21"/>
                <w:highlight w:val="none"/>
                <w:u w:val="single"/>
              </w:rPr>
              <w:t>否</w:t>
            </w:r>
            <w:r>
              <w:rPr>
                <w:rFonts w:hint="eastAsia"/>
                <w:color w:val="auto"/>
                <w:sz w:val="21"/>
                <w:highlight w:val="none"/>
                <w:u w:val="single"/>
              </w:rPr>
              <w:tab/>
            </w:r>
          </w:p>
          <w:p>
            <w:pPr>
              <w:pStyle w:val="87"/>
              <w:tabs>
                <w:tab w:val="left" w:pos="6478"/>
              </w:tabs>
              <w:adjustRightInd w:val="0"/>
              <w:snapToGrid w:val="0"/>
              <w:spacing w:line="300" w:lineRule="auto"/>
              <w:ind w:left="326"/>
              <w:jc w:val="both"/>
              <w:rPr>
                <w:color w:val="auto"/>
                <w:sz w:val="21"/>
                <w:highlight w:val="none"/>
              </w:rPr>
            </w:pPr>
            <w:r>
              <w:rPr>
                <w:rFonts w:hint="eastAsia"/>
                <w:color w:val="auto"/>
                <w:sz w:val="21"/>
                <w:highlight w:val="none"/>
              </w:rPr>
              <w:t>如发</w:t>
            </w:r>
            <w:r>
              <w:rPr>
                <w:rFonts w:hint="eastAsia"/>
                <w:color w:val="auto"/>
                <w:spacing w:val="-3"/>
                <w:sz w:val="21"/>
                <w:highlight w:val="none"/>
              </w:rPr>
              <w:t>包</w:t>
            </w:r>
            <w:r>
              <w:rPr>
                <w:rFonts w:hint="eastAsia"/>
                <w:color w:val="auto"/>
                <w:sz w:val="21"/>
                <w:highlight w:val="none"/>
              </w:rPr>
              <w:t>人</w:t>
            </w:r>
            <w:r>
              <w:rPr>
                <w:rFonts w:hint="eastAsia"/>
                <w:color w:val="auto"/>
                <w:spacing w:val="-3"/>
                <w:sz w:val="21"/>
                <w:highlight w:val="none"/>
              </w:rPr>
              <w:t>负</w:t>
            </w:r>
            <w:r>
              <w:rPr>
                <w:rFonts w:hint="eastAsia"/>
                <w:color w:val="auto"/>
                <w:sz w:val="21"/>
                <w:highlight w:val="none"/>
              </w:rPr>
              <w:t>责</w:t>
            </w:r>
            <w:r>
              <w:rPr>
                <w:rFonts w:hint="eastAsia"/>
                <w:color w:val="auto"/>
                <w:spacing w:val="-3"/>
                <w:sz w:val="21"/>
                <w:highlight w:val="none"/>
              </w:rPr>
              <w:t>提</w:t>
            </w:r>
            <w:r>
              <w:rPr>
                <w:rFonts w:hint="eastAsia"/>
                <w:color w:val="auto"/>
                <w:sz w:val="21"/>
                <w:highlight w:val="none"/>
              </w:rPr>
              <w:t>供</w:t>
            </w:r>
            <w:r>
              <w:rPr>
                <w:rFonts w:hint="eastAsia"/>
                <w:color w:val="auto"/>
                <w:spacing w:val="-3"/>
                <w:sz w:val="21"/>
                <w:highlight w:val="none"/>
              </w:rPr>
              <w:t>部</w:t>
            </w:r>
            <w:r>
              <w:rPr>
                <w:rFonts w:hint="eastAsia"/>
                <w:color w:val="auto"/>
                <w:sz w:val="21"/>
                <w:highlight w:val="none"/>
              </w:rPr>
              <w:t>分</w:t>
            </w:r>
            <w:r>
              <w:rPr>
                <w:rFonts w:hint="eastAsia"/>
                <w:color w:val="auto"/>
                <w:spacing w:val="-3"/>
                <w:sz w:val="21"/>
                <w:highlight w:val="none"/>
              </w:rPr>
              <w:t>施</w:t>
            </w:r>
            <w:r>
              <w:rPr>
                <w:rFonts w:hint="eastAsia"/>
                <w:color w:val="auto"/>
                <w:sz w:val="21"/>
                <w:highlight w:val="none"/>
              </w:rPr>
              <w:t>工设</w:t>
            </w:r>
            <w:r>
              <w:rPr>
                <w:rFonts w:hint="eastAsia"/>
                <w:color w:val="auto"/>
                <w:spacing w:val="-3"/>
                <w:sz w:val="21"/>
                <w:highlight w:val="none"/>
              </w:rPr>
              <w:t>备</w:t>
            </w:r>
            <w:r>
              <w:rPr>
                <w:rFonts w:hint="eastAsia"/>
                <w:color w:val="auto"/>
                <w:sz w:val="21"/>
                <w:highlight w:val="none"/>
              </w:rPr>
              <w:t>和</w:t>
            </w:r>
            <w:r>
              <w:rPr>
                <w:rFonts w:hint="eastAsia"/>
                <w:color w:val="auto"/>
                <w:spacing w:val="-3"/>
                <w:sz w:val="21"/>
                <w:highlight w:val="none"/>
              </w:rPr>
              <w:t>临</w:t>
            </w:r>
            <w:r>
              <w:rPr>
                <w:rFonts w:hint="eastAsia"/>
                <w:color w:val="auto"/>
                <w:sz w:val="21"/>
                <w:highlight w:val="none"/>
              </w:rPr>
              <w:t>时</w:t>
            </w:r>
            <w:r>
              <w:rPr>
                <w:rFonts w:hint="eastAsia"/>
                <w:color w:val="auto"/>
                <w:spacing w:val="-3"/>
                <w:sz w:val="21"/>
                <w:highlight w:val="none"/>
              </w:rPr>
              <w:t>设</w:t>
            </w:r>
            <w:r>
              <w:rPr>
                <w:rFonts w:hint="eastAsia"/>
                <w:color w:val="auto"/>
                <w:sz w:val="21"/>
                <w:highlight w:val="none"/>
              </w:rPr>
              <w:t>施</w:t>
            </w:r>
            <w:r>
              <w:rPr>
                <w:rFonts w:hint="eastAsia"/>
                <w:color w:val="auto"/>
                <w:spacing w:val="-3"/>
                <w:sz w:val="21"/>
                <w:highlight w:val="none"/>
              </w:rPr>
              <w:t>，</w:t>
            </w:r>
            <w:r>
              <w:rPr>
                <w:rFonts w:hint="eastAsia"/>
                <w:color w:val="auto"/>
                <w:sz w:val="21"/>
                <w:highlight w:val="none"/>
              </w:rPr>
              <w:t>相</w:t>
            </w:r>
            <w:r>
              <w:rPr>
                <w:rFonts w:hint="eastAsia"/>
                <w:color w:val="auto"/>
                <w:spacing w:val="-3"/>
                <w:sz w:val="21"/>
                <w:highlight w:val="none"/>
              </w:rPr>
              <w:t>关</w:t>
            </w:r>
            <w:r>
              <w:rPr>
                <w:rFonts w:hint="eastAsia"/>
                <w:color w:val="auto"/>
                <w:sz w:val="21"/>
                <w:highlight w:val="none"/>
              </w:rPr>
              <w:t>规定</w:t>
            </w:r>
            <w:r>
              <w:rPr>
                <w:rFonts w:hint="eastAsia"/>
                <w:color w:val="auto"/>
                <w:spacing w:val="-3"/>
                <w:sz w:val="21"/>
                <w:highlight w:val="none"/>
              </w:rPr>
              <w:t>如</w:t>
            </w:r>
            <w:r>
              <w:rPr>
                <w:rFonts w:hint="eastAsia"/>
                <w:color w:val="auto"/>
                <w:sz w:val="21"/>
                <w:highlight w:val="none"/>
              </w:rPr>
              <w:t>下：</w:t>
            </w:r>
            <w:r>
              <w:rPr>
                <w:rFonts w:hint="eastAsia"/>
                <w:color w:val="auto"/>
                <w:sz w:val="21"/>
                <w:highlight w:val="none"/>
                <w:u w:val="single"/>
              </w:rPr>
              <w:t xml:space="preserve"> </w:t>
            </w:r>
            <w:r>
              <w:rPr>
                <w:rFonts w:hint="eastAsia"/>
                <w:color w:val="auto"/>
                <w:spacing w:val="31"/>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30</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both"/>
              <w:rPr>
                <w:color w:val="auto"/>
                <w:sz w:val="21"/>
                <w:highlight w:val="none"/>
              </w:rPr>
            </w:pPr>
            <w:r>
              <w:rPr>
                <w:rFonts w:hint="eastAsia"/>
                <w:color w:val="auto"/>
                <w:sz w:val="21"/>
                <w:highlight w:val="none"/>
              </w:rPr>
              <w:t>8.1.1</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1481"/>
              </w:tabs>
              <w:adjustRightInd w:val="0"/>
              <w:snapToGrid w:val="0"/>
              <w:spacing w:line="300" w:lineRule="auto"/>
              <w:ind w:right="81" w:firstLine="210" w:firstLineChars="100"/>
              <w:jc w:val="both"/>
              <w:rPr>
                <w:color w:val="auto"/>
                <w:sz w:val="21"/>
                <w:highlight w:val="none"/>
              </w:rPr>
            </w:pPr>
            <w:r>
              <w:rPr>
                <w:rFonts w:hint="eastAsia"/>
                <w:color w:val="auto"/>
                <w:sz w:val="21"/>
                <w:highlight w:val="none"/>
              </w:rPr>
              <w:t>发包</w:t>
            </w:r>
            <w:r>
              <w:rPr>
                <w:rFonts w:hint="eastAsia"/>
                <w:color w:val="auto"/>
                <w:spacing w:val="-3"/>
                <w:sz w:val="21"/>
                <w:highlight w:val="none"/>
              </w:rPr>
              <w:t>人</w:t>
            </w:r>
            <w:r>
              <w:rPr>
                <w:rFonts w:hint="eastAsia"/>
                <w:color w:val="auto"/>
                <w:sz w:val="21"/>
                <w:highlight w:val="none"/>
              </w:rPr>
              <w:t>提</w:t>
            </w:r>
            <w:r>
              <w:rPr>
                <w:rFonts w:hint="eastAsia"/>
                <w:color w:val="auto"/>
                <w:spacing w:val="-3"/>
                <w:sz w:val="21"/>
                <w:highlight w:val="none"/>
              </w:rPr>
              <w:t>供</w:t>
            </w:r>
            <w:r>
              <w:rPr>
                <w:rFonts w:hint="eastAsia"/>
                <w:color w:val="auto"/>
                <w:sz w:val="21"/>
                <w:highlight w:val="none"/>
              </w:rPr>
              <w:t>测</w:t>
            </w:r>
            <w:r>
              <w:rPr>
                <w:rFonts w:hint="eastAsia"/>
                <w:color w:val="auto"/>
                <w:spacing w:val="-3"/>
                <w:sz w:val="21"/>
                <w:highlight w:val="none"/>
              </w:rPr>
              <w:t>量</w:t>
            </w:r>
            <w:r>
              <w:rPr>
                <w:rFonts w:hint="eastAsia"/>
                <w:color w:val="auto"/>
                <w:sz w:val="21"/>
                <w:highlight w:val="none"/>
              </w:rPr>
              <w:t>基</w:t>
            </w:r>
            <w:r>
              <w:rPr>
                <w:rFonts w:hint="eastAsia"/>
                <w:color w:val="auto"/>
                <w:spacing w:val="-3"/>
                <w:sz w:val="21"/>
                <w:highlight w:val="none"/>
              </w:rPr>
              <w:t>准点</w:t>
            </w:r>
            <w:r>
              <w:rPr>
                <w:rFonts w:hint="eastAsia"/>
                <w:color w:val="auto"/>
                <w:spacing w:val="-15"/>
                <w:sz w:val="21"/>
                <w:highlight w:val="none"/>
              </w:rPr>
              <w:t>、</w:t>
            </w:r>
            <w:r>
              <w:rPr>
                <w:rFonts w:hint="eastAsia"/>
                <w:color w:val="auto"/>
                <w:sz w:val="21"/>
                <w:highlight w:val="none"/>
              </w:rPr>
              <w:t>基准</w:t>
            </w:r>
            <w:r>
              <w:rPr>
                <w:rFonts w:hint="eastAsia"/>
                <w:color w:val="auto"/>
                <w:spacing w:val="-3"/>
                <w:sz w:val="21"/>
                <w:highlight w:val="none"/>
              </w:rPr>
              <w:t>线</w:t>
            </w:r>
            <w:r>
              <w:rPr>
                <w:rFonts w:hint="eastAsia"/>
                <w:color w:val="auto"/>
                <w:sz w:val="21"/>
                <w:highlight w:val="none"/>
              </w:rPr>
              <w:t>和</w:t>
            </w:r>
            <w:r>
              <w:rPr>
                <w:rFonts w:hint="eastAsia"/>
                <w:color w:val="auto"/>
                <w:spacing w:val="-3"/>
                <w:sz w:val="21"/>
                <w:highlight w:val="none"/>
              </w:rPr>
              <w:t>水</w:t>
            </w:r>
            <w:r>
              <w:rPr>
                <w:rFonts w:hint="eastAsia"/>
                <w:color w:val="auto"/>
                <w:sz w:val="21"/>
                <w:highlight w:val="none"/>
              </w:rPr>
              <w:t>准</w:t>
            </w:r>
            <w:r>
              <w:rPr>
                <w:rFonts w:hint="eastAsia"/>
                <w:color w:val="auto"/>
                <w:spacing w:val="-3"/>
                <w:sz w:val="21"/>
                <w:highlight w:val="none"/>
              </w:rPr>
              <w:t>点</w:t>
            </w:r>
            <w:r>
              <w:rPr>
                <w:rFonts w:hint="eastAsia"/>
                <w:color w:val="auto"/>
                <w:sz w:val="21"/>
                <w:highlight w:val="none"/>
              </w:rPr>
              <w:t>及</w:t>
            </w:r>
            <w:r>
              <w:rPr>
                <w:rFonts w:hint="eastAsia"/>
                <w:color w:val="auto"/>
                <w:spacing w:val="-3"/>
                <w:sz w:val="21"/>
                <w:highlight w:val="none"/>
              </w:rPr>
              <w:t>其</w:t>
            </w:r>
            <w:r>
              <w:rPr>
                <w:rFonts w:hint="eastAsia"/>
                <w:color w:val="auto"/>
                <w:sz w:val="21"/>
                <w:highlight w:val="none"/>
              </w:rPr>
              <w:t>书</w:t>
            </w:r>
            <w:r>
              <w:rPr>
                <w:rFonts w:hint="eastAsia"/>
                <w:color w:val="auto"/>
                <w:spacing w:val="-3"/>
                <w:sz w:val="21"/>
                <w:highlight w:val="none"/>
              </w:rPr>
              <w:t>面</w:t>
            </w:r>
            <w:r>
              <w:rPr>
                <w:rFonts w:hint="eastAsia"/>
                <w:color w:val="auto"/>
                <w:sz w:val="21"/>
                <w:highlight w:val="none"/>
              </w:rPr>
              <w:t>资料</w:t>
            </w:r>
            <w:r>
              <w:rPr>
                <w:rFonts w:hint="eastAsia"/>
                <w:color w:val="auto"/>
                <w:spacing w:val="-3"/>
                <w:sz w:val="21"/>
                <w:highlight w:val="none"/>
              </w:rPr>
              <w:t>的</w:t>
            </w:r>
            <w:r>
              <w:rPr>
                <w:rFonts w:hint="eastAsia"/>
                <w:color w:val="auto"/>
                <w:sz w:val="21"/>
                <w:highlight w:val="none"/>
              </w:rPr>
              <w:t>期限</w:t>
            </w:r>
            <w:r>
              <w:rPr>
                <w:rFonts w:hint="eastAsia"/>
                <w:color w:val="auto"/>
                <w:spacing w:val="-15"/>
                <w:sz w:val="21"/>
                <w:highlight w:val="none"/>
              </w:rPr>
              <w:t>：</w:t>
            </w:r>
            <w:r>
              <w:rPr>
                <w:rFonts w:hint="eastAsia"/>
                <w:color w:val="auto"/>
                <w:spacing w:val="53"/>
                <w:sz w:val="21"/>
                <w:highlight w:val="none"/>
                <w:u w:val="single"/>
              </w:rPr>
              <w:t xml:space="preserve"> </w:t>
            </w:r>
            <w:r>
              <w:rPr>
                <w:rFonts w:hint="eastAsia"/>
                <w:color w:val="auto"/>
                <w:spacing w:val="-3"/>
                <w:sz w:val="21"/>
                <w:highlight w:val="none"/>
                <w:u w:val="single"/>
              </w:rPr>
              <w:t>发</w:t>
            </w:r>
            <w:r>
              <w:rPr>
                <w:rFonts w:hint="eastAsia"/>
                <w:color w:val="auto"/>
                <w:sz w:val="21"/>
                <w:highlight w:val="none"/>
                <w:u w:val="single"/>
              </w:rPr>
              <w:t>出</w:t>
            </w:r>
            <w:r>
              <w:rPr>
                <w:rFonts w:hint="eastAsia"/>
                <w:color w:val="auto"/>
                <w:spacing w:val="-3"/>
                <w:sz w:val="21"/>
                <w:highlight w:val="none"/>
                <w:u w:val="single"/>
              </w:rPr>
              <w:t>开工</w:t>
            </w:r>
            <w:r>
              <w:rPr>
                <w:rFonts w:hint="eastAsia"/>
                <w:color w:val="auto"/>
                <w:sz w:val="21"/>
                <w:highlight w:val="none"/>
                <w:u w:val="single"/>
              </w:rPr>
              <w:t>通知书14天</w:t>
            </w:r>
            <w:r>
              <w:rPr>
                <w:rFonts w:hint="eastAsia"/>
                <w:color w:val="auto"/>
                <w:spacing w:val="-3"/>
                <w:sz w:val="21"/>
                <w:highlight w:val="none"/>
                <w:u w:val="single"/>
              </w:rPr>
              <w:t>之</w:t>
            </w:r>
            <w:r>
              <w:rPr>
                <w:rFonts w:hint="eastAsia"/>
                <w:color w:val="auto"/>
                <w:sz w:val="21"/>
                <w:highlight w:val="none"/>
                <w:u w:val="single"/>
              </w:rPr>
              <w:t>前</w:t>
            </w:r>
            <w:r>
              <w:rPr>
                <w:rFonts w:hint="eastAsia"/>
                <w:color w:val="auto"/>
                <w:sz w:val="21"/>
                <w:highlight w:val="none"/>
                <w:u w:val="single"/>
              </w:rPr>
              <w:tab/>
            </w:r>
          </w:p>
          <w:p>
            <w:pPr>
              <w:pStyle w:val="87"/>
              <w:tabs>
                <w:tab w:val="left" w:pos="7258"/>
              </w:tabs>
              <w:adjustRightInd w:val="0"/>
              <w:snapToGrid w:val="0"/>
              <w:spacing w:line="300" w:lineRule="auto"/>
              <w:ind w:firstLine="210" w:firstLineChars="100"/>
              <w:jc w:val="both"/>
              <w:rPr>
                <w:color w:val="auto"/>
                <w:sz w:val="21"/>
                <w:highlight w:val="none"/>
              </w:rPr>
            </w:pPr>
            <w:r>
              <w:rPr>
                <w:rFonts w:hint="eastAsia"/>
                <w:color w:val="auto"/>
                <w:sz w:val="21"/>
                <w:highlight w:val="none"/>
              </w:rPr>
              <w:t>承包</w:t>
            </w:r>
            <w:r>
              <w:rPr>
                <w:rFonts w:hint="eastAsia"/>
                <w:color w:val="auto"/>
                <w:spacing w:val="-3"/>
                <w:sz w:val="21"/>
                <w:highlight w:val="none"/>
              </w:rPr>
              <w:t>人</w:t>
            </w:r>
            <w:r>
              <w:rPr>
                <w:rFonts w:hint="eastAsia"/>
                <w:color w:val="auto"/>
                <w:sz w:val="21"/>
                <w:highlight w:val="none"/>
              </w:rPr>
              <w:t>将</w:t>
            </w:r>
            <w:r>
              <w:rPr>
                <w:rFonts w:hint="eastAsia"/>
                <w:color w:val="auto"/>
                <w:spacing w:val="-3"/>
                <w:sz w:val="21"/>
                <w:highlight w:val="none"/>
              </w:rPr>
              <w:t>施</w:t>
            </w:r>
            <w:r>
              <w:rPr>
                <w:rFonts w:hint="eastAsia"/>
                <w:color w:val="auto"/>
                <w:sz w:val="21"/>
                <w:highlight w:val="none"/>
              </w:rPr>
              <w:t>工</w:t>
            </w:r>
            <w:r>
              <w:rPr>
                <w:rFonts w:hint="eastAsia"/>
                <w:color w:val="auto"/>
                <w:spacing w:val="-3"/>
                <w:sz w:val="21"/>
                <w:highlight w:val="none"/>
              </w:rPr>
              <w:t>控</w:t>
            </w:r>
            <w:r>
              <w:rPr>
                <w:rFonts w:hint="eastAsia"/>
                <w:color w:val="auto"/>
                <w:sz w:val="21"/>
                <w:highlight w:val="none"/>
              </w:rPr>
              <w:t>制</w:t>
            </w:r>
            <w:r>
              <w:rPr>
                <w:rFonts w:hint="eastAsia"/>
                <w:color w:val="auto"/>
                <w:spacing w:val="-3"/>
                <w:sz w:val="21"/>
                <w:highlight w:val="none"/>
              </w:rPr>
              <w:t>网</w:t>
            </w:r>
            <w:r>
              <w:rPr>
                <w:rFonts w:hint="eastAsia"/>
                <w:color w:val="auto"/>
                <w:sz w:val="21"/>
                <w:highlight w:val="none"/>
              </w:rPr>
              <w:t>资</w:t>
            </w:r>
            <w:r>
              <w:rPr>
                <w:rFonts w:hint="eastAsia"/>
                <w:color w:val="auto"/>
                <w:spacing w:val="-3"/>
                <w:sz w:val="21"/>
                <w:highlight w:val="none"/>
              </w:rPr>
              <w:t>料</w:t>
            </w:r>
            <w:r>
              <w:rPr>
                <w:rFonts w:hint="eastAsia"/>
                <w:color w:val="auto"/>
                <w:sz w:val="21"/>
                <w:highlight w:val="none"/>
              </w:rPr>
              <w:t>报送</w:t>
            </w:r>
            <w:r>
              <w:rPr>
                <w:rFonts w:hint="eastAsia"/>
                <w:color w:val="auto"/>
                <w:spacing w:val="-3"/>
                <w:sz w:val="21"/>
                <w:highlight w:val="none"/>
              </w:rPr>
              <w:t>监</w:t>
            </w:r>
            <w:r>
              <w:rPr>
                <w:rFonts w:hint="eastAsia"/>
                <w:color w:val="auto"/>
                <w:sz w:val="21"/>
                <w:highlight w:val="none"/>
              </w:rPr>
              <w:t>理</w:t>
            </w:r>
            <w:r>
              <w:rPr>
                <w:rFonts w:hint="eastAsia"/>
                <w:color w:val="auto"/>
                <w:spacing w:val="-3"/>
                <w:sz w:val="21"/>
                <w:highlight w:val="none"/>
              </w:rPr>
              <w:t>人</w:t>
            </w:r>
            <w:r>
              <w:rPr>
                <w:rFonts w:hint="eastAsia"/>
                <w:color w:val="auto"/>
                <w:sz w:val="21"/>
                <w:highlight w:val="none"/>
              </w:rPr>
              <w:t>审</w:t>
            </w:r>
            <w:r>
              <w:rPr>
                <w:rFonts w:hint="eastAsia"/>
                <w:color w:val="auto"/>
                <w:spacing w:val="-3"/>
                <w:sz w:val="21"/>
                <w:highlight w:val="none"/>
              </w:rPr>
              <w:t>批</w:t>
            </w:r>
            <w:r>
              <w:rPr>
                <w:rFonts w:hint="eastAsia"/>
                <w:color w:val="auto"/>
                <w:sz w:val="21"/>
                <w:highlight w:val="none"/>
              </w:rPr>
              <w:t>的</w:t>
            </w:r>
            <w:r>
              <w:rPr>
                <w:rFonts w:hint="eastAsia"/>
                <w:color w:val="auto"/>
                <w:spacing w:val="-3"/>
                <w:sz w:val="21"/>
                <w:highlight w:val="none"/>
              </w:rPr>
              <w:t>期</w:t>
            </w:r>
            <w:r>
              <w:rPr>
                <w:rFonts w:hint="eastAsia"/>
                <w:color w:val="auto"/>
                <w:sz w:val="21"/>
                <w:highlight w:val="none"/>
              </w:rPr>
              <w:t>限</w:t>
            </w:r>
            <w:r>
              <w:rPr>
                <w:rFonts w:hint="eastAsia"/>
                <w:color w:val="auto"/>
                <w:spacing w:val="-3"/>
                <w:sz w:val="21"/>
                <w:highlight w:val="none"/>
              </w:rPr>
              <w:t>：</w:t>
            </w:r>
            <w:r>
              <w:rPr>
                <w:rFonts w:hint="eastAsia"/>
                <w:color w:val="auto"/>
                <w:spacing w:val="-3"/>
                <w:sz w:val="21"/>
                <w:highlight w:val="none"/>
                <w:u w:val="single"/>
              </w:rPr>
              <w:t xml:space="preserve"> </w:t>
            </w:r>
            <w:r>
              <w:rPr>
                <w:rFonts w:hint="eastAsia"/>
                <w:color w:val="auto"/>
                <w:spacing w:val="25"/>
                <w:sz w:val="21"/>
                <w:highlight w:val="none"/>
                <w:u w:val="single"/>
              </w:rPr>
              <w:t xml:space="preserve"> </w:t>
            </w:r>
            <w:r>
              <w:rPr>
                <w:rFonts w:hint="eastAsia"/>
                <w:color w:val="auto"/>
                <w:sz w:val="21"/>
                <w:highlight w:val="none"/>
                <w:u w:val="single"/>
              </w:rPr>
              <w:t>在</w:t>
            </w:r>
            <w:r>
              <w:rPr>
                <w:rFonts w:hint="eastAsia"/>
                <w:color w:val="auto"/>
                <w:spacing w:val="-3"/>
                <w:sz w:val="21"/>
                <w:highlight w:val="none"/>
                <w:u w:val="single"/>
              </w:rPr>
              <w:t>测</w:t>
            </w:r>
            <w:r>
              <w:rPr>
                <w:rFonts w:hint="eastAsia"/>
                <w:color w:val="auto"/>
                <w:sz w:val="21"/>
                <w:highlight w:val="none"/>
                <w:u w:val="single"/>
              </w:rPr>
              <w:t>试</w:t>
            </w:r>
            <w:r>
              <w:rPr>
                <w:rFonts w:hint="eastAsia"/>
                <w:color w:val="auto"/>
                <w:spacing w:val="-3"/>
                <w:sz w:val="21"/>
                <w:highlight w:val="none"/>
                <w:u w:val="single"/>
              </w:rPr>
              <w:t>完</w:t>
            </w:r>
            <w:r>
              <w:rPr>
                <w:rFonts w:hint="eastAsia"/>
                <w:color w:val="auto"/>
                <w:sz w:val="21"/>
                <w:highlight w:val="none"/>
                <w:u w:val="single"/>
              </w:rPr>
              <w:t>成后</w:t>
            </w:r>
            <w:r>
              <w:rPr>
                <w:rFonts w:hint="eastAsia"/>
                <w:color w:val="auto"/>
                <w:spacing w:val="-49"/>
                <w:sz w:val="21"/>
                <w:highlight w:val="none"/>
                <w:u w:val="single"/>
              </w:rPr>
              <w:t xml:space="preserve"> </w:t>
            </w:r>
            <w:r>
              <w:rPr>
                <w:rFonts w:hint="eastAsia"/>
                <w:color w:val="auto"/>
                <w:sz w:val="21"/>
                <w:highlight w:val="none"/>
                <w:u w:val="single"/>
              </w:rPr>
              <w:t>7</w:t>
            </w:r>
            <w:r>
              <w:rPr>
                <w:rFonts w:hint="eastAsia"/>
                <w:color w:val="auto"/>
                <w:spacing w:val="6"/>
                <w:sz w:val="21"/>
                <w:highlight w:val="none"/>
                <w:u w:val="single"/>
              </w:rPr>
              <w:t xml:space="preserve"> </w:t>
            </w:r>
            <w:r>
              <w:rPr>
                <w:rFonts w:hint="eastAsia"/>
                <w:color w:val="auto"/>
                <w:spacing w:val="-3"/>
                <w:sz w:val="21"/>
                <w:highlight w:val="none"/>
                <w:u w:val="single"/>
              </w:rPr>
              <w:t>天</w:t>
            </w:r>
            <w:r>
              <w:rPr>
                <w:rFonts w:hint="eastAsia"/>
                <w:color w:val="auto"/>
                <w:sz w:val="21"/>
                <w:highlight w:val="none"/>
                <w:u w:val="single"/>
              </w:rPr>
              <w:t>内</w:t>
            </w:r>
            <w:r>
              <w:rPr>
                <w:rFonts w:hint="eastAsia"/>
                <w:color w:val="auto"/>
                <w:sz w:val="21"/>
                <w:highlight w:val="none"/>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31</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both"/>
              <w:rPr>
                <w:color w:val="auto"/>
                <w:sz w:val="21"/>
                <w:highlight w:val="none"/>
              </w:rPr>
            </w:pPr>
            <w:r>
              <w:rPr>
                <w:rFonts w:hint="eastAsia"/>
                <w:color w:val="auto"/>
                <w:sz w:val="21"/>
                <w:highlight w:val="none"/>
                <w:lang w:val="en-US"/>
              </w:rPr>
              <w:t>10</w:t>
            </w:r>
            <w:r>
              <w:rPr>
                <w:rFonts w:hint="eastAsia"/>
                <w:color w:val="auto"/>
                <w:sz w:val="21"/>
                <w:highlight w:val="none"/>
              </w:rPr>
              <w:t>.1</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7258"/>
              </w:tabs>
              <w:adjustRightInd w:val="0"/>
              <w:snapToGrid w:val="0"/>
              <w:spacing w:line="264" w:lineRule="auto"/>
              <w:ind w:firstLine="220" w:firstLineChars="100"/>
              <w:jc w:val="both"/>
              <w:rPr>
                <w:color w:val="auto"/>
                <w:sz w:val="21"/>
                <w:highlight w:val="none"/>
                <w:lang w:val="en-US"/>
              </w:rPr>
            </w:pPr>
            <w:r>
              <w:rPr>
                <w:color w:val="auto"/>
                <w:highlight w:val="none"/>
              </w:rPr>
              <w:t>承包人编制施工方案的内容包括但不限于：路基维修施工方案、路面维修施工方案、桥涵维修施工方案、交通安全设施维修施工方案等主要项目的施工顺序和施工方法、关键工程施工工艺及技术措施等</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32</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both"/>
              <w:rPr>
                <w:color w:val="auto"/>
                <w:sz w:val="21"/>
                <w:highlight w:val="none"/>
                <w:lang w:val="en-US"/>
              </w:rPr>
            </w:pPr>
            <w:r>
              <w:rPr>
                <w:rFonts w:hint="eastAsia"/>
                <w:color w:val="auto"/>
                <w:sz w:val="21"/>
                <w:highlight w:val="none"/>
                <w:lang w:val="en-US"/>
              </w:rPr>
              <w:t>11</w:t>
            </w:r>
            <w:r>
              <w:rPr>
                <w:rFonts w:hint="eastAsia"/>
                <w:color w:val="auto"/>
                <w:sz w:val="21"/>
                <w:highlight w:val="none"/>
              </w:rPr>
              <w:t>.1</w:t>
            </w:r>
            <w:r>
              <w:rPr>
                <w:rFonts w:hint="eastAsia"/>
                <w:color w:val="auto"/>
                <w:sz w:val="21"/>
                <w:highlight w:val="none"/>
                <w:lang w:val="en-US"/>
              </w:rPr>
              <w:t>.1</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7258"/>
              </w:tabs>
              <w:adjustRightInd w:val="0"/>
              <w:snapToGrid w:val="0"/>
              <w:spacing w:line="264" w:lineRule="auto"/>
              <w:ind w:firstLine="220" w:firstLineChars="100"/>
              <w:jc w:val="both"/>
              <w:rPr>
                <w:color w:val="auto"/>
                <w:highlight w:val="none"/>
              </w:rPr>
            </w:pPr>
            <w:r>
              <w:rPr>
                <w:color w:val="auto"/>
                <w:highlight w:val="none"/>
              </w:rPr>
              <w:t>承包人应在签订</w:t>
            </w:r>
            <w:r>
              <w:rPr>
                <w:rFonts w:hint="eastAsia"/>
                <w:color w:val="auto"/>
                <w:highlight w:val="none"/>
                <w:lang w:val="en-US"/>
              </w:rPr>
              <w:t>合同</w:t>
            </w:r>
            <w:r>
              <w:rPr>
                <w:color w:val="auto"/>
                <w:highlight w:val="none"/>
              </w:rPr>
              <w:t>协议书后28天内，在投标文件的基础上细化施工组织设计，并向监理人提交开工报告，主要内容应包括：施工管理机构、质检体系、安全体系的建立，劳务、机械设备、材料的进场情况，水电供应，临时设施的修建、 总体施工组织设计、施工节点工期安排（包括但不限于路基、路面基层、面层、桥梁下部结构、桥梁上部结构等分部工程的节点工期）等。监理人应在开工日期7 天前向承包人发出开工通知。监理人在发出开工通知前应获得发包人</w:t>
            </w:r>
            <w:r>
              <w:rPr>
                <w:rFonts w:hint="eastAsia"/>
                <w:color w:val="auto"/>
                <w:highlight w:val="none"/>
                <w:lang w:val="en-US"/>
              </w:rPr>
              <w:t>同意</w:t>
            </w:r>
            <w:r>
              <w:rPr>
                <w:color w:val="auto"/>
                <w:highlight w:val="none"/>
              </w:rPr>
              <w:t>。工期自监理人发出的开工通知中载明的开工日期起计算。承包人应在开工日期后尽快施工</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33</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right="90"/>
              <w:jc w:val="both"/>
              <w:rPr>
                <w:color w:val="auto"/>
                <w:sz w:val="21"/>
                <w:highlight w:val="none"/>
                <w:lang w:val="en-US"/>
              </w:rPr>
            </w:pPr>
            <w:r>
              <w:rPr>
                <w:rFonts w:hint="eastAsia"/>
                <w:color w:val="auto"/>
                <w:sz w:val="21"/>
                <w:highlight w:val="none"/>
              </w:rPr>
              <w:t>11.5</w:t>
            </w:r>
            <w:r>
              <w:rPr>
                <w:rFonts w:hint="eastAsia"/>
                <w:color w:val="auto"/>
                <w:sz w:val="21"/>
                <w:highlight w:val="none"/>
                <w:lang w:val="en-US"/>
              </w:rPr>
              <w:t>(</w:t>
            </w:r>
            <w:r>
              <w:rPr>
                <w:rFonts w:hint="eastAsia"/>
                <w:color w:val="auto"/>
                <w:sz w:val="21"/>
                <w:highlight w:val="none"/>
              </w:rPr>
              <w:t>3</w:t>
            </w:r>
            <w:r>
              <w:rPr>
                <w:rFonts w:hint="eastAsia"/>
                <w:color w:val="auto"/>
                <w:sz w:val="21"/>
                <w:highlight w:val="none"/>
                <w:lang w:val="en-US"/>
              </w:rPr>
              <w:t>)</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263"/>
              <w:adjustRightInd w:val="0"/>
              <w:snapToGrid w:val="0"/>
              <w:ind w:firstLine="210" w:firstLineChars="100"/>
              <w:jc w:val="both"/>
              <w:rPr>
                <w:color w:val="auto"/>
                <w:sz w:val="21"/>
                <w:szCs w:val="21"/>
                <w:highlight w:val="none"/>
              </w:rPr>
            </w:pPr>
            <w:r>
              <w:rPr>
                <w:color w:val="auto"/>
                <w:sz w:val="21"/>
                <w:szCs w:val="21"/>
                <w:highlight w:val="none"/>
              </w:rPr>
              <w:t>承包人必须按合同约定的阶段工期及总工期组织施工，如因承包人原因未能按 阶段工期（或总工期）计划完成所承包的工程，承包人应支付逾期完工违约金。 逾期完工违约金的计算方法在项目专用合同条款数据表中约定，时间自预定的完 工日期起到完工证明中写明的实际完工日期止（扣除已批准的延长工期），按天计 算。逾期完工违约金累计金额最高不超过项目专用合同条款数据表中写明的限额。 发包人可以从应付或到期应付给承包人的任何款项中或釆用其他方法扣除此违约 金。承包人阶段工期发生拖延但在总工期内按时完工的，发包人应将施工期间扣 留的全部阶段工期拖延违约金返还给承包人。</w:t>
            </w:r>
          </w:p>
          <w:p>
            <w:pPr>
              <w:pStyle w:val="87"/>
              <w:tabs>
                <w:tab w:val="left" w:pos="7258"/>
              </w:tabs>
              <w:adjustRightInd w:val="0"/>
              <w:snapToGrid w:val="0"/>
              <w:ind w:firstLine="210" w:firstLineChars="100"/>
              <w:jc w:val="both"/>
              <w:rPr>
                <w:color w:val="auto"/>
                <w:highlight w:val="none"/>
                <w:lang w:val="en-US"/>
              </w:rPr>
            </w:pPr>
            <w:r>
              <w:rPr>
                <w:color w:val="auto"/>
                <w:sz w:val="21"/>
                <w:szCs w:val="21"/>
                <w:highlight w:val="none"/>
              </w:rPr>
              <w:t>承包人阶段工期和总工期均发生拖延的，发包人最终扣减承包人的逾期完工违 约金以总工期拖延天数计算的金额为准，但最高不超过项目《项目专用合同条款 数据表》中写明的限额</w:t>
            </w:r>
            <w:r>
              <w:rPr>
                <w:rFonts w:hint="eastAsia"/>
                <w:color w:val="auto"/>
                <w:sz w:val="21"/>
                <w:szCs w:val="21"/>
                <w:highlight w:val="none"/>
              </w:rPr>
              <w:t>。</w:t>
            </w:r>
          </w:p>
        </w:tc>
      </w:tr>
    </w:tbl>
    <w:p>
      <w:pPr>
        <w:pStyle w:val="268"/>
        <w:spacing w:before="120" w:after="120" w:line="360" w:lineRule="exact"/>
        <w:outlineLvl w:val="9"/>
        <w:rPr>
          <w:color w:val="auto"/>
          <w:sz w:val="20"/>
          <w:highlight w:val="none"/>
        </w:rPr>
        <w:sectPr>
          <w:pgSz w:w="11906" w:h="16838"/>
          <w:pgMar w:top="1440" w:right="991" w:bottom="1440" w:left="1418" w:header="851" w:footer="992" w:gutter="0"/>
          <w:cols w:space="720" w:num="1"/>
          <w:docGrid w:type="lines" w:linePitch="312" w:charSpace="0"/>
        </w:sectPr>
      </w:pPr>
    </w:p>
    <w:tbl>
      <w:tblPr>
        <w:tblStyle w:val="47"/>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133"/>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34</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
              <w:ind w:right="90"/>
              <w:jc w:val="both"/>
              <w:rPr>
                <w:color w:val="auto"/>
                <w:sz w:val="21"/>
                <w:highlight w:val="none"/>
              </w:rPr>
            </w:pPr>
            <w:r>
              <w:rPr>
                <w:rFonts w:hint="eastAsia"/>
                <w:color w:val="auto"/>
                <w:sz w:val="21"/>
                <w:highlight w:val="none"/>
              </w:rPr>
              <w:t>11.5</w:t>
            </w:r>
            <w:r>
              <w:rPr>
                <w:rFonts w:hint="eastAsia"/>
                <w:color w:val="auto"/>
                <w:sz w:val="21"/>
                <w:highlight w:val="none"/>
                <w:lang w:val="en-US"/>
              </w:rPr>
              <w:t>(</w:t>
            </w:r>
            <w:r>
              <w:rPr>
                <w:rFonts w:hint="eastAsia"/>
                <w:color w:val="auto"/>
                <w:sz w:val="21"/>
                <w:highlight w:val="none"/>
              </w:rPr>
              <w:t>3</w:t>
            </w:r>
            <w:r>
              <w:rPr>
                <w:rFonts w:hint="eastAsia"/>
                <w:color w:val="auto"/>
                <w:sz w:val="21"/>
                <w:highlight w:val="none"/>
                <w:lang w:val="en-US"/>
              </w:rPr>
              <w:t>)</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adjustRightInd w:val="0"/>
              <w:snapToGrid w:val="0"/>
              <w:spacing w:line="300" w:lineRule="auto"/>
              <w:ind w:firstLine="210" w:firstLineChars="100"/>
              <w:jc w:val="both"/>
              <w:rPr>
                <w:color w:val="auto"/>
                <w:sz w:val="21"/>
                <w:highlight w:val="none"/>
              </w:rPr>
            </w:pPr>
            <w:r>
              <w:rPr>
                <w:rFonts w:hint="eastAsia"/>
                <w:color w:val="auto"/>
                <w:sz w:val="21"/>
                <w:highlight w:val="none"/>
              </w:rPr>
              <w:t>如因承包人原因未能按阶段工期（或总工期）计划完成所承包的工程，承包人应支付</w:t>
            </w:r>
            <w:r>
              <w:rPr>
                <w:rFonts w:hint="eastAsia"/>
                <w:color w:val="auto"/>
                <w:spacing w:val="-3"/>
                <w:sz w:val="21"/>
                <w:highlight w:val="none"/>
              </w:rPr>
              <w:t>的</w:t>
            </w:r>
            <w:r>
              <w:rPr>
                <w:rFonts w:hint="eastAsia"/>
                <w:color w:val="auto"/>
                <w:sz w:val="21"/>
                <w:highlight w:val="none"/>
              </w:rPr>
              <w:t>逾</w:t>
            </w:r>
            <w:r>
              <w:rPr>
                <w:rFonts w:hint="eastAsia"/>
                <w:color w:val="auto"/>
                <w:spacing w:val="-3"/>
                <w:sz w:val="21"/>
                <w:highlight w:val="none"/>
              </w:rPr>
              <w:t>期</w:t>
            </w:r>
            <w:r>
              <w:rPr>
                <w:rFonts w:hint="eastAsia"/>
                <w:color w:val="auto"/>
                <w:sz w:val="21"/>
                <w:highlight w:val="none"/>
              </w:rPr>
              <w:t>完</w:t>
            </w:r>
            <w:r>
              <w:rPr>
                <w:rFonts w:hint="eastAsia"/>
                <w:color w:val="auto"/>
                <w:spacing w:val="-3"/>
                <w:sz w:val="21"/>
                <w:highlight w:val="none"/>
              </w:rPr>
              <w:t>工</w:t>
            </w:r>
            <w:r>
              <w:rPr>
                <w:rFonts w:hint="eastAsia"/>
                <w:color w:val="auto"/>
                <w:sz w:val="21"/>
                <w:highlight w:val="none"/>
              </w:rPr>
              <w:t>违</w:t>
            </w:r>
            <w:r>
              <w:rPr>
                <w:rFonts w:hint="eastAsia"/>
                <w:color w:val="auto"/>
                <w:spacing w:val="-3"/>
                <w:sz w:val="21"/>
                <w:highlight w:val="none"/>
              </w:rPr>
              <w:t>约</w:t>
            </w:r>
            <w:r>
              <w:rPr>
                <w:rFonts w:hint="eastAsia"/>
                <w:color w:val="auto"/>
                <w:sz w:val="21"/>
                <w:highlight w:val="none"/>
              </w:rPr>
              <w:t>金</w:t>
            </w:r>
            <w:r>
              <w:rPr>
                <w:rFonts w:hint="eastAsia"/>
                <w:color w:val="auto"/>
                <w:spacing w:val="-3"/>
                <w:sz w:val="21"/>
                <w:highlight w:val="none"/>
              </w:rPr>
              <w:t>：</w:t>
            </w:r>
            <w:r>
              <w:rPr>
                <w:rFonts w:hint="eastAsia"/>
                <w:color w:val="auto"/>
                <w:spacing w:val="-3"/>
                <w:sz w:val="21"/>
                <w:highlight w:val="none"/>
                <w:u w:val="single"/>
              </w:rPr>
              <w:t xml:space="preserve"> </w:t>
            </w:r>
            <w:r>
              <w:rPr>
                <w:rFonts w:hint="eastAsia"/>
                <w:color w:val="auto"/>
                <w:spacing w:val="12"/>
                <w:sz w:val="21"/>
                <w:highlight w:val="none"/>
                <w:u w:val="single"/>
              </w:rPr>
              <w:t xml:space="preserve"> </w:t>
            </w:r>
            <w:r>
              <w:rPr>
                <w:rFonts w:hint="eastAsia"/>
                <w:color w:val="auto"/>
                <w:sz w:val="21"/>
                <w:highlight w:val="none"/>
                <w:u w:val="single"/>
              </w:rPr>
              <w:t>0.03%签</w:t>
            </w:r>
            <w:r>
              <w:rPr>
                <w:rFonts w:hint="eastAsia"/>
                <w:color w:val="auto"/>
                <w:spacing w:val="-3"/>
                <w:sz w:val="21"/>
                <w:highlight w:val="none"/>
                <w:u w:val="single"/>
              </w:rPr>
              <w:t>约</w:t>
            </w:r>
            <w:r>
              <w:rPr>
                <w:rFonts w:hint="eastAsia"/>
                <w:color w:val="auto"/>
                <w:sz w:val="21"/>
                <w:highlight w:val="none"/>
                <w:u w:val="single"/>
              </w:rPr>
              <w:t>合</w:t>
            </w:r>
            <w:r>
              <w:rPr>
                <w:rFonts w:hint="eastAsia"/>
                <w:color w:val="auto"/>
                <w:spacing w:val="-3"/>
                <w:sz w:val="21"/>
                <w:highlight w:val="none"/>
                <w:u w:val="single"/>
              </w:rPr>
              <w:t>同</w:t>
            </w:r>
            <w:r>
              <w:rPr>
                <w:rFonts w:hint="eastAsia"/>
                <w:color w:val="auto"/>
                <w:sz w:val="21"/>
                <w:highlight w:val="none"/>
                <w:u w:val="single"/>
              </w:rPr>
              <w:t>价格</w:t>
            </w:r>
            <w:r>
              <w:rPr>
                <w:rFonts w:hint="eastAsia"/>
                <w:color w:val="auto"/>
                <w:sz w:val="21"/>
                <w:highlight w:val="none"/>
                <w:u w:val="single"/>
              </w:rPr>
              <w:tab/>
            </w:r>
            <w:r>
              <w:rPr>
                <w:rFonts w:hint="eastAsia"/>
                <w:color w:val="auto"/>
                <w:sz w:val="21"/>
                <w:highlight w:val="none"/>
              </w:rPr>
              <w:t>/天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35</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right="90"/>
              <w:jc w:val="both"/>
              <w:rPr>
                <w:color w:val="auto"/>
                <w:sz w:val="21"/>
                <w:highlight w:val="none"/>
              </w:rPr>
            </w:pPr>
            <w:r>
              <w:rPr>
                <w:rFonts w:hint="eastAsia"/>
                <w:color w:val="auto"/>
                <w:sz w:val="21"/>
                <w:highlight w:val="none"/>
              </w:rPr>
              <w:t>11.5</w:t>
            </w:r>
            <w:r>
              <w:rPr>
                <w:rFonts w:hint="eastAsia"/>
                <w:color w:val="auto"/>
                <w:sz w:val="21"/>
                <w:highlight w:val="none"/>
                <w:lang w:val="en-US"/>
              </w:rPr>
              <w:t>(</w:t>
            </w:r>
            <w:r>
              <w:rPr>
                <w:rFonts w:hint="eastAsia"/>
                <w:color w:val="auto"/>
                <w:sz w:val="21"/>
                <w:highlight w:val="none"/>
              </w:rPr>
              <w:t>3</w:t>
            </w:r>
            <w:r>
              <w:rPr>
                <w:rFonts w:hint="eastAsia"/>
                <w:color w:val="auto"/>
                <w:sz w:val="21"/>
                <w:highlight w:val="none"/>
                <w:lang w:val="en-US"/>
              </w:rPr>
              <w:t>)</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adjustRightInd w:val="0"/>
              <w:snapToGrid w:val="0"/>
              <w:spacing w:line="264" w:lineRule="auto"/>
              <w:ind w:right="79" w:firstLine="210" w:firstLineChars="100"/>
              <w:jc w:val="both"/>
              <w:rPr>
                <w:color w:val="auto"/>
                <w:sz w:val="21"/>
                <w:highlight w:val="none"/>
              </w:rPr>
            </w:pPr>
            <w:r>
              <w:rPr>
                <w:rFonts w:hint="eastAsia"/>
                <w:color w:val="auto"/>
                <w:sz w:val="21"/>
                <w:highlight w:val="none"/>
              </w:rPr>
              <w:t>逾期</w:t>
            </w:r>
            <w:r>
              <w:rPr>
                <w:rFonts w:hint="eastAsia"/>
                <w:color w:val="auto"/>
                <w:spacing w:val="-3"/>
                <w:sz w:val="21"/>
                <w:highlight w:val="none"/>
              </w:rPr>
              <w:t>完</w:t>
            </w:r>
            <w:r>
              <w:rPr>
                <w:rFonts w:hint="eastAsia"/>
                <w:color w:val="auto"/>
                <w:sz w:val="21"/>
                <w:highlight w:val="none"/>
              </w:rPr>
              <w:t>工</w:t>
            </w:r>
            <w:r>
              <w:rPr>
                <w:rFonts w:hint="eastAsia"/>
                <w:color w:val="auto"/>
                <w:spacing w:val="-3"/>
                <w:sz w:val="21"/>
                <w:highlight w:val="none"/>
              </w:rPr>
              <w:t>违</w:t>
            </w:r>
            <w:r>
              <w:rPr>
                <w:rFonts w:hint="eastAsia"/>
                <w:color w:val="auto"/>
                <w:sz w:val="21"/>
                <w:highlight w:val="none"/>
              </w:rPr>
              <w:t>约</w:t>
            </w:r>
            <w:r>
              <w:rPr>
                <w:rFonts w:hint="eastAsia"/>
                <w:color w:val="auto"/>
                <w:spacing w:val="-3"/>
                <w:sz w:val="21"/>
                <w:highlight w:val="none"/>
              </w:rPr>
              <w:t>金</w:t>
            </w:r>
            <w:r>
              <w:rPr>
                <w:rFonts w:hint="eastAsia"/>
                <w:color w:val="auto"/>
                <w:sz w:val="21"/>
                <w:highlight w:val="none"/>
              </w:rPr>
              <w:t>限</w:t>
            </w:r>
            <w:r>
              <w:rPr>
                <w:rFonts w:hint="eastAsia"/>
                <w:color w:val="auto"/>
                <w:spacing w:val="-3"/>
                <w:sz w:val="21"/>
                <w:highlight w:val="none"/>
              </w:rPr>
              <w:t>额</w:t>
            </w:r>
            <w:r>
              <w:rPr>
                <w:rFonts w:hint="eastAsia"/>
                <w:color w:val="auto"/>
                <w:sz w:val="21"/>
                <w:highlight w:val="none"/>
              </w:rPr>
              <w:t>：</w:t>
            </w:r>
            <w:r>
              <w:rPr>
                <w:rFonts w:hint="eastAsia"/>
                <w:color w:val="auto"/>
                <w:sz w:val="21"/>
                <w:highlight w:val="none"/>
                <w:u w:val="single"/>
              </w:rPr>
              <w:t xml:space="preserve"> </w:t>
            </w:r>
            <w:r>
              <w:rPr>
                <w:rFonts w:hint="eastAsia"/>
                <w:color w:val="auto"/>
                <w:spacing w:val="7"/>
                <w:sz w:val="21"/>
                <w:highlight w:val="none"/>
                <w:u w:val="single"/>
              </w:rPr>
              <w:t xml:space="preserve"> </w:t>
            </w:r>
            <w:r>
              <w:rPr>
                <w:rFonts w:hint="eastAsia"/>
                <w:color w:val="auto"/>
                <w:sz w:val="21"/>
                <w:highlight w:val="none"/>
                <w:u w:val="single"/>
              </w:rPr>
              <w:t>10%签</w:t>
            </w:r>
            <w:r>
              <w:rPr>
                <w:rFonts w:hint="eastAsia"/>
                <w:color w:val="auto"/>
                <w:spacing w:val="-3"/>
                <w:sz w:val="21"/>
                <w:highlight w:val="none"/>
                <w:u w:val="single"/>
              </w:rPr>
              <w:t>约</w:t>
            </w:r>
            <w:r>
              <w:rPr>
                <w:rFonts w:hint="eastAsia"/>
                <w:color w:val="auto"/>
                <w:sz w:val="21"/>
                <w:highlight w:val="none"/>
                <w:u w:val="single"/>
              </w:rPr>
              <w:t>合</w:t>
            </w:r>
            <w:r>
              <w:rPr>
                <w:rFonts w:hint="eastAsia"/>
                <w:color w:val="auto"/>
                <w:spacing w:val="-3"/>
                <w:sz w:val="21"/>
                <w:highlight w:val="none"/>
                <w:u w:val="single"/>
              </w:rPr>
              <w:t>同</w:t>
            </w:r>
            <w:r>
              <w:rPr>
                <w:rFonts w:hint="eastAsia"/>
                <w:color w:val="auto"/>
                <w:sz w:val="21"/>
                <w:highlight w:val="none"/>
                <w:u w:val="single"/>
              </w:rPr>
              <w:t>价</w:t>
            </w:r>
            <w:r>
              <w:rPr>
                <w:rFonts w:hint="eastAsia"/>
                <w:color w:val="auto"/>
                <w:sz w:val="21"/>
                <w:highlight w:val="none"/>
                <w:u w:val="single"/>
              </w:rPr>
              <w:tab/>
            </w:r>
            <w:r>
              <w:rPr>
                <w:rFonts w:hint="eastAsia"/>
                <w:color w:val="auto"/>
                <w:sz w:val="21"/>
                <w:highlight w:val="none"/>
              </w:rPr>
              <w:t>（</w:t>
            </w:r>
            <w:r>
              <w:rPr>
                <w:rFonts w:hint="eastAsia" w:ascii="方正行楷简体" w:hAnsi="方正行楷简体" w:eastAsia="方正行楷简体" w:cs="方正行楷简体"/>
                <w:color w:val="auto"/>
                <w:sz w:val="21"/>
                <w:szCs w:val="21"/>
                <w:highlight w:val="none"/>
                <w:lang w:val="en-US"/>
              </w:rPr>
              <w:t>逾期完工违约金限额一般应为10%签约合同价</w:t>
            </w:r>
            <w:r>
              <w:rPr>
                <w:rFonts w:hint="eastAsia"/>
                <w:color w:val="auto"/>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36</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right="90"/>
              <w:jc w:val="both"/>
              <w:rPr>
                <w:color w:val="auto"/>
                <w:sz w:val="21"/>
                <w:highlight w:val="none"/>
              </w:rPr>
            </w:pPr>
            <w:r>
              <w:rPr>
                <w:rFonts w:hint="eastAsia"/>
                <w:color w:val="auto"/>
                <w:sz w:val="21"/>
                <w:highlight w:val="none"/>
              </w:rPr>
              <w:t>11.5</w:t>
            </w:r>
            <w:r>
              <w:rPr>
                <w:rFonts w:hint="eastAsia"/>
                <w:color w:val="auto"/>
                <w:sz w:val="21"/>
                <w:highlight w:val="none"/>
                <w:lang w:val="en-US"/>
              </w:rPr>
              <w:t>(5)</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adjustRightInd w:val="0"/>
              <w:snapToGrid w:val="0"/>
              <w:spacing w:line="264" w:lineRule="auto"/>
              <w:ind w:right="79" w:firstLine="220" w:firstLineChars="100"/>
              <w:jc w:val="both"/>
              <w:rPr>
                <w:color w:val="auto"/>
                <w:sz w:val="21"/>
                <w:highlight w:val="none"/>
                <w:lang w:val="en-US"/>
              </w:rPr>
            </w:pPr>
            <w:r>
              <w:rPr>
                <w:color w:val="auto"/>
                <w:highlight w:val="none"/>
              </w:rPr>
              <w:t>如果在合同工程完工之前，己对合同工程内按时完工的单位工程签发了完工证明，则合同工程的逾期完工违约金，应按已签发完工证明的单位工程的价值占合同工程价值的比例予以减少，但本规定不应影响逾期完工违约金的规定限额</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0"/>
              <w:ind w:left="35" w:right="26"/>
              <w:jc w:val="both"/>
              <w:rPr>
                <w:color w:val="auto"/>
                <w:sz w:val="21"/>
                <w:highlight w:val="none"/>
                <w:lang w:val="en-US"/>
              </w:rPr>
            </w:pPr>
            <w:r>
              <w:rPr>
                <w:rFonts w:hint="eastAsia"/>
                <w:color w:val="auto"/>
                <w:sz w:val="21"/>
                <w:highlight w:val="none"/>
                <w:lang w:val="en-US"/>
              </w:rPr>
              <w:t>37</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30"/>
              <w:ind w:left="106" w:right="90"/>
              <w:jc w:val="both"/>
              <w:rPr>
                <w:color w:val="auto"/>
                <w:sz w:val="21"/>
                <w:highlight w:val="none"/>
              </w:rPr>
            </w:pPr>
            <w:r>
              <w:rPr>
                <w:rFonts w:hint="eastAsia"/>
                <w:color w:val="auto"/>
                <w:sz w:val="21"/>
                <w:highlight w:val="none"/>
              </w:rPr>
              <w:t>11.6</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3327"/>
              </w:tabs>
              <w:adjustRightInd w:val="0"/>
              <w:snapToGrid w:val="0"/>
              <w:spacing w:line="300" w:lineRule="auto"/>
              <w:jc w:val="both"/>
              <w:rPr>
                <w:color w:val="auto"/>
                <w:sz w:val="21"/>
                <w:highlight w:val="none"/>
              </w:rPr>
            </w:pPr>
            <w:r>
              <w:rPr>
                <w:rFonts w:hint="eastAsia"/>
                <w:color w:val="auto"/>
                <w:sz w:val="21"/>
                <w:highlight w:val="none"/>
              </w:rPr>
              <w:t>提前</w:t>
            </w:r>
            <w:r>
              <w:rPr>
                <w:rFonts w:hint="eastAsia"/>
                <w:color w:val="auto"/>
                <w:spacing w:val="-3"/>
                <w:sz w:val="21"/>
                <w:highlight w:val="none"/>
              </w:rPr>
              <w:t>完</w:t>
            </w:r>
            <w:r>
              <w:rPr>
                <w:rFonts w:hint="eastAsia"/>
                <w:color w:val="auto"/>
                <w:sz w:val="21"/>
                <w:highlight w:val="none"/>
              </w:rPr>
              <w:t>工</w:t>
            </w:r>
            <w:r>
              <w:rPr>
                <w:rFonts w:hint="eastAsia"/>
                <w:color w:val="auto"/>
                <w:spacing w:val="-3"/>
                <w:sz w:val="21"/>
                <w:highlight w:val="none"/>
              </w:rPr>
              <w:t>的</w:t>
            </w:r>
            <w:r>
              <w:rPr>
                <w:rFonts w:hint="eastAsia"/>
                <w:color w:val="auto"/>
                <w:sz w:val="21"/>
                <w:highlight w:val="none"/>
              </w:rPr>
              <w:t>奖</w:t>
            </w:r>
            <w:r>
              <w:rPr>
                <w:rFonts w:hint="eastAsia"/>
                <w:color w:val="auto"/>
                <w:spacing w:val="-3"/>
                <w:sz w:val="21"/>
                <w:highlight w:val="none"/>
              </w:rPr>
              <w:t>金</w:t>
            </w:r>
            <w:r>
              <w:rPr>
                <w:rFonts w:hint="eastAsia"/>
                <w:color w:val="auto"/>
                <w:sz w:val="21"/>
                <w:highlight w:val="none"/>
              </w:rPr>
              <w:t>，</w:t>
            </w:r>
            <w:r>
              <w:rPr>
                <w:rFonts w:hint="eastAsia"/>
                <w:color w:val="auto"/>
                <w:spacing w:val="-3"/>
                <w:sz w:val="21"/>
                <w:highlight w:val="none"/>
              </w:rPr>
              <w:t>规</w:t>
            </w:r>
            <w:r>
              <w:rPr>
                <w:rFonts w:hint="eastAsia"/>
                <w:color w:val="auto"/>
                <w:sz w:val="21"/>
                <w:highlight w:val="none"/>
              </w:rPr>
              <w:t>定</w:t>
            </w:r>
            <w:r>
              <w:rPr>
                <w:rFonts w:hint="eastAsia"/>
                <w:color w:val="auto"/>
                <w:spacing w:val="-3"/>
                <w:sz w:val="21"/>
                <w:highlight w:val="none"/>
              </w:rPr>
              <w:t>为</w:t>
            </w:r>
            <w:r>
              <w:rPr>
                <w:rFonts w:hint="eastAsia"/>
                <w:color w:val="auto"/>
                <w:sz w:val="21"/>
                <w:highlight w:val="none"/>
              </w:rPr>
              <w:t>：</w:t>
            </w:r>
            <w:r>
              <w:rPr>
                <w:rFonts w:hint="eastAsia"/>
                <w:color w:val="auto"/>
                <w:sz w:val="21"/>
                <w:highlight w:val="none"/>
                <w:u w:val="single"/>
              </w:rPr>
              <w:t xml:space="preserve"> </w:t>
            </w:r>
            <w:r>
              <w:rPr>
                <w:rFonts w:hint="eastAsia"/>
                <w:color w:val="auto"/>
                <w:spacing w:val="7"/>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z w:val="21"/>
                <w:highlight w:val="none"/>
              </w:rPr>
              <w:t>元/天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0"/>
              <w:ind w:left="35" w:right="26"/>
              <w:jc w:val="both"/>
              <w:rPr>
                <w:color w:val="auto"/>
                <w:sz w:val="21"/>
                <w:highlight w:val="none"/>
                <w:lang w:val="en-US"/>
              </w:rPr>
            </w:pPr>
            <w:r>
              <w:rPr>
                <w:rFonts w:hint="eastAsia"/>
                <w:color w:val="auto"/>
                <w:sz w:val="21"/>
                <w:highlight w:val="none"/>
                <w:lang w:val="en-US"/>
              </w:rPr>
              <w:t>38</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30"/>
              <w:ind w:left="106" w:right="90"/>
              <w:jc w:val="both"/>
              <w:rPr>
                <w:color w:val="auto"/>
                <w:sz w:val="21"/>
                <w:highlight w:val="none"/>
              </w:rPr>
            </w:pPr>
            <w:r>
              <w:rPr>
                <w:rFonts w:hint="eastAsia"/>
                <w:color w:val="auto"/>
                <w:sz w:val="21"/>
                <w:highlight w:val="none"/>
              </w:rPr>
              <w:t>11.6</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3749"/>
              </w:tabs>
              <w:adjustRightInd w:val="0"/>
              <w:snapToGrid w:val="0"/>
              <w:spacing w:line="300" w:lineRule="auto"/>
              <w:jc w:val="both"/>
              <w:rPr>
                <w:color w:val="auto"/>
                <w:sz w:val="21"/>
                <w:highlight w:val="none"/>
              </w:rPr>
            </w:pPr>
            <w:r>
              <w:rPr>
                <w:rFonts w:hint="eastAsia"/>
                <w:color w:val="auto"/>
                <w:sz w:val="21"/>
                <w:highlight w:val="none"/>
              </w:rPr>
              <w:t>提前</w:t>
            </w:r>
            <w:r>
              <w:rPr>
                <w:rFonts w:hint="eastAsia"/>
                <w:color w:val="auto"/>
                <w:spacing w:val="-3"/>
                <w:sz w:val="21"/>
                <w:highlight w:val="none"/>
              </w:rPr>
              <w:t>完</w:t>
            </w:r>
            <w:r>
              <w:rPr>
                <w:rFonts w:hint="eastAsia"/>
                <w:color w:val="auto"/>
                <w:sz w:val="21"/>
                <w:highlight w:val="none"/>
              </w:rPr>
              <w:t>工</w:t>
            </w:r>
            <w:r>
              <w:rPr>
                <w:rFonts w:hint="eastAsia"/>
                <w:color w:val="auto"/>
                <w:spacing w:val="-3"/>
                <w:sz w:val="21"/>
                <w:highlight w:val="none"/>
              </w:rPr>
              <w:t>的</w:t>
            </w:r>
            <w:r>
              <w:rPr>
                <w:rFonts w:hint="eastAsia"/>
                <w:color w:val="auto"/>
                <w:sz w:val="21"/>
                <w:highlight w:val="none"/>
              </w:rPr>
              <w:t>奖</w:t>
            </w:r>
            <w:r>
              <w:rPr>
                <w:rFonts w:hint="eastAsia"/>
                <w:color w:val="auto"/>
                <w:spacing w:val="-3"/>
                <w:sz w:val="21"/>
                <w:highlight w:val="none"/>
              </w:rPr>
              <w:t>金</w:t>
            </w:r>
            <w:r>
              <w:rPr>
                <w:rFonts w:hint="eastAsia"/>
                <w:color w:val="auto"/>
                <w:sz w:val="21"/>
                <w:highlight w:val="none"/>
              </w:rPr>
              <w:t>限</w:t>
            </w:r>
            <w:r>
              <w:rPr>
                <w:rFonts w:hint="eastAsia"/>
                <w:color w:val="auto"/>
                <w:spacing w:val="-3"/>
                <w:sz w:val="21"/>
                <w:highlight w:val="none"/>
              </w:rPr>
              <w:t>额</w:t>
            </w:r>
            <w:r>
              <w:rPr>
                <w:rFonts w:hint="eastAsia"/>
                <w:color w:val="auto"/>
                <w:sz w:val="21"/>
                <w:highlight w:val="none"/>
              </w:rPr>
              <w:t>，</w:t>
            </w:r>
            <w:r>
              <w:rPr>
                <w:rFonts w:hint="eastAsia"/>
                <w:color w:val="auto"/>
                <w:spacing w:val="-3"/>
                <w:sz w:val="21"/>
                <w:highlight w:val="none"/>
              </w:rPr>
              <w:t>规</w:t>
            </w:r>
            <w:r>
              <w:rPr>
                <w:rFonts w:hint="eastAsia"/>
                <w:color w:val="auto"/>
                <w:sz w:val="21"/>
                <w:highlight w:val="none"/>
              </w:rPr>
              <w:t>定为</w:t>
            </w:r>
            <w:r>
              <w:rPr>
                <w:rFonts w:hint="eastAsia"/>
                <w:color w:val="auto"/>
                <w:spacing w:val="-3"/>
                <w:sz w:val="21"/>
                <w:highlight w:val="none"/>
              </w:rPr>
              <w:t>：</w:t>
            </w:r>
            <w:r>
              <w:rPr>
                <w:rFonts w:hint="eastAsia"/>
                <w:color w:val="auto"/>
                <w:spacing w:val="-3"/>
                <w:sz w:val="21"/>
                <w:highlight w:val="none"/>
                <w:u w:val="single"/>
              </w:rPr>
              <w:t xml:space="preserve"> </w:t>
            </w:r>
            <w:r>
              <w:rPr>
                <w:rFonts w:hint="eastAsia"/>
                <w:color w:val="auto"/>
                <w:spacing w:val="13"/>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pacing w:val="-4"/>
                <w:sz w:val="21"/>
                <w:highlight w:val="none"/>
              </w:rPr>
              <w:t>%</w:t>
            </w:r>
            <w:r>
              <w:rPr>
                <w:rFonts w:hint="eastAsia"/>
                <w:color w:val="auto"/>
                <w:sz w:val="21"/>
                <w:highlight w:val="none"/>
              </w:rPr>
              <w:t>签</w:t>
            </w:r>
            <w:r>
              <w:rPr>
                <w:rFonts w:hint="eastAsia"/>
                <w:color w:val="auto"/>
                <w:spacing w:val="-3"/>
                <w:sz w:val="21"/>
                <w:highlight w:val="none"/>
              </w:rPr>
              <w:t>约</w:t>
            </w:r>
            <w:r>
              <w:rPr>
                <w:rFonts w:hint="eastAsia"/>
                <w:color w:val="auto"/>
                <w:sz w:val="21"/>
                <w:highlight w:val="none"/>
              </w:rPr>
              <w:t>合</w:t>
            </w:r>
            <w:r>
              <w:rPr>
                <w:rFonts w:hint="eastAsia"/>
                <w:color w:val="auto"/>
                <w:spacing w:val="-3"/>
                <w:sz w:val="21"/>
                <w:highlight w:val="none"/>
              </w:rPr>
              <w:t>同</w:t>
            </w:r>
            <w:r>
              <w:rPr>
                <w:rFonts w:hint="eastAsia"/>
                <w:color w:val="auto"/>
                <w:sz w:val="21"/>
                <w:highlight w:val="none"/>
              </w:rPr>
              <w:t>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39</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
              <w:ind w:left="104" w:right="90"/>
              <w:jc w:val="both"/>
              <w:rPr>
                <w:color w:val="auto"/>
                <w:sz w:val="21"/>
                <w:highlight w:val="none"/>
              </w:rPr>
            </w:pPr>
            <w:r>
              <w:rPr>
                <w:rFonts w:hint="eastAsia"/>
                <w:color w:val="auto"/>
                <w:sz w:val="21"/>
                <w:highlight w:val="none"/>
              </w:rPr>
              <w:t>14.6</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adjustRightInd w:val="0"/>
              <w:snapToGrid w:val="0"/>
              <w:spacing w:line="300" w:lineRule="auto"/>
              <w:jc w:val="both"/>
              <w:rPr>
                <w:color w:val="auto"/>
                <w:sz w:val="21"/>
                <w:highlight w:val="none"/>
              </w:rPr>
            </w:pPr>
            <w:r>
              <w:rPr>
                <w:rFonts w:hint="eastAsia"/>
                <w:color w:val="auto"/>
                <w:sz w:val="21"/>
                <w:highlight w:val="none"/>
              </w:rPr>
              <w:t>承包人设立试验室的相关要求：必须满足《辽宁省公路水运工程建设项目工地试</w:t>
            </w:r>
            <w:r>
              <w:rPr>
                <w:rFonts w:hint="eastAsia"/>
                <w:color w:val="auto"/>
                <w:spacing w:val="-15"/>
                <w:sz w:val="21"/>
                <w:highlight w:val="none"/>
              </w:rPr>
              <w:t>验室备案管理标准》</w:t>
            </w:r>
            <w:r>
              <w:rPr>
                <w:rFonts w:hint="eastAsia"/>
                <w:color w:val="auto"/>
                <w:sz w:val="21"/>
                <w:highlight w:val="none"/>
              </w:rPr>
              <w:t>（</w:t>
            </w:r>
            <w:r>
              <w:rPr>
                <w:rFonts w:hint="eastAsia"/>
                <w:color w:val="auto"/>
                <w:spacing w:val="-3"/>
                <w:sz w:val="21"/>
                <w:highlight w:val="none"/>
              </w:rPr>
              <w:t>辽交工监市发〔</w:t>
            </w:r>
            <w:r>
              <w:rPr>
                <w:rFonts w:hint="eastAsia"/>
                <w:color w:val="auto"/>
                <w:sz w:val="21"/>
                <w:highlight w:val="none"/>
              </w:rPr>
              <w:t xml:space="preserve">2013〕133 </w:t>
            </w:r>
            <w:r>
              <w:rPr>
                <w:rFonts w:hint="eastAsia"/>
                <w:color w:val="auto"/>
                <w:spacing w:val="-3"/>
                <w:sz w:val="21"/>
                <w:highlight w:val="none"/>
              </w:rPr>
              <w:t>号</w:t>
            </w:r>
            <w:r>
              <w:rPr>
                <w:rFonts w:hint="eastAsia"/>
                <w:color w:val="auto"/>
                <w:spacing w:val="-108"/>
                <w:sz w:val="21"/>
                <w:highlight w:val="none"/>
              </w:rPr>
              <w:t>）</w:t>
            </w:r>
            <w:r>
              <w:rPr>
                <w:rFonts w:hint="eastAsia"/>
                <w:color w:val="auto"/>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40</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both"/>
              <w:rPr>
                <w:color w:val="auto"/>
                <w:sz w:val="21"/>
                <w:highlight w:val="none"/>
              </w:rPr>
            </w:pPr>
            <w:r>
              <w:rPr>
                <w:rFonts w:hint="eastAsia"/>
                <w:color w:val="auto"/>
                <w:sz w:val="21"/>
                <w:highlight w:val="none"/>
              </w:rPr>
              <w:t>15.3.4</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adjustRightInd w:val="0"/>
              <w:snapToGrid w:val="0"/>
              <w:spacing w:line="300" w:lineRule="auto"/>
              <w:jc w:val="both"/>
              <w:rPr>
                <w:color w:val="auto"/>
                <w:sz w:val="21"/>
                <w:highlight w:val="none"/>
              </w:rPr>
            </w:pPr>
            <w:r>
              <w:rPr>
                <w:rFonts w:hint="eastAsia"/>
                <w:color w:val="auto"/>
                <w:spacing w:val="-3"/>
                <w:sz w:val="21"/>
                <w:highlight w:val="none"/>
              </w:rPr>
              <w:t>本项目设计变更的程序按行业主管部门、项目管理法人制定的规定执行。</w:t>
            </w:r>
          </w:p>
          <w:p>
            <w:pPr>
              <w:pStyle w:val="87"/>
              <w:adjustRightInd w:val="0"/>
              <w:snapToGrid w:val="0"/>
              <w:spacing w:line="300" w:lineRule="auto"/>
              <w:jc w:val="both"/>
              <w:rPr>
                <w:color w:val="auto"/>
                <w:sz w:val="21"/>
                <w:highlight w:val="none"/>
              </w:rPr>
            </w:pPr>
            <w:r>
              <w:rPr>
                <w:rFonts w:hint="eastAsia"/>
                <w:color w:val="auto"/>
                <w:spacing w:val="-3"/>
                <w:sz w:val="21"/>
                <w:highlight w:val="none"/>
              </w:rPr>
              <w:t>除设计变更外，其他合同工程费用增减的审批程序参照上述规定的执行。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69"/>
              <w:ind w:left="35" w:right="26"/>
              <w:jc w:val="both"/>
              <w:rPr>
                <w:color w:val="auto"/>
                <w:sz w:val="21"/>
                <w:highlight w:val="none"/>
                <w:lang w:val="en-US"/>
              </w:rPr>
            </w:pPr>
            <w:r>
              <w:rPr>
                <w:rFonts w:hint="eastAsia"/>
                <w:color w:val="auto"/>
                <w:sz w:val="21"/>
                <w:highlight w:val="none"/>
                <w:lang w:val="en-US"/>
              </w:rPr>
              <w:t>41</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57"/>
              <w:ind w:left="104" w:right="90"/>
              <w:jc w:val="both"/>
              <w:rPr>
                <w:color w:val="auto"/>
                <w:sz w:val="21"/>
                <w:highlight w:val="none"/>
              </w:rPr>
            </w:pPr>
            <w:r>
              <w:rPr>
                <w:rFonts w:hint="eastAsia"/>
                <w:color w:val="auto"/>
                <w:sz w:val="21"/>
                <w:highlight w:val="none"/>
              </w:rPr>
              <w:t>15.3.5</w:t>
            </w:r>
          </w:p>
        </w:tc>
        <w:tc>
          <w:tcPr>
            <w:tcW w:w="7780" w:type="dxa"/>
            <w:tcBorders>
              <w:top w:val="single" w:color="000000" w:sz="2" w:space="0"/>
              <w:left w:val="single" w:color="000000" w:sz="2" w:space="0"/>
              <w:bottom w:val="single" w:color="000000" w:sz="2" w:space="0"/>
              <w:right w:val="single" w:color="000000" w:sz="8" w:space="0"/>
            </w:tcBorders>
            <w:vAlign w:val="center"/>
          </w:tcPr>
          <w:p>
            <w:pPr>
              <w:adjustRightInd w:val="0"/>
              <w:snapToGrid w:val="0"/>
              <w:spacing w:line="264" w:lineRule="auto"/>
              <w:ind w:firstLine="280" w:firstLineChars="100"/>
              <w:rPr>
                <w:color w:val="auto"/>
                <w:szCs w:val="21"/>
                <w:highlight w:val="none"/>
              </w:rPr>
            </w:pPr>
            <w:r>
              <w:rPr>
                <w:rFonts w:hint="eastAsia" w:ascii="方正行楷简体" w:hAnsi="方正行楷简体" w:eastAsia="方正行楷简体" w:cs="方正行楷简体"/>
                <w:color w:val="auto"/>
                <w:sz w:val="28"/>
                <w:szCs w:val="28"/>
                <w:highlight w:val="none"/>
                <w:lang w:val="en-US"/>
              </w:rPr>
              <w:t>采用总价合同方式的养护工程，可约定为：</w:t>
            </w:r>
          </w:p>
          <w:p>
            <w:pPr>
              <w:pStyle w:val="263"/>
              <w:adjustRightInd w:val="0"/>
              <w:snapToGrid w:val="0"/>
              <w:spacing w:line="264" w:lineRule="auto"/>
              <w:ind w:firstLine="210" w:firstLineChars="100"/>
              <w:jc w:val="both"/>
              <w:rPr>
                <w:color w:val="auto"/>
                <w:sz w:val="21"/>
                <w:szCs w:val="21"/>
                <w:highlight w:val="none"/>
              </w:rPr>
            </w:pPr>
            <w:r>
              <w:rPr>
                <w:color w:val="auto"/>
                <w:sz w:val="21"/>
                <w:szCs w:val="21"/>
                <w:highlight w:val="none"/>
              </w:rPr>
              <w:t>除本合同第</w:t>
            </w:r>
            <w:r>
              <w:rPr>
                <w:rFonts w:ascii="Times New Roman" w:hAnsi="Times New Roman" w:eastAsia="Times New Roman" w:cs="Times New Roman"/>
                <w:color w:val="auto"/>
                <w:sz w:val="21"/>
                <w:szCs w:val="21"/>
                <w:highlight w:val="none"/>
                <w:lang w:val="en-US" w:eastAsia="zh-CN" w:bidi="en-US"/>
              </w:rPr>
              <w:t>15.4</w:t>
            </w:r>
            <w:r>
              <w:rPr>
                <w:color w:val="auto"/>
                <w:sz w:val="21"/>
                <w:szCs w:val="21"/>
                <w:highlight w:val="none"/>
              </w:rPr>
              <w:t>款约定外，发包人应付承包人的工程施工价款不予调整。</w:t>
            </w:r>
          </w:p>
          <w:p>
            <w:pPr>
              <w:pStyle w:val="87"/>
              <w:adjustRightInd w:val="0"/>
              <w:snapToGrid w:val="0"/>
              <w:spacing w:line="264" w:lineRule="auto"/>
              <w:ind w:right="36" w:firstLine="210" w:firstLineChars="100"/>
              <w:jc w:val="both"/>
              <w:rPr>
                <w:color w:val="auto"/>
                <w:sz w:val="21"/>
                <w:highlight w:val="none"/>
              </w:rPr>
            </w:pPr>
            <w:r>
              <w:rPr>
                <w:color w:val="auto"/>
                <w:sz w:val="21"/>
                <w:szCs w:val="21"/>
                <w:highlight w:val="none"/>
              </w:rPr>
              <w:t>但如承包人减少工程量的变更未办理相关手续，发包人有权从应付承包人的工 程施工价款中扣减相关费用。本项目工程变更应按本款规定办理相关手续</w:t>
            </w:r>
            <w:r>
              <w:rPr>
                <w:rFonts w:hint="eastAsia"/>
                <w:color w:val="auto"/>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both"/>
              <w:rPr>
                <w:color w:val="auto"/>
                <w:sz w:val="21"/>
                <w:highlight w:val="none"/>
                <w:lang w:val="en-US"/>
              </w:rPr>
            </w:pPr>
            <w:r>
              <w:rPr>
                <w:rFonts w:hint="eastAsia"/>
                <w:color w:val="auto"/>
                <w:sz w:val="21"/>
                <w:highlight w:val="none"/>
                <w:lang w:val="en-US"/>
              </w:rPr>
              <w:t>42</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both"/>
              <w:rPr>
                <w:color w:val="auto"/>
                <w:sz w:val="21"/>
                <w:highlight w:val="none"/>
              </w:rPr>
            </w:pPr>
            <w:r>
              <w:rPr>
                <w:rFonts w:hint="eastAsia"/>
                <w:color w:val="auto"/>
                <w:sz w:val="21"/>
                <w:highlight w:val="none"/>
              </w:rPr>
              <w:t>15.4</w:t>
            </w:r>
          </w:p>
        </w:tc>
        <w:tc>
          <w:tcPr>
            <w:tcW w:w="7780" w:type="dxa"/>
            <w:tcBorders>
              <w:top w:val="single" w:color="000000" w:sz="2" w:space="0"/>
              <w:left w:val="single" w:color="000000" w:sz="2" w:space="0"/>
              <w:bottom w:val="single" w:color="000000" w:sz="2" w:space="0"/>
              <w:right w:val="single" w:color="000000" w:sz="8" w:space="0"/>
            </w:tcBorders>
            <w:vAlign w:val="center"/>
          </w:tcPr>
          <w:p>
            <w:pPr>
              <w:pStyle w:val="87"/>
              <w:tabs>
                <w:tab w:val="left" w:pos="961"/>
              </w:tabs>
              <w:adjustRightInd w:val="0"/>
              <w:snapToGrid w:val="0"/>
              <w:spacing w:line="288" w:lineRule="auto"/>
              <w:ind w:right="79" w:firstLine="280" w:firstLineChars="100"/>
              <w:jc w:val="both"/>
              <w:rPr>
                <w:color w:val="auto"/>
                <w:spacing w:val="-3"/>
                <w:sz w:val="21"/>
                <w:highlight w:val="none"/>
              </w:rPr>
            </w:pPr>
            <w:r>
              <w:rPr>
                <w:rFonts w:hint="eastAsia" w:ascii="方正行楷简体" w:hAnsi="方正行楷简体" w:eastAsia="方正行楷简体" w:cs="方正行楷简体"/>
                <w:color w:val="auto"/>
                <w:sz w:val="28"/>
                <w:szCs w:val="28"/>
                <w:highlight w:val="none"/>
                <w:lang w:val="en-US"/>
              </w:rPr>
              <w:t>采用总价合同方式的养护工程，可约定为：</w:t>
            </w:r>
          </w:p>
          <w:p>
            <w:pPr>
              <w:pStyle w:val="87"/>
              <w:tabs>
                <w:tab w:val="left" w:pos="961"/>
              </w:tabs>
              <w:adjustRightInd w:val="0"/>
              <w:snapToGrid w:val="0"/>
              <w:spacing w:line="288" w:lineRule="auto"/>
              <w:ind w:right="79" w:firstLine="204" w:firstLineChars="100"/>
              <w:jc w:val="both"/>
              <w:rPr>
                <w:color w:val="auto"/>
                <w:sz w:val="21"/>
                <w:highlight w:val="none"/>
              </w:rPr>
            </w:pPr>
            <w:r>
              <w:rPr>
                <w:rFonts w:hint="eastAsia"/>
                <w:color w:val="auto"/>
                <w:spacing w:val="-3"/>
                <w:sz w:val="21"/>
                <w:highlight w:val="none"/>
              </w:rPr>
              <w:t>15.4.1出现施工图设计文件本身存在错误和缺陷，导致施工图设计文件必须修改和补充所导致的变更，由发包人上报项目管理法人。仅当项目管理法人对上述变更批准同意后，方可作为本合同工程的变更情形。</w:t>
            </w:r>
          </w:p>
          <w:p>
            <w:pPr>
              <w:pStyle w:val="87"/>
              <w:tabs>
                <w:tab w:val="left" w:pos="961"/>
              </w:tabs>
              <w:adjustRightInd w:val="0"/>
              <w:snapToGrid w:val="0"/>
              <w:spacing w:line="288" w:lineRule="auto"/>
              <w:ind w:firstLine="204" w:firstLineChars="100"/>
              <w:jc w:val="both"/>
              <w:rPr>
                <w:color w:val="auto"/>
                <w:sz w:val="21"/>
                <w:highlight w:val="none"/>
              </w:rPr>
            </w:pPr>
            <w:r>
              <w:rPr>
                <w:rFonts w:hint="eastAsia"/>
                <w:color w:val="auto"/>
                <w:spacing w:val="-3"/>
                <w:sz w:val="21"/>
                <w:highlight w:val="none"/>
              </w:rPr>
              <w:t>15.4.2承包人填报的已标价工程量清单中，不论是否有适用于变更工作的子目或</w:t>
            </w:r>
            <w:r>
              <w:rPr>
                <w:rFonts w:hint="eastAsia"/>
                <w:color w:val="auto"/>
                <w:sz w:val="21"/>
                <w:highlight w:val="none"/>
              </w:rPr>
              <w:t>类似子目，均只作为确定变更工作单价的参考，不直接作为变更工作的单价。</w:t>
            </w:r>
          </w:p>
          <w:p>
            <w:pPr>
              <w:pStyle w:val="87"/>
              <w:tabs>
                <w:tab w:val="left" w:pos="959"/>
              </w:tabs>
              <w:adjustRightInd w:val="0"/>
              <w:snapToGrid w:val="0"/>
              <w:spacing w:line="288" w:lineRule="auto"/>
              <w:ind w:right="-29" w:firstLine="204" w:firstLineChars="100"/>
              <w:rPr>
                <w:color w:val="auto"/>
                <w:sz w:val="21"/>
                <w:highlight w:val="none"/>
              </w:rPr>
            </w:pPr>
            <w:r>
              <w:rPr>
                <w:rFonts w:hint="eastAsia"/>
                <w:color w:val="auto"/>
                <w:spacing w:val="-3"/>
                <w:sz w:val="21"/>
                <w:highlight w:val="none"/>
              </w:rPr>
              <w:t>15.4.3本合同工程变更工作</w:t>
            </w:r>
            <w:r>
              <w:rPr>
                <w:rFonts w:hint="eastAsia"/>
                <w:color w:val="auto"/>
                <w:sz w:val="21"/>
                <w:highlight w:val="none"/>
              </w:rPr>
              <w:t>（</w:t>
            </w:r>
            <w:r>
              <w:rPr>
                <w:rFonts w:hint="eastAsia"/>
                <w:color w:val="auto"/>
                <w:spacing w:val="-3"/>
                <w:sz w:val="21"/>
                <w:highlight w:val="none"/>
              </w:rPr>
              <w:t>增或减</w:t>
            </w:r>
            <w:r>
              <w:rPr>
                <w:rFonts w:hint="eastAsia"/>
                <w:color w:val="auto"/>
                <w:sz w:val="21"/>
                <w:highlight w:val="none"/>
              </w:rPr>
              <w:t>）</w:t>
            </w:r>
            <w:r>
              <w:rPr>
                <w:rFonts w:hint="eastAsia"/>
                <w:color w:val="auto"/>
                <w:spacing w:val="-3"/>
                <w:sz w:val="21"/>
                <w:highlight w:val="none"/>
              </w:rPr>
              <w:t>的单价，由承包人提出并经监理人、发包</w:t>
            </w:r>
            <w:r>
              <w:rPr>
                <w:rFonts w:hint="eastAsia"/>
                <w:color w:val="auto"/>
                <w:spacing w:val="-9"/>
                <w:sz w:val="21"/>
                <w:highlight w:val="none"/>
              </w:rPr>
              <w:t>人确认后上报项目管理法人，项目管理法人根据各级政府部门、交通运输</w:t>
            </w:r>
            <w:r>
              <w:rPr>
                <w:rFonts w:hint="eastAsia"/>
                <w:color w:val="auto"/>
                <w:sz w:val="21"/>
                <w:highlight w:val="none"/>
              </w:rPr>
              <w:t>（</w:t>
            </w:r>
            <w:r>
              <w:rPr>
                <w:rFonts w:hint="eastAsia"/>
                <w:color w:val="auto"/>
                <w:spacing w:val="-2"/>
                <w:sz w:val="21"/>
                <w:highlight w:val="none"/>
              </w:rPr>
              <w:t>或住建</w:t>
            </w:r>
            <w:r>
              <w:rPr>
                <w:rFonts w:hint="eastAsia"/>
                <w:color w:val="auto"/>
                <w:sz w:val="21"/>
                <w:highlight w:val="none"/>
              </w:rPr>
              <w:t xml:space="preserve">） </w:t>
            </w:r>
            <w:r>
              <w:rPr>
                <w:rFonts w:hint="eastAsia"/>
                <w:color w:val="auto"/>
                <w:spacing w:val="-10"/>
                <w:sz w:val="21"/>
                <w:highlight w:val="none"/>
              </w:rPr>
              <w:t>主管部门及其造价管理部门、财政主管部门、税务主管部门等现行的预算编制办法、</w:t>
            </w:r>
            <w:r>
              <w:rPr>
                <w:rFonts w:hint="eastAsia"/>
                <w:color w:val="auto"/>
                <w:spacing w:val="-5"/>
                <w:sz w:val="21"/>
                <w:highlight w:val="none"/>
              </w:rPr>
              <w:t>定额、计价计费规则、以及发包人招标时编制的最高投标限价文件以及承包人的投</w:t>
            </w:r>
            <w:r>
              <w:rPr>
                <w:rFonts w:hint="eastAsia"/>
                <w:color w:val="auto"/>
                <w:spacing w:val="-4"/>
                <w:sz w:val="21"/>
                <w:highlight w:val="none"/>
              </w:rPr>
              <w:t>标报价、投标预算书等进行审核，并综合承包人、监理人、发包人等各方意见后确</w:t>
            </w:r>
            <w:r>
              <w:rPr>
                <w:rFonts w:hint="eastAsia"/>
                <w:color w:val="auto"/>
                <w:spacing w:val="-3"/>
                <w:sz w:val="21"/>
                <w:highlight w:val="none"/>
              </w:rPr>
              <w:t>定变更工作的单价。</w:t>
            </w:r>
          </w:p>
          <w:p>
            <w:pPr>
              <w:pStyle w:val="87"/>
              <w:tabs>
                <w:tab w:val="left" w:pos="906"/>
              </w:tabs>
              <w:adjustRightInd w:val="0"/>
              <w:snapToGrid w:val="0"/>
              <w:spacing w:line="288" w:lineRule="auto"/>
              <w:ind w:right="86" w:firstLine="200" w:firstLineChars="100"/>
              <w:rPr>
                <w:color w:val="auto"/>
                <w:sz w:val="21"/>
                <w:highlight w:val="none"/>
              </w:rPr>
            </w:pPr>
            <w:r>
              <w:rPr>
                <w:rFonts w:hint="eastAsia"/>
                <w:color w:val="auto"/>
                <w:spacing w:val="-5"/>
                <w:sz w:val="21"/>
                <w:highlight w:val="none"/>
              </w:rPr>
              <w:t>15.4.4根据变更工程量</w:t>
            </w:r>
            <w:r>
              <w:rPr>
                <w:rFonts w:hint="eastAsia"/>
                <w:color w:val="auto"/>
                <w:spacing w:val="-3"/>
                <w:sz w:val="21"/>
                <w:highlight w:val="none"/>
              </w:rPr>
              <w:t>（</w:t>
            </w:r>
            <w:r>
              <w:rPr>
                <w:rFonts w:hint="eastAsia"/>
                <w:color w:val="auto"/>
                <w:spacing w:val="-2"/>
                <w:sz w:val="21"/>
                <w:highlight w:val="none"/>
              </w:rPr>
              <w:t>增或减</w:t>
            </w:r>
            <w:r>
              <w:rPr>
                <w:rFonts w:hint="eastAsia"/>
                <w:color w:val="auto"/>
                <w:spacing w:val="-108"/>
                <w:sz w:val="21"/>
                <w:highlight w:val="none"/>
              </w:rPr>
              <w:t>）</w:t>
            </w:r>
            <w:r>
              <w:rPr>
                <w:rFonts w:hint="eastAsia"/>
                <w:color w:val="auto"/>
                <w:spacing w:val="-8"/>
                <w:sz w:val="21"/>
                <w:highlight w:val="none"/>
              </w:rPr>
              <w:t>、变更单价计算合同价格的变更</w:t>
            </w:r>
            <w:r>
              <w:rPr>
                <w:rFonts w:hint="eastAsia"/>
                <w:color w:val="auto"/>
                <w:spacing w:val="-2"/>
                <w:sz w:val="21"/>
                <w:highlight w:val="none"/>
              </w:rPr>
              <w:t>总价，并对</w:t>
            </w:r>
            <w:r>
              <w:rPr>
                <w:rFonts w:hint="eastAsia"/>
                <w:color w:val="auto"/>
                <w:sz w:val="21"/>
                <w:highlight w:val="none"/>
              </w:rPr>
              <w:t>签约合同价</w:t>
            </w:r>
            <w:r>
              <w:rPr>
                <w:rFonts w:hint="eastAsia"/>
                <w:color w:val="auto"/>
                <w:spacing w:val="-3"/>
                <w:sz w:val="21"/>
                <w:highlight w:val="none"/>
              </w:rPr>
              <w:t>进行调整。</w:t>
            </w:r>
            <w:r>
              <w:rPr>
                <w:rFonts w:hint="eastAsia"/>
                <w:color w:val="auto"/>
                <w:sz w:val="21"/>
                <w:highlight w:val="none"/>
              </w:rPr>
              <w:t xml:space="preserve"> </w:t>
            </w:r>
          </w:p>
          <w:p>
            <w:pPr>
              <w:pStyle w:val="87"/>
              <w:tabs>
                <w:tab w:val="left" w:pos="961"/>
              </w:tabs>
              <w:adjustRightInd w:val="0"/>
              <w:snapToGrid w:val="0"/>
              <w:spacing w:line="288" w:lineRule="auto"/>
              <w:ind w:firstLine="204" w:firstLineChars="100"/>
              <w:jc w:val="both"/>
              <w:rPr>
                <w:color w:val="auto"/>
                <w:sz w:val="21"/>
                <w:szCs w:val="21"/>
                <w:highlight w:val="none"/>
              </w:rPr>
            </w:pPr>
            <w:r>
              <w:rPr>
                <w:rFonts w:hint="eastAsia"/>
                <w:color w:val="auto"/>
                <w:spacing w:val="-3"/>
                <w:sz w:val="21"/>
                <w:highlight w:val="none"/>
              </w:rPr>
              <w:t>15.4.5如审计方对变更引起的“承包人工程施工价款</w:t>
            </w:r>
            <w:r>
              <w:rPr>
                <w:rFonts w:hint="eastAsia"/>
                <w:color w:val="auto"/>
                <w:sz w:val="21"/>
                <w:highlight w:val="none"/>
              </w:rPr>
              <w:t>”</w:t>
            </w:r>
            <w:r>
              <w:rPr>
                <w:rFonts w:hint="eastAsia"/>
                <w:color w:val="auto"/>
                <w:spacing w:val="-3"/>
                <w:sz w:val="21"/>
                <w:highlight w:val="none"/>
              </w:rPr>
              <w:t>调整出具了审计意见，则</w:t>
            </w:r>
            <w:r>
              <w:rPr>
                <w:rFonts w:hint="eastAsia"/>
                <w:color w:val="auto"/>
                <w:sz w:val="21"/>
                <w:highlight w:val="none"/>
              </w:rPr>
              <w:t>以审计方最终核定的金额为准。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43</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15.5.2</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88" w:lineRule="auto"/>
              <w:ind w:firstLine="210" w:firstLineChars="100"/>
              <w:rPr>
                <w:color w:val="auto"/>
                <w:sz w:val="21"/>
                <w:szCs w:val="21"/>
                <w:highlight w:val="none"/>
              </w:rPr>
            </w:pPr>
            <w:r>
              <w:rPr>
                <w:rFonts w:hint="eastAsia"/>
                <w:color w:val="auto"/>
                <w:sz w:val="21"/>
                <w:highlight w:val="none"/>
              </w:rPr>
              <w:t>承包人提出的合理化建议降低了合同价格或者提高了工程经济效益的，发包人按所节</w:t>
            </w:r>
            <w:r>
              <w:rPr>
                <w:rFonts w:hint="eastAsia"/>
                <w:color w:val="auto"/>
                <w:spacing w:val="-3"/>
                <w:sz w:val="21"/>
                <w:highlight w:val="none"/>
              </w:rPr>
              <w:t>约</w:t>
            </w:r>
            <w:r>
              <w:rPr>
                <w:rFonts w:hint="eastAsia"/>
                <w:color w:val="auto"/>
                <w:sz w:val="21"/>
                <w:highlight w:val="none"/>
              </w:rPr>
              <w:t>成</w:t>
            </w:r>
            <w:r>
              <w:rPr>
                <w:rFonts w:hint="eastAsia"/>
                <w:color w:val="auto"/>
                <w:spacing w:val="-3"/>
                <w:sz w:val="21"/>
                <w:highlight w:val="none"/>
              </w:rPr>
              <w:t>本</w:t>
            </w:r>
            <w:r>
              <w:rPr>
                <w:rFonts w:hint="eastAsia"/>
                <w:color w:val="auto"/>
                <w:sz w:val="21"/>
                <w:highlight w:val="none"/>
              </w:rPr>
              <w:t>的</w:t>
            </w:r>
            <w:r>
              <w:rPr>
                <w:rFonts w:hint="eastAsia"/>
                <w:color w:val="auto"/>
                <w:sz w:val="21"/>
                <w:highlight w:val="none"/>
                <w:u w:val="single"/>
              </w:rPr>
              <w:t xml:space="preserve"> </w:t>
            </w:r>
            <w:r>
              <w:rPr>
                <w:rFonts w:hint="eastAsia"/>
                <w:color w:val="auto"/>
                <w:spacing w:val="4"/>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z w:val="21"/>
                <w:highlight w:val="none"/>
              </w:rPr>
              <w:t>%</w:t>
            </w:r>
            <w:r>
              <w:rPr>
                <w:rFonts w:hint="eastAsia"/>
                <w:color w:val="auto"/>
                <w:spacing w:val="-3"/>
                <w:sz w:val="21"/>
                <w:highlight w:val="none"/>
              </w:rPr>
              <w:t>或增</w:t>
            </w:r>
            <w:r>
              <w:rPr>
                <w:rFonts w:hint="eastAsia"/>
                <w:color w:val="auto"/>
                <w:sz w:val="21"/>
                <w:highlight w:val="none"/>
              </w:rPr>
              <w:t>加收</w:t>
            </w:r>
            <w:r>
              <w:rPr>
                <w:rFonts w:hint="eastAsia"/>
                <w:color w:val="auto"/>
                <w:spacing w:val="-3"/>
                <w:sz w:val="21"/>
                <w:highlight w:val="none"/>
              </w:rPr>
              <w:t>益</w:t>
            </w:r>
            <w:r>
              <w:rPr>
                <w:rFonts w:hint="eastAsia"/>
                <w:color w:val="auto"/>
                <w:sz w:val="21"/>
                <w:highlight w:val="none"/>
              </w:rPr>
              <w:t>的</w:t>
            </w:r>
            <w:r>
              <w:rPr>
                <w:rFonts w:hint="eastAsia"/>
                <w:color w:val="auto"/>
                <w:sz w:val="21"/>
                <w:highlight w:val="none"/>
                <w:u w:val="single"/>
              </w:rPr>
              <w:t xml:space="preserve"> </w:t>
            </w:r>
            <w:r>
              <w:rPr>
                <w:rFonts w:hint="eastAsia"/>
                <w:color w:val="auto"/>
                <w:spacing w:val="6"/>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z w:val="21"/>
                <w:highlight w:val="none"/>
              </w:rPr>
              <w:t>%</w:t>
            </w:r>
            <w:r>
              <w:rPr>
                <w:rFonts w:hint="eastAsia"/>
                <w:color w:val="auto"/>
                <w:spacing w:val="-3"/>
                <w:sz w:val="21"/>
                <w:highlight w:val="none"/>
              </w:rPr>
              <w:t>给</w:t>
            </w:r>
            <w:r>
              <w:rPr>
                <w:rFonts w:hint="eastAsia"/>
                <w:color w:val="auto"/>
                <w:sz w:val="21"/>
                <w:highlight w:val="none"/>
              </w:rPr>
              <w:t>予</w:t>
            </w:r>
            <w:r>
              <w:rPr>
                <w:rFonts w:hint="eastAsia"/>
                <w:color w:val="auto"/>
                <w:spacing w:val="-3"/>
                <w:sz w:val="21"/>
                <w:highlight w:val="none"/>
              </w:rPr>
              <w:t>奖</w:t>
            </w:r>
            <w:r>
              <w:rPr>
                <w:rFonts w:hint="eastAsia"/>
                <w:color w:val="auto"/>
                <w:sz w:val="21"/>
                <w:highlight w:val="none"/>
              </w:rPr>
              <w:t>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44</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16.1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88" w:lineRule="auto"/>
              <w:rPr>
                <w:color w:val="auto"/>
                <w:sz w:val="21"/>
                <w:highlight w:val="none"/>
              </w:rPr>
            </w:pPr>
            <w:r>
              <w:rPr>
                <w:rFonts w:hint="eastAsia"/>
                <w:color w:val="auto"/>
                <w:sz w:val="21"/>
                <w:highlight w:val="none"/>
              </w:rPr>
              <w:t>□</w:t>
            </w:r>
            <w:r>
              <w:rPr>
                <w:rFonts w:hint="eastAsia"/>
                <w:color w:val="auto"/>
                <w:spacing w:val="-3"/>
                <w:sz w:val="21"/>
                <w:highlight w:val="none"/>
              </w:rPr>
              <w:t>因物价波动引起的价格调整按照</w:t>
            </w:r>
            <w:r>
              <w:rPr>
                <w:rFonts w:hint="eastAsia"/>
                <w:color w:val="auto"/>
                <w:spacing w:val="-3"/>
                <w:sz w:val="21"/>
                <w:highlight w:val="none"/>
                <w:u w:val="single"/>
              </w:rPr>
              <w:t xml:space="preserve"> </w:t>
            </w:r>
            <w:r>
              <w:rPr>
                <w:rFonts w:hint="eastAsia"/>
                <w:color w:val="auto"/>
                <w:sz w:val="21"/>
                <w:highlight w:val="none"/>
                <w:u w:val="single"/>
              </w:rPr>
              <w:t xml:space="preserve">/ </w:t>
            </w:r>
            <w:r>
              <w:rPr>
                <w:rFonts w:hint="eastAsia"/>
                <w:color w:val="auto"/>
                <w:spacing w:val="-3"/>
                <w:sz w:val="21"/>
                <w:highlight w:val="none"/>
              </w:rPr>
              <w:t>约定的原则处理</w:t>
            </w:r>
          </w:p>
          <w:p>
            <w:pPr>
              <w:pStyle w:val="87"/>
              <w:adjustRightInd w:val="0"/>
              <w:snapToGrid w:val="0"/>
              <w:spacing w:line="288" w:lineRule="auto"/>
              <w:ind w:right="81"/>
              <w:rPr>
                <w:color w:val="auto"/>
                <w:sz w:val="21"/>
                <w:szCs w:val="21"/>
                <w:highlight w:val="none"/>
              </w:rPr>
            </w:pPr>
            <w:r>
              <w:rPr>
                <w:rFonts w:hint="eastAsia" w:ascii="MS Gothic" w:hAnsi="MS Gothic" w:eastAsia="MS Gothic" w:cs="MS Gothic"/>
                <w:color w:val="auto"/>
                <w:sz w:val="21"/>
                <w:szCs w:val="21"/>
                <w:highlight w:val="none"/>
              </w:rPr>
              <w:t>☑</w:t>
            </w:r>
            <w:r>
              <w:rPr>
                <w:rFonts w:hint="eastAsia"/>
                <w:color w:val="auto"/>
                <w:spacing w:val="-5"/>
                <w:sz w:val="21"/>
                <w:highlight w:val="none"/>
              </w:rPr>
              <w:t>合同期内不调价，因物价波动引起的价格调整本合同不予考虑</w:t>
            </w:r>
            <w:r>
              <w:rPr>
                <w:rFonts w:hint="eastAsia"/>
                <w:color w:val="auto"/>
                <w:sz w:val="21"/>
                <w:highlight w:val="none"/>
              </w:rPr>
              <w:t>。</w:t>
            </w:r>
          </w:p>
        </w:tc>
      </w:tr>
    </w:tbl>
    <w:p>
      <w:pPr>
        <w:pStyle w:val="267"/>
        <w:rPr>
          <w:color w:val="auto"/>
          <w:highlight w:val="none"/>
        </w:rPr>
        <w:sectPr>
          <w:pgSz w:w="11906" w:h="16838"/>
          <w:pgMar w:top="1440" w:right="991" w:bottom="1440" w:left="1418" w:header="851" w:footer="992" w:gutter="0"/>
          <w:cols w:space="720" w:num="1"/>
          <w:docGrid w:type="lines" w:linePitch="312" w:charSpace="0"/>
        </w:sectPr>
      </w:pPr>
    </w:p>
    <w:tbl>
      <w:tblPr>
        <w:tblStyle w:val="47"/>
        <w:tblW w:w="9610" w:type="dxa"/>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295"/>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295"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45</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16.</w:t>
            </w:r>
            <w:r>
              <w:rPr>
                <w:rFonts w:hint="eastAsia"/>
                <w:color w:val="auto"/>
                <w:sz w:val="21"/>
                <w:highlight w:val="none"/>
                <w:lang w:val="en-US"/>
              </w:rPr>
              <w:t>3</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88" w:lineRule="auto"/>
              <w:ind w:right="81" w:firstLine="220" w:firstLineChars="100"/>
              <w:rPr>
                <w:rFonts w:ascii="MS Gothic" w:hAnsi="MS Gothic" w:cs="MS Gothic"/>
                <w:color w:val="auto"/>
                <w:sz w:val="21"/>
                <w:szCs w:val="21"/>
                <w:highlight w:val="none"/>
                <w:lang w:val="en-US"/>
              </w:rPr>
            </w:pPr>
            <w:r>
              <w:rPr>
                <w:color w:val="auto"/>
                <w:highlight w:val="none"/>
              </w:rPr>
              <w:t>除非发包人和监理人专门批准，如果本工程技术规范和图纸标准低于国家和行业标准，则应按国家和行业标准执行，承包人由此增加的费用，出资人不另行计量支付</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46</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16.</w:t>
            </w:r>
            <w:r>
              <w:rPr>
                <w:rFonts w:hint="eastAsia"/>
                <w:color w:val="auto"/>
                <w:sz w:val="21"/>
                <w:highlight w:val="none"/>
                <w:lang w:val="en-US"/>
              </w:rPr>
              <w:t>4</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ind w:right="79" w:firstLine="220" w:firstLineChars="100"/>
              <w:rPr>
                <w:color w:val="auto"/>
                <w:highlight w:val="none"/>
              </w:rPr>
            </w:pPr>
            <w:r>
              <w:rPr>
                <w:color w:val="auto"/>
                <w:highlight w:val="none"/>
              </w:rPr>
              <w:t>承包人应充分考虑</w:t>
            </w:r>
            <w:r>
              <w:rPr>
                <w:rFonts w:hint="eastAsia"/>
                <w:color w:val="auto"/>
                <w:highlight w:val="none"/>
                <w:lang w:val="en-US"/>
              </w:rPr>
              <w:t>新冠</w:t>
            </w:r>
            <w:r>
              <w:rPr>
                <w:color w:val="auto"/>
                <w:highlight w:val="none"/>
              </w:rPr>
              <w:t>肺炎疫情的影响，除非出资人另行追加本工程投资，否则由此</w:t>
            </w:r>
            <w:r>
              <w:rPr>
                <w:rFonts w:hint="eastAsia"/>
                <w:color w:val="auto"/>
                <w:highlight w:val="none"/>
                <w:lang w:val="en-US"/>
              </w:rPr>
              <w:t>产生</w:t>
            </w:r>
            <w:r>
              <w:rPr>
                <w:color w:val="auto"/>
                <w:highlight w:val="none"/>
              </w:rPr>
              <w:t>的相关费用均由承包人承担，出资人</w:t>
            </w:r>
            <w:r>
              <w:rPr>
                <w:rFonts w:hint="eastAsia"/>
                <w:color w:val="auto"/>
                <w:highlight w:val="none"/>
                <w:lang w:val="en-US"/>
              </w:rPr>
              <w:t>不再</w:t>
            </w:r>
            <w:r>
              <w:rPr>
                <w:color w:val="auto"/>
                <w:highlight w:val="none"/>
              </w:rPr>
              <w:t>另行支付。相关费用包括但不限于:(1)根据国家和项目所在省、市有关疫情防控规定增加的防疫物资、现场封闭隔离防护措施、隔离劳务人员工资、通勤车辆和其他相关投入等发生的疫情防控额外费用；(2)承包人因保证发包人要求的工期，需增加的人力、机械设备等所发生的额外费用；(3)因发生疫情可能导致的人工费、材料费上涨所发生的额外费用；(4)因发生疫情可能导致的施工降效所发生的额外费用</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47</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
              <w:ind w:left="104" w:right="90"/>
              <w:jc w:val="center"/>
              <w:rPr>
                <w:color w:val="auto"/>
                <w:sz w:val="21"/>
                <w:highlight w:val="none"/>
              </w:rPr>
            </w:pPr>
            <w:r>
              <w:rPr>
                <w:rFonts w:hint="eastAsia"/>
                <w:color w:val="auto"/>
                <w:sz w:val="21"/>
                <w:highlight w:val="none"/>
              </w:rPr>
              <w:t>17.1.3</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88" w:lineRule="auto"/>
              <w:rPr>
                <w:color w:val="auto"/>
                <w:sz w:val="21"/>
                <w:highlight w:val="none"/>
              </w:rPr>
            </w:pPr>
            <w:r>
              <w:rPr>
                <w:rFonts w:hint="eastAsia"/>
                <w:color w:val="auto"/>
                <w:sz w:val="21"/>
                <w:highlight w:val="none"/>
              </w:rPr>
              <w:t>单价子目已完成工程量按月计量，总价子目按第 17.1.5 项（总价子目的计量）计量后，汇入当月计量。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48</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17.1.4</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961"/>
              </w:tabs>
              <w:adjustRightInd w:val="0"/>
              <w:snapToGrid w:val="0"/>
              <w:spacing w:line="288" w:lineRule="auto"/>
              <w:ind w:right="79" w:firstLine="280" w:firstLineChars="100"/>
              <w:jc w:val="both"/>
              <w:rPr>
                <w:color w:val="auto"/>
                <w:spacing w:val="-3"/>
                <w:sz w:val="21"/>
                <w:highlight w:val="none"/>
              </w:rPr>
            </w:pPr>
            <w:r>
              <w:rPr>
                <w:rFonts w:hint="eastAsia" w:ascii="方正行楷简体" w:hAnsi="方正行楷简体" w:eastAsia="方正行楷简体" w:cs="方正行楷简体"/>
                <w:color w:val="auto"/>
                <w:sz w:val="28"/>
                <w:szCs w:val="28"/>
                <w:highlight w:val="none"/>
                <w:lang w:val="en-US"/>
              </w:rPr>
              <w:t>采用总价合同方式的养护工程，可约定为：</w:t>
            </w:r>
          </w:p>
          <w:p>
            <w:pPr>
              <w:pStyle w:val="263"/>
              <w:tabs>
                <w:tab w:val="left" w:pos="1072"/>
              </w:tabs>
              <w:adjustRightInd w:val="0"/>
              <w:snapToGrid w:val="0"/>
              <w:spacing w:line="264" w:lineRule="auto"/>
              <w:ind w:firstLine="210" w:firstLineChars="100"/>
              <w:jc w:val="both"/>
              <w:rPr>
                <w:color w:val="auto"/>
                <w:sz w:val="22"/>
                <w:szCs w:val="22"/>
                <w:highlight w:val="none"/>
                <w:lang w:val="zh-CN" w:eastAsia="zh-CN" w:bidi="zh-CN"/>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color w:val="auto"/>
                <w:sz w:val="22"/>
                <w:szCs w:val="22"/>
                <w:highlight w:val="none"/>
                <w:lang w:val="zh-CN" w:eastAsia="zh-CN" w:bidi="zh-CN"/>
              </w:rPr>
              <w:t>已标价工程量清单中的单价子目工程量为估算工程量。结算工程量是承包人实际完成的，并按合同约定的计量方法进行计量的工程量。除本合同第</w:t>
            </w:r>
            <w:r>
              <w:rPr>
                <w:color w:val="auto"/>
                <w:sz w:val="22"/>
                <w:szCs w:val="22"/>
                <w:highlight w:val="none"/>
                <w:lang w:val="en-US" w:eastAsia="zh-CN" w:bidi="zh-CN"/>
              </w:rPr>
              <w:t>15.4</w:t>
            </w:r>
            <w:r>
              <w:rPr>
                <w:color w:val="auto"/>
                <w:sz w:val="22"/>
                <w:szCs w:val="22"/>
                <w:highlight w:val="none"/>
                <w:lang w:val="zh-CN" w:eastAsia="zh-CN" w:bidi="zh-CN"/>
              </w:rPr>
              <w:t>款约定外，不因估算工程量和结算工程量的差异引起“承包人工程施工价款"的调整。</w:t>
            </w:r>
          </w:p>
          <w:p>
            <w:pPr>
              <w:pStyle w:val="263"/>
              <w:tabs>
                <w:tab w:val="left" w:pos="1061"/>
              </w:tabs>
              <w:adjustRightInd w:val="0"/>
              <w:snapToGrid w:val="0"/>
              <w:spacing w:line="264" w:lineRule="auto"/>
              <w:ind w:firstLine="210" w:firstLineChars="100"/>
              <w:jc w:val="both"/>
              <w:rPr>
                <w:color w:val="auto"/>
                <w:sz w:val="22"/>
                <w:szCs w:val="22"/>
                <w:highlight w:val="none"/>
                <w:lang w:val="zh-CN" w:eastAsia="zh-CN" w:bidi="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2"/>
                <w:szCs w:val="22"/>
                <w:highlight w:val="none"/>
                <w:lang w:val="zh-CN" w:eastAsia="zh-CN" w:bidi="zh-CN"/>
              </w:rPr>
              <w:t>承包人对已完成的工程进行计量，向监理人提交进度付款申请单、已完成工程量报表和有关计量资料。但当计量至已标价工程量清单中的估算工程量时， 虽予以计量，但不随进度付款支付。</w:t>
            </w:r>
          </w:p>
          <w:p>
            <w:pPr>
              <w:pStyle w:val="87"/>
              <w:adjustRightInd w:val="0"/>
              <w:snapToGrid w:val="0"/>
              <w:spacing w:line="264" w:lineRule="auto"/>
              <w:ind w:right="79" w:firstLine="220" w:firstLineChars="100"/>
              <w:jc w:val="both"/>
              <w:rPr>
                <w:color w:val="auto"/>
                <w:sz w:val="21"/>
                <w:highlight w:val="none"/>
              </w:rPr>
            </w:pPr>
            <w:r>
              <w:rPr>
                <w:color w:val="auto"/>
                <w:highlight w:val="none"/>
              </w:rPr>
              <w:t>对于实际完成工程量超出已标价工程量清单中估算工程量的部分，虽不随进度付款支付，但承包人仍应对超出部分的工程量严格按照计量资料的有关要求编制整理汇总上报监理人和发包人审查核实，以作为编制验收资料的依据</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49</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17.1.5</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ind w:firstLine="210" w:firstLineChars="100"/>
              <w:rPr>
                <w:color w:val="auto"/>
                <w:sz w:val="21"/>
                <w:highlight w:val="none"/>
              </w:rPr>
            </w:pPr>
            <w:r>
              <w:rPr>
                <w:rFonts w:hint="eastAsia"/>
                <w:color w:val="auto"/>
                <w:sz w:val="21"/>
                <w:highlight w:val="none"/>
              </w:rPr>
              <w:t>工程量清单中总价子目的分解和计量原则可约定为：</w:t>
            </w:r>
          </w:p>
          <w:p>
            <w:pPr>
              <w:pStyle w:val="87"/>
              <w:adjustRightInd w:val="0"/>
              <w:snapToGrid w:val="0"/>
              <w:spacing w:line="264" w:lineRule="auto"/>
              <w:ind w:firstLine="210" w:firstLineChars="100"/>
              <w:rPr>
                <w:color w:val="auto"/>
                <w:sz w:val="21"/>
                <w:highlight w:val="none"/>
              </w:rPr>
            </w:pPr>
            <w:r>
              <w:rPr>
                <w:rFonts w:hint="eastAsia"/>
                <w:color w:val="auto"/>
                <w:sz w:val="21"/>
                <w:highlight w:val="none"/>
              </w:rPr>
              <w:t>本项目工程量清单中总价子目的分解和计量原则补充以下约定：</w:t>
            </w:r>
          </w:p>
          <w:p>
            <w:pPr>
              <w:pStyle w:val="87"/>
              <w:tabs>
                <w:tab w:val="left" w:pos="856"/>
              </w:tabs>
              <w:adjustRightInd w:val="0"/>
              <w:snapToGrid w:val="0"/>
              <w:spacing w:line="264" w:lineRule="auto"/>
              <w:ind w:right="81" w:firstLine="186" w:firstLineChars="100"/>
              <w:rPr>
                <w:color w:val="auto"/>
                <w:sz w:val="21"/>
                <w:highlight w:val="none"/>
              </w:rPr>
            </w:pPr>
            <w:r>
              <w:rPr>
                <w:rFonts w:hint="eastAsia"/>
                <w:color w:val="auto"/>
                <w:spacing w:val="-12"/>
                <w:sz w:val="21"/>
                <w:highlight w:val="none"/>
              </w:rPr>
              <w:t>（1）</w:t>
            </w:r>
            <w:r>
              <w:rPr>
                <w:rFonts w:hint="eastAsia"/>
                <w:color w:val="auto"/>
                <w:spacing w:val="-6"/>
                <w:sz w:val="21"/>
                <w:highlight w:val="none"/>
              </w:rPr>
              <w:t>承包人编制完竣工文件后上交发包人，经发包人确认后对竣工文件编制费</w:t>
            </w:r>
            <w:r>
              <w:rPr>
                <w:rFonts w:hint="eastAsia"/>
                <w:color w:val="auto"/>
                <w:spacing w:val="-5"/>
                <w:sz w:val="21"/>
                <w:highlight w:val="none"/>
              </w:rPr>
              <w:t>一次性计量。</w:t>
            </w:r>
          </w:p>
          <w:p>
            <w:pPr>
              <w:pStyle w:val="87"/>
              <w:tabs>
                <w:tab w:val="left" w:pos="856"/>
              </w:tabs>
              <w:adjustRightInd w:val="0"/>
              <w:snapToGrid w:val="0"/>
              <w:spacing w:line="264" w:lineRule="auto"/>
              <w:ind w:firstLine="186" w:firstLineChars="100"/>
              <w:rPr>
                <w:color w:val="auto"/>
                <w:sz w:val="21"/>
                <w:highlight w:val="none"/>
              </w:rPr>
            </w:pPr>
            <w:r>
              <w:rPr>
                <w:rFonts w:hint="eastAsia"/>
                <w:color w:val="auto"/>
                <w:spacing w:val="-12"/>
                <w:sz w:val="21"/>
                <w:highlight w:val="none"/>
              </w:rPr>
              <w:t>（2）</w:t>
            </w:r>
            <w:r>
              <w:rPr>
                <w:rFonts w:hint="eastAsia"/>
                <w:color w:val="auto"/>
                <w:spacing w:val="-3"/>
                <w:sz w:val="21"/>
                <w:highlight w:val="none"/>
              </w:rPr>
              <w:t>施工环保费、安全生产费用参照工程量完成比例按月计量。</w:t>
            </w:r>
          </w:p>
          <w:p>
            <w:pPr>
              <w:pStyle w:val="87"/>
              <w:tabs>
                <w:tab w:val="left" w:pos="856"/>
              </w:tabs>
              <w:adjustRightInd w:val="0"/>
              <w:snapToGrid w:val="0"/>
              <w:spacing w:line="264" w:lineRule="auto"/>
              <w:ind w:firstLine="186" w:firstLineChars="100"/>
              <w:rPr>
                <w:color w:val="auto"/>
                <w:sz w:val="21"/>
                <w:highlight w:val="none"/>
              </w:rPr>
            </w:pPr>
            <w:r>
              <w:rPr>
                <w:rFonts w:hint="eastAsia"/>
                <w:color w:val="auto"/>
                <w:spacing w:val="-12"/>
                <w:sz w:val="21"/>
                <w:highlight w:val="none"/>
              </w:rPr>
              <w:t>（3）</w:t>
            </w:r>
            <w:r>
              <w:rPr>
                <w:rFonts w:hint="eastAsia"/>
                <w:color w:val="auto"/>
                <w:sz w:val="21"/>
                <w:highlight w:val="none"/>
              </w:rPr>
              <w:t>临时工程与设施费用在第一次计量时计量总额 50%</w:t>
            </w:r>
            <w:r>
              <w:rPr>
                <w:rFonts w:hint="eastAsia"/>
                <w:color w:val="auto"/>
                <w:spacing w:val="-1"/>
                <w:sz w:val="21"/>
                <w:highlight w:val="none"/>
              </w:rPr>
              <w:t>，在完工前最后一次计</w:t>
            </w:r>
            <w:r>
              <w:rPr>
                <w:rFonts w:hint="eastAsia"/>
                <w:color w:val="auto"/>
                <w:sz w:val="21"/>
                <w:highlight w:val="none"/>
              </w:rPr>
              <w:t>量时计量总额 30%，剩余费用在完工后计量。</w:t>
            </w:r>
          </w:p>
          <w:p>
            <w:pPr>
              <w:pStyle w:val="87"/>
              <w:adjustRightInd w:val="0"/>
              <w:snapToGrid w:val="0"/>
              <w:spacing w:line="264" w:lineRule="auto"/>
              <w:ind w:firstLine="186" w:firstLineChars="100"/>
              <w:rPr>
                <w:color w:val="auto"/>
                <w:sz w:val="21"/>
                <w:highlight w:val="none"/>
              </w:rPr>
            </w:pPr>
            <w:r>
              <w:rPr>
                <w:rFonts w:hint="eastAsia"/>
                <w:color w:val="auto"/>
                <w:spacing w:val="-12"/>
                <w:sz w:val="21"/>
                <w:highlight w:val="none"/>
              </w:rPr>
              <w:t>（4）</w:t>
            </w:r>
            <w:r>
              <w:rPr>
                <w:rFonts w:hint="eastAsia"/>
                <w:color w:val="auto"/>
                <w:spacing w:val="-7"/>
                <w:sz w:val="21"/>
                <w:highlight w:val="none"/>
              </w:rPr>
              <w:t>承包人驻地建设费用分两次计量。在驻地建设完成且具备生活条件，经发包</w:t>
            </w:r>
          </w:p>
          <w:p>
            <w:pPr>
              <w:pStyle w:val="87"/>
              <w:tabs>
                <w:tab w:val="left" w:pos="856"/>
              </w:tabs>
              <w:adjustRightInd w:val="0"/>
              <w:snapToGrid w:val="0"/>
              <w:spacing w:line="264" w:lineRule="auto"/>
              <w:rPr>
                <w:color w:val="auto"/>
                <w:sz w:val="21"/>
                <w:highlight w:val="none"/>
              </w:rPr>
            </w:pPr>
            <w:r>
              <w:rPr>
                <w:rFonts w:hint="eastAsia"/>
                <w:color w:val="auto"/>
                <w:sz w:val="21"/>
                <w:highlight w:val="none"/>
              </w:rPr>
              <w:t>人及监理人验收合格后，计量总额的 70%，拆除、恢复原貌且经监理人验收合格后计量剩余费用。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66"/>
              <w:ind w:left="35" w:right="26"/>
              <w:jc w:val="center"/>
              <w:rPr>
                <w:color w:val="auto"/>
                <w:sz w:val="21"/>
                <w:highlight w:val="none"/>
                <w:lang w:val="en-US"/>
              </w:rPr>
            </w:pPr>
            <w:r>
              <w:rPr>
                <w:rFonts w:hint="eastAsia"/>
                <w:color w:val="auto"/>
                <w:sz w:val="21"/>
                <w:highlight w:val="none"/>
                <w:lang w:val="en-US"/>
              </w:rPr>
              <w:t>50</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43"/>
              <w:ind w:right="-15"/>
              <w:jc w:val="center"/>
              <w:rPr>
                <w:color w:val="auto"/>
                <w:sz w:val="21"/>
                <w:highlight w:val="none"/>
              </w:rPr>
            </w:pPr>
            <w:r>
              <w:rPr>
                <w:rFonts w:hint="eastAsia"/>
                <w:color w:val="auto"/>
                <w:spacing w:val="-4"/>
                <w:sz w:val="21"/>
                <w:highlight w:val="none"/>
              </w:rPr>
              <w:t>17.2.1</w:t>
            </w:r>
            <w:r>
              <w:rPr>
                <w:rFonts w:hint="eastAsia"/>
                <w:color w:val="auto"/>
                <w:spacing w:val="-4"/>
                <w:sz w:val="21"/>
                <w:highlight w:val="none"/>
                <w:lang w:val="en-US"/>
              </w:rPr>
              <w:t>(</w:t>
            </w:r>
            <w:r>
              <w:rPr>
                <w:rFonts w:hint="eastAsia"/>
                <w:color w:val="auto"/>
                <w:spacing w:val="-4"/>
                <w:sz w:val="21"/>
                <w:highlight w:val="none"/>
              </w:rPr>
              <w:t>1</w:t>
            </w:r>
            <w:r>
              <w:rPr>
                <w:rFonts w:hint="eastAsia"/>
                <w:color w:val="auto"/>
                <w:spacing w:val="-4"/>
                <w:sz w:val="21"/>
                <w:highlight w:val="none"/>
                <w:lang w:val="en-US"/>
              </w:rPr>
              <w:t>)</w:t>
            </w:r>
          </w:p>
        </w:tc>
        <w:tc>
          <w:tcPr>
            <w:tcW w:w="7780" w:type="dxa"/>
            <w:tcBorders>
              <w:top w:val="single" w:color="000000" w:sz="2" w:space="0"/>
              <w:left w:val="single" w:color="000000" w:sz="2" w:space="0"/>
              <w:bottom w:val="single" w:color="000000" w:sz="2" w:space="0"/>
              <w:right w:val="single" w:color="000000" w:sz="8" w:space="0"/>
            </w:tcBorders>
          </w:tcPr>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开工预付款金额，规定为：</w:t>
            </w:r>
            <w:r>
              <w:rPr>
                <w:rFonts w:hint="eastAsia"/>
                <w:color w:val="auto"/>
                <w:sz w:val="21"/>
                <w:szCs w:val="21"/>
                <w:highlight w:val="none"/>
                <w:u w:val="single"/>
                <w:lang w:val="en-US" w:eastAsia="zh-CN"/>
              </w:rPr>
              <w:t xml:space="preserve"> 10 </w:t>
            </w:r>
            <w:r>
              <w:rPr>
                <w:rFonts w:hint="eastAsia"/>
                <w:color w:val="auto"/>
                <w:sz w:val="21"/>
                <w:szCs w:val="21"/>
                <w:highlight w:val="none"/>
              </w:rPr>
              <w:t>%签约合同价(开工</w:t>
            </w:r>
            <w:r>
              <w:rPr>
                <w:rFonts w:hint="eastAsia"/>
                <w:color w:val="auto"/>
                <w:sz w:val="21"/>
                <w:szCs w:val="21"/>
                <w:highlight w:val="none"/>
                <w:lang w:val="en-US" w:eastAsia="zh-CN"/>
              </w:rPr>
              <w:t>预</w:t>
            </w:r>
            <w:r>
              <w:rPr>
                <w:rFonts w:hint="eastAsia"/>
                <w:color w:val="auto"/>
                <w:sz w:val="21"/>
                <w:szCs w:val="21"/>
                <w:highlight w:val="none"/>
              </w:rPr>
              <w:t>付款金额应</w:t>
            </w:r>
            <w:r>
              <w:rPr>
                <w:rFonts w:hint="eastAsia"/>
                <w:color w:val="auto"/>
                <w:sz w:val="21"/>
                <w:szCs w:val="21"/>
                <w:highlight w:val="none"/>
                <w:lang w:val="en-US" w:eastAsia="zh-CN"/>
              </w:rPr>
              <w:t>不超过</w:t>
            </w:r>
            <w:r>
              <w:rPr>
                <w:rFonts w:hint="eastAsia"/>
                <w:color w:val="auto"/>
                <w:sz w:val="21"/>
                <w:szCs w:val="21"/>
                <w:highlight w:val="none"/>
              </w:rPr>
              <w:t>10%签</w:t>
            </w:r>
          </w:p>
          <w:p>
            <w:pPr>
              <w:pStyle w:val="87"/>
              <w:tabs>
                <w:tab w:val="left" w:pos="3156"/>
              </w:tabs>
              <w:adjustRightInd w:val="0"/>
              <w:snapToGrid w:val="0"/>
              <w:spacing w:line="264" w:lineRule="auto"/>
              <w:ind w:right="84"/>
              <w:rPr>
                <w:color w:val="auto"/>
                <w:sz w:val="21"/>
                <w:highlight w:val="none"/>
              </w:rPr>
            </w:pPr>
            <w:r>
              <w:rPr>
                <w:rFonts w:hint="eastAsia"/>
                <w:color w:val="auto"/>
                <w:sz w:val="21"/>
                <w:szCs w:val="21"/>
                <w:highlight w:val="none"/>
              </w:rPr>
              <w:t>约合同价)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1"/>
              <w:ind w:left="35" w:right="26"/>
              <w:jc w:val="center"/>
              <w:rPr>
                <w:color w:val="auto"/>
                <w:sz w:val="21"/>
                <w:highlight w:val="none"/>
                <w:lang w:val="en-US"/>
              </w:rPr>
            </w:pPr>
            <w:r>
              <w:rPr>
                <w:rFonts w:hint="eastAsia"/>
                <w:color w:val="auto"/>
                <w:sz w:val="21"/>
                <w:highlight w:val="none"/>
                <w:lang w:val="en-US"/>
              </w:rPr>
              <w:t>51</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07"/>
              <w:ind w:right="-15"/>
              <w:jc w:val="center"/>
              <w:rPr>
                <w:color w:val="auto"/>
                <w:sz w:val="21"/>
                <w:highlight w:val="none"/>
              </w:rPr>
            </w:pPr>
            <w:r>
              <w:rPr>
                <w:rFonts w:hint="eastAsia"/>
                <w:color w:val="auto"/>
                <w:spacing w:val="-4"/>
                <w:sz w:val="21"/>
                <w:highlight w:val="none"/>
              </w:rPr>
              <w:t>17.2.1</w:t>
            </w:r>
            <w:r>
              <w:rPr>
                <w:rFonts w:hint="eastAsia"/>
                <w:color w:val="auto"/>
                <w:spacing w:val="-4"/>
                <w:sz w:val="21"/>
                <w:highlight w:val="none"/>
                <w:lang w:val="en-US"/>
              </w:rPr>
              <w:t>(2)</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3898"/>
                <w:tab w:val="left" w:pos="7506"/>
              </w:tabs>
              <w:adjustRightInd w:val="0"/>
              <w:snapToGrid w:val="0"/>
              <w:spacing w:line="336" w:lineRule="auto"/>
              <w:ind w:firstLine="210" w:firstLineChars="100"/>
              <w:rPr>
                <w:color w:val="auto"/>
                <w:sz w:val="21"/>
                <w:highlight w:val="none"/>
              </w:rPr>
            </w:pPr>
            <w:r>
              <w:rPr>
                <w:rFonts w:hint="eastAsia"/>
                <w:color w:val="auto"/>
                <w:sz w:val="21"/>
                <w:highlight w:val="none"/>
              </w:rPr>
              <w:t>材</w:t>
            </w:r>
            <w:r>
              <w:rPr>
                <w:rFonts w:hint="eastAsia"/>
                <w:color w:val="auto"/>
                <w:spacing w:val="-3"/>
                <w:sz w:val="21"/>
                <w:highlight w:val="none"/>
              </w:rPr>
              <w:t>料</w:t>
            </w:r>
            <w:r>
              <w:rPr>
                <w:rFonts w:hint="eastAsia"/>
                <w:color w:val="auto"/>
                <w:spacing w:val="-20"/>
                <w:sz w:val="21"/>
                <w:highlight w:val="none"/>
              </w:rPr>
              <w:t>、</w:t>
            </w:r>
            <w:r>
              <w:rPr>
                <w:rFonts w:hint="eastAsia"/>
                <w:color w:val="auto"/>
                <w:spacing w:val="-3"/>
                <w:sz w:val="21"/>
                <w:highlight w:val="none"/>
              </w:rPr>
              <w:t>设</w:t>
            </w:r>
            <w:r>
              <w:rPr>
                <w:rFonts w:hint="eastAsia"/>
                <w:color w:val="auto"/>
                <w:sz w:val="21"/>
                <w:highlight w:val="none"/>
              </w:rPr>
              <w:t>备</w:t>
            </w:r>
            <w:r>
              <w:rPr>
                <w:rFonts w:hint="eastAsia"/>
                <w:color w:val="auto"/>
                <w:spacing w:val="-3"/>
                <w:sz w:val="21"/>
                <w:highlight w:val="none"/>
              </w:rPr>
              <w:t>预</w:t>
            </w:r>
            <w:r>
              <w:rPr>
                <w:rFonts w:hint="eastAsia"/>
                <w:color w:val="auto"/>
                <w:sz w:val="21"/>
                <w:highlight w:val="none"/>
              </w:rPr>
              <w:t>付</w:t>
            </w:r>
            <w:r>
              <w:rPr>
                <w:rFonts w:hint="eastAsia"/>
                <w:color w:val="auto"/>
                <w:spacing w:val="-3"/>
                <w:sz w:val="21"/>
                <w:highlight w:val="none"/>
              </w:rPr>
              <w:t>款</w:t>
            </w:r>
            <w:r>
              <w:rPr>
                <w:rFonts w:hint="eastAsia"/>
                <w:color w:val="auto"/>
                <w:sz w:val="21"/>
                <w:highlight w:val="none"/>
              </w:rPr>
              <w:t>比</w:t>
            </w:r>
            <w:r>
              <w:rPr>
                <w:rFonts w:hint="eastAsia"/>
                <w:color w:val="auto"/>
                <w:spacing w:val="-3"/>
                <w:sz w:val="21"/>
                <w:highlight w:val="none"/>
              </w:rPr>
              <w:t>例</w:t>
            </w:r>
            <w:r>
              <w:rPr>
                <w:rFonts w:hint="eastAsia"/>
                <w:color w:val="auto"/>
                <w:spacing w:val="-22"/>
                <w:sz w:val="21"/>
                <w:highlight w:val="none"/>
              </w:rPr>
              <w:t>，</w:t>
            </w:r>
            <w:r>
              <w:rPr>
                <w:rFonts w:hint="eastAsia"/>
                <w:color w:val="auto"/>
                <w:sz w:val="21"/>
                <w:highlight w:val="none"/>
              </w:rPr>
              <w:t>规定</w:t>
            </w:r>
            <w:r>
              <w:rPr>
                <w:rFonts w:hint="eastAsia"/>
                <w:color w:val="auto"/>
                <w:spacing w:val="-3"/>
                <w:sz w:val="21"/>
                <w:highlight w:val="none"/>
              </w:rPr>
              <w:t>为</w:t>
            </w:r>
            <w:r>
              <w:rPr>
                <w:rFonts w:hint="eastAsia"/>
                <w:color w:val="auto"/>
                <w:spacing w:val="-19"/>
                <w:sz w:val="21"/>
                <w:highlight w:val="none"/>
              </w:rPr>
              <w:t>：</w:t>
            </w:r>
            <w:r>
              <w:rPr>
                <w:rFonts w:hint="eastAsia"/>
                <w:color w:val="auto"/>
                <w:spacing w:val="-19"/>
                <w:sz w:val="21"/>
                <w:highlight w:val="none"/>
                <w:u w:val="single"/>
              </w:rPr>
              <w:t xml:space="preserve"> </w:t>
            </w:r>
            <w:r>
              <w:rPr>
                <w:rFonts w:hint="eastAsia"/>
                <w:color w:val="auto"/>
                <w:spacing w:val="28"/>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pacing w:val="-3"/>
                <w:sz w:val="21"/>
                <w:highlight w:val="none"/>
              </w:rPr>
              <w:t>等</w:t>
            </w:r>
            <w:r>
              <w:rPr>
                <w:rFonts w:hint="eastAsia"/>
                <w:color w:val="auto"/>
                <w:sz w:val="21"/>
                <w:highlight w:val="none"/>
              </w:rPr>
              <w:t>主</w:t>
            </w:r>
            <w:r>
              <w:rPr>
                <w:rFonts w:hint="eastAsia"/>
                <w:color w:val="auto"/>
                <w:spacing w:val="-3"/>
                <w:sz w:val="21"/>
                <w:highlight w:val="none"/>
              </w:rPr>
              <w:t>要</w:t>
            </w:r>
            <w:r>
              <w:rPr>
                <w:rFonts w:hint="eastAsia"/>
                <w:color w:val="auto"/>
                <w:sz w:val="21"/>
                <w:highlight w:val="none"/>
              </w:rPr>
              <w:t>材</w:t>
            </w:r>
            <w:r>
              <w:rPr>
                <w:rFonts w:hint="eastAsia"/>
                <w:color w:val="auto"/>
                <w:spacing w:val="-3"/>
                <w:sz w:val="21"/>
                <w:highlight w:val="none"/>
              </w:rPr>
              <w:t>料</w:t>
            </w:r>
            <w:r>
              <w:rPr>
                <w:rFonts w:hint="eastAsia"/>
                <w:color w:val="auto"/>
                <w:spacing w:val="-20"/>
                <w:sz w:val="21"/>
                <w:highlight w:val="none"/>
              </w:rPr>
              <w:t>、</w:t>
            </w:r>
            <w:r>
              <w:rPr>
                <w:rFonts w:hint="eastAsia"/>
                <w:color w:val="auto"/>
                <w:spacing w:val="-3"/>
                <w:sz w:val="21"/>
                <w:highlight w:val="none"/>
              </w:rPr>
              <w:t>设</w:t>
            </w:r>
            <w:r>
              <w:rPr>
                <w:rFonts w:hint="eastAsia"/>
                <w:color w:val="auto"/>
                <w:sz w:val="21"/>
                <w:highlight w:val="none"/>
              </w:rPr>
              <w:t>备</w:t>
            </w:r>
            <w:r>
              <w:rPr>
                <w:rFonts w:hint="eastAsia"/>
                <w:color w:val="auto"/>
                <w:spacing w:val="-3"/>
                <w:sz w:val="21"/>
                <w:highlight w:val="none"/>
              </w:rPr>
              <w:t>单</w:t>
            </w:r>
            <w:r>
              <w:rPr>
                <w:rFonts w:hint="eastAsia"/>
                <w:color w:val="auto"/>
                <w:sz w:val="21"/>
                <w:highlight w:val="none"/>
              </w:rPr>
              <w:t>据</w:t>
            </w:r>
            <w:r>
              <w:rPr>
                <w:rFonts w:hint="eastAsia"/>
                <w:color w:val="auto"/>
                <w:spacing w:val="-3"/>
                <w:sz w:val="21"/>
                <w:highlight w:val="none"/>
              </w:rPr>
              <w:t>所</w:t>
            </w:r>
            <w:r>
              <w:rPr>
                <w:rFonts w:hint="eastAsia"/>
                <w:color w:val="auto"/>
                <w:sz w:val="21"/>
                <w:highlight w:val="none"/>
              </w:rPr>
              <w:t>列</w:t>
            </w:r>
            <w:r>
              <w:rPr>
                <w:rFonts w:hint="eastAsia"/>
                <w:color w:val="auto"/>
                <w:spacing w:val="-3"/>
                <w:sz w:val="21"/>
                <w:highlight w:val="none"/>
              </w:rPr>
              <w:t>费</w:t>
            </w:r>
            <w:r>
              <w:rPr>
                <w:rFonts w:hint="eastAsia"/>
                <w:color w:val="auto"/>
                <w:sz w:val="21"/>
                <w:highlight w:val="none"/>
              </w:rPr>
              <w:t>用的</w:t>
            </w:r>
            <w:r>
              <w:rPr>
                <w:rFonts w:hint="eastAsia"/>
                <w:color w:val="auto"/>
                <w:sz w:val="21"/>
                <w:highlight w:val="none"/>
                <w:u w:val="single"/>
              </w:rPr>
              <w:t xml:space="preserve"> /</w:t>
            </w:r>
            <w:r>
              <w:rPr>
                <w:rFonts w:hint="eastAsia"/>
                <w:color w:val="auto"/>
                <w:sz w:val="21"/>
                <w:highlight w:val="none"/>
                <w:u w:val="single"/>
                <w:lang w:val="en-US"/>
              </w:rPr>
              <w:t xml:space="preserve"> </w:t>
            </w:r>
            <w:r>
              <w:rPr>
                <w:rFonts w:hint="eastAsia"/>
                <w:color w:val="auto"/>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1"/>
              <w:ind w:left="35" w:right="26"/>
              <w:jc w:val="center"/>
              <w:rPr>
                <w:color w:val="auto"/>
                <w:sz w:val="21"/>
                <w:highlight w:val="none"/>
                <w:lang w:val="en-US"/>
              </w:rPr>
            </w:pPr>
            <w:r>
              <w:rPr>
                <w:rFonts w:hint="eastAsia"/>
                <w:color w:val="auto"/>
                <w:sz w:val="21"/>
                <w:highlight w:val="none"/>
                <w:lang w:val="en-US"/>
              </w:rPr>
              <w:t>52</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07"/>
              <w:ind w:right="-15"/>
              <w:jc w:val="center"/>
              <w:rPr>
                <w:color w:val="auto"/>
                <w:spacing w:val="-4"/>
                <w:sz w:val="21"/>
                <w:highlight w:val="none"/>
              </w:rPr>
            </w:pPr>
            <w:r>
              <w:rPr>
                <w:rFonts w:hint="eastAsia"/>
                <w:color w:val="auto"/>
                <w:spacing w:val="-4"/>
                <w:sz w:val="21"/>
                <w:highlight w:val="none"/>
              </w:rPr>
              <w:t>17.2.</w:t>
            </w:r>
            <w:r>
              <w:rPr>
                <w:rFonts w:hint="eastAsia"/>
                <w:color w:val="auto"/>
                <w:spacing w:val="-4"/>
                <w:sz w:val="21"/>
                <w:highlight w:val="none"/>
                <w:lang w:val="en-US"/>
              </w:rPr>
              <w:t>2</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3898"/>
                <w:tab w:val="left" w:pos="7506"/>
              </w:tabs>
              <w:adjustRightInd w:val="0"/>
              <w:snapToGrid w:val="0"/>
              <w:spacing w:line="264" w:lineRule="auto"/>
              <w:ind w:firstLine="210" w:firstLineChars="100"/>
              <w:rPr>
                <w:color w:val="auto"/>
                <w:sz w:val="21"/>
                <w:highlight w:val="none"/>
              </w:rPr>
            </w:pPr>
            <w:r>
              <w:rPr>
                <w:rFonts w:hint="eastAsia"/>
                <w:color w:val="auto"/>
                <w:sz w:val="21"/>
                <w:highlight w:val="none"/>
              </w:rPr>
              <w:t>承包人无须向发包人提交预付款保函。发包人向承包人支付的预付款，应按照 本合同第</w:t>
            </w:r>
            <w:r>
              <w:rPr>
                <w:rFonts w:hint="eastAsia"/>
                <w:color w:val="auto"/>
                <w:sz w:val="21"/>
                <w:highlight w:val="none"/>
                <w:lang w:val="en-US"/>
              </w:rPr>
              <w:t>17.2.1</w:t>
            </w:r>
            <w:r>
              <w:rPr>
                <w:rFonts w:hint="eastAsia"/>
                <w:color w:val="auto"/>
                <w:sz w:val="21"/>
                <w:highlight w:val="none"/>
              </w:rPr>
              <w:t>项规定使用，承包人提交的履约保证金对预付款的正常使用承担 保证责任。</w:t>
            </w:r>
          </w:p>
        </w:tc>
      </w:tr>
    </w:tbl>
    <w:p>
      <w:pPr>
        <w:pStyle w:val="267"/>
        <w:rPr>
          <w:color w:val="auto"/>
          <w:highlight w:val="none"/>
        </w:rPr>
        <w:sectPr>
          <w:pgSz w:w="11906" w:h="16838"/>
          <w:pgMar w:top="1440" w:right="991" w:bottom="1440" w:left="1418" w:header="851" w:footer="992" w:gutter="0"/>
          <w:cols w:space="720" w:num="1"/>
          <w:docGrid w:type="lines" w:linePitch="312" w:charSpace="0"/>
        </w:sectPr>
      </w:pPr>
    </w:p>
    <w:p>
      <w:pPr>
        <w:pStyle w:val="267"/>
        <w:rPr>
          <w:color w:val="auto"/>
          <w:highlight w:val="none"/>
        </w:rPr>
      </w:pPr>
    </w:p>
    <w:tbl>
      <w:tblPr>
        <w:tblStyle w:val="47"/>
        <w:tblW w:w="9610" w:type="dxa"/>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295"/>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295"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1"/>
              <w:ind w:left="35" w:right="26"/>
              <w:jc w:val="center"/>
              <w:rPr>
                <w:color w:val="auto"/>
                <w:sz w:val="21"/>
                <w:highlight w:val="none"/>
                <w:lang w:val="en-US"/>
              </w:rPr>
            </w:pPr>
            <w:r>
              <w:rPr>
                <w:rFonts w:hint="eastAsia"/>
                <w:color w:val="auto"/>
                <w:sz w:val="21"/>
                <w:highlight w:val="none"/>
                <w:lang w:val="en-US"/>
              </w:rPr>
              <w:t>53</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07"/>
              <w:ind w:right="-15"/>
              <w:jc w:val="center"/>
              <w:rPr>
                <w:color w:val="auto"/>
                <w:spacing w:val="-4"/>
                <w:sz w:val="21"/>
                <w:highlight w:val="none"/>
              </w:rPr>
            </w:pPr>
            <w:r>
              <w:rPr>
                <w:rFonts w:hint="eastAsia"/>
                <w:color w:val="auto"/>
                <w:spacing w:val="-4"/>
                <w:sz w:val="21"/>
                <w:highlight w:val="none"/>
              </w:rPr>
              <w:t>17.2.</w:t>
            </w:r>
            <w:r>
              <w:rPr>
                <w:rFonts w:hint="eastAsia"/>
                <w:color w:val="auto"/>
                <w:spacing w:val="-4"/>
                <w:sz w:val="21"/>
                <w:highlight w:val="none"/>
                <w:lang w:val="en-US"/>
              </w:rPr>
              <w:t>3</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3898"/>
                <w:tab w:val="left" w:pos="7506"/>
              </w:tabs>
              <w:adjustRightInd w:val="0"/>
              <w:snapToGrid w:val="0"/>
              <w:spacing w:line="264" w:lineRule="auto"/>
              <w:ind w:firstLine="210" w:firstLineChars="100"/>
              <w:rPr>
                <w:color w:val="auto"/>
                <w:sz w:val="21"/>
                <w:highlight w:val="none"/>
              </w:rPr>
            </w:pPr>
            <w:r>
              <w:rPr>
                <w:rFonts w:hint="eastAsia"/>
                <w:color w:val="auto"/>
                <w:sz w:val="21"/>
                <w:highlight w:val="none"/>
              </w:rPr>
              <w:t>开工预付款在进度付款证书的累计金额未达到签约合同价的30%之前不予扣回，在达到签约合同价30%之后，并在进度付款证书的累计金额达到签约合同价的50%之前，分期从各月的进度付款证书中一次(或逐次)扣回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95"/>
              <w:ind w:left="35" w:right="26"/>
              <w:jc w:val="center"/>
              <w:rPr>
                <w:color w:val="auto"/>
                <w:sz w:val="21"/>
                <w:highlight w:val="none"/>
                <w:lang w:val="en-US"/>
              </w:rPr>
            </w:pPr>
            <w:r>
              <w:rPr>
                <w:rFonts w:hint="eastAsia"/>
                <w:color w:val="auto"/>
                <w:sz w:val="21"/>
                <w:highlight w:val="none"/>
                <w:lang w:val="en-US"/>
              </w:rPr>
              <w:t>54</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95"/>
              <w:ind w:right="90"/>
              <w:jc w:val="center"/>
              <w:rPr>
                <w:color w:val="auto"/>
                <w:sz w:val="21"/>
                <w:highlight w:val="none"/>
              </w:rPr>
            </w:pPr>
            <w:r>
              <w:rPr>
                <w:rFonts w:hint="eastAsia"/>
                <w:color w:val="auto"/>
                <w:sz w:val="21"/>
                <w:highlight w:val="none"/>
              </w:rPr>
              <w:t>17.3.2</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264" w:lineRule="auto"/>
              <w:ind w:firstLine="411" w:firstLineChars="196"/>
              <w:rPr>
                <w:color w:val="auto"/>
                <w:sz w:val="21"/>
                <w:highlight w:val="none"/>
              </w:rPr>
            </w:pPr>
            <w:r>
              <w:rPr>
                <w:rFonts w:hint="eastAsia"/>
                <w:color w:val="auto"/>
                <w:sz w:val="21"/>
                <w:highlight w:val="none"/>
              </w:rPr>
              <w:t>承包人在每月 20 日向监理人提交进度付款申请单的份数，规定为：</w:t>
            </w:r>
            <w:r>
              <w:rPr>
                <w:rFonts w:hint="eastAsia"/>
                <w:color w:val="auto"/>
                <w:sz w:val="21"/>
                <w:highlight w:val="none"/>
                <w:u w:val="single"/>
              </w:rPr>
              <w:t xml:space="preserve"> 6 </w:t>
            </w:r>
            <w:r>
              <w:rPr>
                <w:rFonts w:hint="eastAsia"/>
                <w:color w:val="auto"/>
                <w:sz w:val="21"/>
                <w:highlight w:val="none"/>
              </w:rPr>
              <w:t>份</w:t>
            </w:r>
          </w:p>
          <w:p>
            <w:pPr>
              <w:pStyle w:val="87"/>
              <w:adjustRightInd w:val="0"/>
              <w:snapToGrid w:val="0"/>
              <w:spacing w:line="264" w:lineRule="auto"/>
              <w:ind w:right="80" w:firstLine="560" w:firstLineChars="200"/>
              <w:rPr>
                <w:color w:val="auto"/>
                <w:sz w:val="21"/>
                <w:highlight w:val="none"/>
              </w:rPr>
            </w:pPr>
            <w:r>
              <w:rPr>
                <w:rFonts w:hint="eastAsia" w:ascii="方正行楷简体" w:hAnsi="方正行楷简体" w:eastAsia="方正行楷简体" w:cs="方正行楷简体"/>
                <w:color w:val="auto"/>
                <w:sz w:val="28"/>
                <w:szCs w:val="28"/>
                <w:highlight w:val="none"/>
                <w:lang w:val="en-US"/>
              </w:rPr>
              <w:t>采用总价合同方式的养护工程，可约定为：</w:t>
            </w:r>
          </w:p>
          <w:p>
            <w:pPr>
              <w:pStyle w:val="87"/>
              <w:adjustRightInd w:val="0"/>
              <w:snapToGrid w:val="0"/>
              <w:spacing w:line="264" w:lineRule="auto"/>
              <w:ind w:right="80" w:firstLine="420" w:firstLineChars="200"/>
              <w:rPr>
                <w:color w:val="auto"/>
                <w:sz w:val="21"/>
                <w:szCs w:val="21"/>
                <w:highlight w:val="none"/>
              </w:rPr>
            </w:pPr>
            <w:r>
              <w:rPr>
                <w:rFonts w:hint="eastAsia"/>
                <w:color w:val="auto"/>
                <w:sz w:val="21"/>
                <w:szCs w:val="21"/>
                <w:highlight w:val="none"/>
              </w:rPr>
              <w:t>承包人提交进度付款申请单时，应附相应的支持性证明文件。进度付款申请单的内容如下：</w:t>
            </w:r>
          </w:p>
          <w:p>
            <w:pPr>
              <w:pStyle w:val="87"/>
              <w:adjustRightInd w:val="0"/>
              <w:snapToGrid w:val="0"/>
              <w:spacing w:line="264" w:lineRule="auto"/>
              <w:ind w:right="80" w:firstLine="372" w:firstLineChars="200"/>
              <w:rPr>
                <w:color w:val="auto"/>
                <w:sz w:val="21"/>
                <w:szCs w:val="21"/>
                <w:highlight w:val="none"/>
              </w:rPr>
            </w:pPr>
            <w:r>
              <w:rPr>
                <w:rFonts w:hint="eastAsia"/>
                <w:color w:val="auto"/>
                <w:spacing w:val="-12"/>
                <w:sz w:val="21"/>
                <w:highlight w:val="none"/>
              </w:rPr>
              <w:t>（1）</w:t>
            </w:r>
            <w:r>
              <w:rPr>
                <w:rFonts w:hint="eastAsia"/>
                <w:color w:val="auto"/>
                <w:sz w:val="21"/>
                <w:szCs w:val="21"/>
                <w:highlight w:val="none"/>
              </w:rPr>
              <w:t>包括截至本次付款周期末已实施工程的价款，但不包括超过已标价工程量清单中对应子目合价的工程价款；</w:t>
            </w:r>
          </w:p>
          <w:p>
            <w:pPr>
              <w:pStyle w:val="87"/>
              <w:adjustRightInd w:val="0"/>
              <w:snapToGrid w:val="0"/>
              <w:spacing w:line="264" w:lineRule="auto"/>
              <w:ind w:right="80" w:firstLine="372" w:firstLineChars="200"/>
              <w:rPr>
                <w:color w:val="auto"/>
                <w:sz w:val="21"/>
                <w:szCs w:val="21"/>
                <w:highlight w:val="none"/>
              </w:rPr>
            </w:pPr>
            <w:r>
              <w:rPr>
                <w:rFonts w:hint="eastAsia"/>
                <w:color w:val="auto"/>
                <w:spacing w:val="-12"/>
                <w:sz w:val="21"/>
                <w:highlight w:val="none"/>
              </w:rPr>
              <w:t>（</w:t>
            </w:r>
            <w:r>
              <w:rPr>
                <w:rFonts w:hint="eastAsia"/>
                <w:color w:val="auto"/>
                <w:spacing w:val="-12"/>
                <w:sz w:val="21"/>
                <w:highlight w:val="none"/>
                <w:lang w:val="en-US"/>
              </w:rPr>
              <w:t>2</w:t>
            </w:r>
            <w:r>
              <w:rPr>
                <w:rFonts w:hint="eastAsia"/>
                <w:color w:val="auto"/>
                <w:spacing w:val="-12"/>
                <w:sz w:val="21"/>
                <w:highlight w:val="none"/>
              </w:rPr>
              <w:t>）</w:t>
            </w:r>
            <w:r>
              <w:rPr>
                <w:rFonts w:hint="eastAsia"/>
                <w:color w:val="auto"/>
                <w:sz w:val="21"/>
                <w:szCs w:val="21"/>
                <w:highlight w:val="none"/>
              </w:rPr>
              <w:t>不包括第15条引起“发包人应付承包人工程施工价款”调整的变更金额：因变更引起的“发包人应付承包人工程施工价款</w:t>
            </w:r>
            <w:r>
              <w:rPr>
                <w:rFonts w:hint="eastAsia"/>
                <w:color w:val="auto"/>
                <w:sz w:val="21"/>
                <w:szCs w:val="21"/>
                <w:highlight w:val="none"/>
                <w:lang w:val="en-US"/>
              </w:rPr>
              <w:t>"</w:t>
            </w:r>
            <w:r>
              <w:rPr>
                <w:rFonts w:hint="eastAsia"/>
                <w:color w:val="auto"/>
                <w:sz w:val="21"/>
                <w:szCs w:val="21"/>
                <w:highlight w:val="none"/>
              </w:rPr>
              <w:t>调整，在最终结算时增加或扣减；</w:t>
            </w:r>
          </w:p>
          <w:p>
            <w:pPr>
              <w:pStyle w:val="87"/>
              <w:adjustRightInd w:val="0"/>
              <w:snapToGrid w:val="0"/>
              <w:spacing w:line="264" w:lineRule="auto"/>
              <w:ind w:right="80" w:firstLine="372" w:firstLineChars="200"/>
              <w:rPr>
                <w:color w:val="auto"/>
                <w:sz w:val="21"/>
                <w:szCs w:val="21"/>
                <w:highlight w:val="none"/>
              </w:rPr>
            </w:pPr>
            <w:r>
              <w:rPr>
                <w:rFonts w:hint="eastAsia"/>
                <w:color w:val="auto"/>
                <w:spacing w:val="-12"/>
                <w:sz w:val="21"/>
                <w:highlight w:val="none"/>
              </w:rPr>
              <w:t>（</w:t>
            </w:r>
            <w:r>
              <w:rPr>
                <w:rFonts w:hint="eastAsia"/>
                <w:color w:val="auto"/>
                <w:spacing w:val="-12"/>
                <w:sz w:val="21"/>
                <w:highlight w:val="none"/>
                <w:lang w:val="en-US"/>
              </w:rPr>
              <w:t>3</w:t>
            </w:r>
            <w:r>
              <w:rPr>
                <w:rFonts w:hint="eastAsia"/>
                <w:color w:val="auto"/>
                <w:spacing w:val="-12"/>
                <w:sz w:val="21"/>
                <w:highlight w:val="none"/>
              </w:rPr>
              <w:t>）</w:t>
            </w:r>
            <w:r>
              <w:rPr>
                <w:rFonts w:hint="eastAsia"/>
                <w:color w:val="auto"/>
                <w:sz w:val="21"/>
                <w:szCs w:val="21"/>
                <w:highlight w:val="none"/>
              </w:rPr>
              <w:t>包括根据第</w:t>
            </w:r>
            <w:r>
              <w:rPr>
                <w:rFonts w:hint="eastAsia"/>
                <w:color w:val="auto"/>
                <w:sz w:val="21"/>
                <w:szCs w:val="21"/>
                <w:highlight w:val="none"/>
                <w:lang w:val="en-US"/>
              </w:rPr>
              <w:t>17.2</w:t>
            </w:r>
            <w:r>
              <w:rPr>
                <w:rFonts w:hint="eastAsia"/>
                <w:color w:val="auto"/>
                <w:sz w:val="21"/>
                <w:szCs w:val="21"/>
                <w:highlight w:val="none"/>
              </w:rPr>
              <w:t>款约定应支付的预付款(如有)和扣减的返还预付款(如 有)；</w:t>
            </w:r>
          </w:p>
          <w:p>
            <w:pPr>
              <w:pStyle w:val="87"/>
              <w:adjustRightInd w:val="0"/>
              <w:snapToGrid w:val="0"/>
              <w:spacing w:line="264" w:lineRule="auto"/>
              <w:ind w:right="80" w:firstLine="372" w:firstLineChars="200"/>
              <w:rPr>
                <w:color w:val="auto"/>
                <w:sz w:val="21"/>
                <w:szCs w:val="21"/>
                <w:highlight w:val="none"/>
              </w:rPr>
            </w:pPr>
            <w:r>
              <w:rPr>
                <w:rFonts w:hint="eastAsia"/>
                <w:color w:val="auto"/>
                <w:spacing w:val="-12"/>
                <w:sz w:val="21"/>
                <w:highlight w:val="none"/>
              </w:rPr>
              <w:t>（</w:t>
            </w:r>
            <w:r>
              <w:rPr>
                <w:rFonts w:hint="eastAsia"/>
                <w:color w:val="auto"/>
                <w:spacing w:val="-12"/>
                <w:sz w:val="21"/>
                <w:highlight w:val="none"/>
                <w:lang w:val="en-US"/>
              </w:rPr>
              <w:t>4</w:t>
            </w:r>
            <w:r>
              <w:rPr>
                <w:rFonts w:hint="eastAsia"/>
                <w:color w:val="auto"/>
                <w:spacing w:val="-12"/>
                <w:sz w:val="21"/>
                <w:highlight w:val="none"/>
              </w:rPr>
              <w:t>）</w:t>
            </w:r>
            <w:r>
              <w:rPr>
                <w:rFonts w:hint="eastAsia"/>
                <w:color w:val="auto"/>
                <w:sz w:val="21"/>
                <w:szCs w:val="21"/>
                <w:highlight w:val="none"/>
              </w:rPr>
              <w:t>包括根据第17</w:t>
            </w:r>
            <w:r>
              <w:rPr>
                <w:rFonts w:hint="eastAsia"/>
                <w:color w:val="auto"/>
                <w:sz w:val="21"/>
                <w:szCs w:val="21"/>
                <w:highlight w:val="none"/>
                <w:lang w:val="en-US"/>
              </w:rPr>
              <w:t>.</w:t>
            </w:r>
            <w:r>
              <w:rPr>
                <w:rFonts w:hint="eastAsia"/>
                <w:color w:val="auto"/>
                <w:sz w:val="21"/>
                <w:szCs w:val="21"/>
                <w:highlight w:val="none"/>
              </w:rPr>
              <w:t>4</w:t>
            </w:r>
            <w:r>
              <w:rPr>
                <w:rFonts w:hint="eastAsia"/>
                <w:color w:val="auto"/>
                <w:sz w:val="21"/>
                <w:szCs w:val="21"/>
                <w:highlight w:val="none"/>
                <w:lang w:val="en-US"/>
              </w:rPr>
              <w:t>.</w:t>
            </w:r>
            <w:r>
              <w:rPr>
                <w:rFonts w:hint="eastAsia"/>
                <w:color w:val="auto"/>
                <w:sz w:val="21"/>
                <w:szCs w:val="21"/>
                <w:highlight w:val="none"/>
              </w:rPr>
              <w:t>1项约定应扣减的质量保证金(如有)；</w:t>
            </w:r>
          </w:p>
          <w:p>
            <w:pPr>
              <w:pStyle w:val="87"/>
              <w:adjustRightInd w:val="0"/>
              <w:snapToGrid w:val="0"/>
              <w:spacing w:line="264" w:lineRule="auto"/>
              <w:ind w:right="80" w:firstLine="372" w:firstLineChars="200"/>
              <w:rPr>
                <w:color w:val="auto"/>
                <w:sz w:val="21"/>
                <w:szCs w:val="21"/>
                <w:highlight w:val="none"/>
              </w:rPr>
            </w:pPr>
            <w:r>
              <w:rPr>
                <w:rFonts w:hint="eastAsia"/>
                <w:color w:val="auto"/>
                <w:spacing w:val="-12"/>
                <w:sz w:val="21"/>
                <w:highlight w:val="none"/>
              </w:rPr>
              <w:t>（</w:t>
            </w:r>
            <w:r>
              <w:rPr>
                <w:rFonts w:hint="eastAsia"/>
                <w:color w:val="auto"/>
                <w:spacing w:val="-12"/>
                <w:sz w:val="21"/>
                <w:highlight w:val="none"/>
                <w:lang w:val="en-US"/>
              </w:rPr>
              <w:t>5</w:t>
            </w:r>
            <w:r>
              <w:rPr>
                <w:rFonts w:hint="eastAsia"/>
                <w:color w:val="auto"/>
                <w:spacing w:val="-12"/>
                <w:sz w:val="21"/>
                <w:highlight w:val="none"/>
              </w:rPr>
              <w:t>）</w:t>
            </w:r>
            <w:r>
              <w:rPr>
                <w:rFonts w:hint="eastAsia"/>
                <w:color w:val="auto"/>
                <w:sz w:val="21"/>
                <w:szCs w:val="21"/>
                <w:highlight w:val="none"/>
              </w:rPr>
              <w:t>不包括根据第23条应增加和扣减的索赔金额；</w:t>
            </w:r>
          </w:p>
          <w:p>
            <w:pPr>
              <w:pStyle w:val="87"/>
              <w:adjustRightInd w:val="0"/>
              <w:snapToGrid w:val="0"/>
              <w:spacing w:line="264" w:lineRule="auto"/>
              <w:ind w:right="80" w:firstLine="372" w:firstLineChars="200"/>
              <w:rPr>
                <w:color w:val="auto"/>
                <w:sz w:val="21"/>
                <w:highlight w:val="none"/>
              </w:rPr>
            </w:pPr>
            <w:r>
              <w:rPr>
                <w:rFonts w:hint="eastAsia"/>
                <w:color w:val="auto"/>
                <w:spacing w:val="-12"/>
                <w:sz w:val="21"/>
                <w:highlight w:val="none"/>
              </w:rPr>
              <w:t>（</w:t>
            </w:r>
            <w:r>
              <w:rPr>
                <w:rFonts w:hint="eastAsia"/>
                <w:color w:val="auto"/>
                <w:spacing w:val="-12"/>
                <w:sz w:val="21"/>
                <w:highlight w:val="none"/>
                <w:lang w:val="en-US"/>
              </w:rPr>
              <w:t>6</w:t>
            </w:r>
            <w:r>
              <w:rPr>
                <w:rFonts w:hint="eastAsia"/>
                <w:color w:val="auto"/>
                <w:spacing w:val="-12"/>
                <w:sz w:val="21"/>
                <w:highlight w:val="none"/>
              </w:rPr>
              <w:t>）</w:t>
            </w:r>
            <w:r>
              <w:rPr>
                <w:rFonts w:hint="eastAsia"/>
                <w:color w:val="auto"/>
                <w:sz w:val="21"/>
                <w:szCs w:val="21"/>
                <w:highlight w:val="none"/>
              </w:rPr>
              <w:t>包括根据合同应增加和扣减的其他金额(如有)。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0"/>
              <w:ind w:left="35" w:right="26"/>
              <w:jc w:val="center"/>
              <w:rPr>
                <w:color w:val="auto"/>
                <w:sz w:val="21"/>
                <w:highlight w:val="none"/>
                <w:lang w:val="en-US"/>
              </w:rPr>
            </w:pPr>
            <w:r>
              <w:rPr>
                <w:rFonts w:hint="eastAsia"/>
                <w:color w:val="auto"/>
                <w:sz w:val="21"/>
                <w:highlight w:val="none"/>
                <w:lang w:val="en-US"/>
              </w:rPr>
              <w:t>55</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spacing w:before="106"/>
              <w:ind w:right="-15"/>
              <w:jc w:val="center"/>
              <w:rPr>
                <w:color w:val="auto"/>
                <w:sz w:val="21"/>
                <w:highlight w:val="none"/>
              </w:rPr>
            </w:pPr>
            <w:r>
              <w:rPr>
                <w:rFonts w:hint="eastAsia"/>
                <w:color w:val="auto"/>
                <w:spacing w:val="-4"/>
                <w:sz w:val="21"/>
                <w:highlight w:val="none"/>
              </w:rPr>
              <w:t>17.3.3</w:t>
            </w:r>
            <w:r>
              <w:rPr>
                <w:rFonts w:hint="eastAsia"/>
                <w:color w:val="auto"/>
                <w:spacing w:val="-4"/>
                <w:sz w:val="21"/>
                <w:highlight w:val="none"/>
                <w:lang w:val="en-US"/>
              </w:rPr>
              <w:t>(</w:t>
            </w:r>
            <w:r>
              <w:rPr>
                <w:rFonts w:hint="eastAsia"/>
                <w:color w:val="auto"/>
                <w:spacing w:val="-4"/>
                <w:sz w:val="21"/>
                <w:highlight w:val="none"/>
              </w:rPr>
              <w:t>1</w:t>
            </w:r>
            <w:r>
              <w:rPr>
                <w:rFonts w:hint="eastAsia"/>
                <w:color w:val="auto"/>
                <w:spacing w:val="-4"/>
                <w:sz w:val="21"/>
                <w:highlight w:val="none"/>
                <w:lang w:val="en-US"/>
              </w:rPr>
              <w:t>)</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3115"/>
                <w:tab w:val="left" w:pos="5028"/>
              </w:tabs>
              <w:adjustRightInd w:val="0"/>
              <w:snapToGrid w:val="0"/>
              <w:spacing w:line="336" w:lineRule="auto"/>
              <w:ind w:left="326"/>
              <w:rPr>
                <w:color w:val="auto"/>
                <w:sz w:val="21"/>
                <w:highlight w:val="none"/>
              </w:rPr>
            </w:pPr>
            <w:r>
              <w:rPr>
                <w:rFonts w:hint="eastAsia"/>
                <w:color w:val="auto"/>
                <w:sz w:val="21"/>
                <w:highlight w:val="none"/>
              </w:rPr>
              <w:t>进度</w:t>
            </w:r>
            <w:r>
              <w:rPr>
                <w:rFonts w:hint="eastAsia"/>
                <w:color w:val="auto"/>
                <w:spacing w:val="-3"/>
                <w:sz w:val="21"/>
                <w:highlight w:val="none"/>
              </w:rPr>
              <w:t>付</w:t>
            </w:r>
            <w:r>
              <w:rPr>
                <w:rFonts w:hint="eastAsia"/>
                <w:color w:val="auto"/>
                <w:sz w:val="21"/>
                <w:highlight w:val="none"/>
              </w:rPr>
              <w:t>款</w:t>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最</w:t>
            </w:r>
            <w:r>
              <w:rPr>
                <w:rFonts w:hint="eastAsia"/>
                <w:color w:val="auto"/>
                <w:sz w:val="21"/>
                <w:highlight w:val="none"/>
              </w:rPr>
              <w:t>低</w:t>
            </w:r>
            <w:r>
              <w:rPr>
                <w:rFonts w:hint="eastAsia"/>
                <w:color w:val="auto"/>
                <w:spacing w:val="-3"/>
                <w:sz w:val="21"/>
                <w:highlight w:val="none"/>
              </w:rPr>
              <w:t>限</w:t>
            </w:r>
            <w:r>
              <w:rPr>
                <w:rFonts w:hint="eastAsia"/>
                <w:color w:val="auto"/>
                <w:sz w:val="21"/>
                <w:highlight w:val="none"/>
              </w:rPr>
              <w:t>额</w:t>
            </w:r>
            <w:r>
              <w:rPr>
                <w:rFonts w:hint="eastAsia"/>
                <w:color w:val="auto"/>
                <w:spacing w:val="-3"/>
                <w:sz w:val="21"/>
                <w:highlight w:val="none"/>
              </w:rPr>
              <w:t>：</w:t>
            </w:r>
            <w:r>
              <w:rPr>
                <w:rFonts w:hint="eastAsia"/>
                <w:color w:val="auto"/>
                <w:spacing w:val="-3"/>
                <w:sz w:val="21"/>
                <w:highlight w:val="none"/>
                <w:u w:val="single"/>
              </w:rPr>
              <w:t xml:space="preserve"> </w:t>
            </w:r>
            <w:r>
              <w:rPr>
                <w:rFonts w:hint="eastAsia"/>
                <w:color w:val="auto"/>
                <w:spacing w:val="9"/>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z w:val="21"/>
                <w:highlight w:val="none"/>
              </w:rPr>
              <w:t>%</w:t>
            </w:r>
            <w:r>
              <w:rPr>
                <w:rFonts w:hint="eastAsia"/>
                <w:color w:val="auto"/>
                <w:spacing w:val="-3"/>
                <w:sz w:val="21"/>
                <w:highlight w:val="none"/>
              </w:rPr>
              <w:t>签</w:t>
            </w:r>
            <w:r>
              <w:rPr>
                <w:rFonts w:hint="eastAsia"/>
                <w:color w:val="auto"/>
                <w:sz w:val="21"/>
                <w:highlight w:val="none"/>
              </w:rPr>
              <w:t>约</w:t>
            </w:r>
            <w:r>
              <w:rPr>
                <w:rFonts w:hint="eastAsia"/>
                <w:color w:val="auto"/>
                <w:spacing w:val="-3"/>
                <w:sz w:val="21"/>
                <w:highlight w:val="none"/>
              </w:rPr>
              <w:t>合</w:t>
            </w:r>
            <w:r>
              <w:rPr>
                <w:rFonts w:hint="eastAsia"/>
                <w:color w:val="auto"/>
                <w:sz w:val="21"/>
                <w:highlight w:val="none"/>
              </w:rPr>
              <w:t>同价</w:t>
            </w:r>
            <w:r>
              <w:rPr>
                <w:rFonts w:hint="eastAsia"/>
                <w:color w:val="auto"/>
                <w:spacing w:val="-3"/>
                <w:sz w:val="21"/>
                <w:highlight w:val="none"/>
              </w:rPr>
              <w:t>或</w:t>
            </w:r>
            <w:r>
              <w:rPr>
                <w:rFonts w:hint="eastAsia"/>
                <w:color w:val="auto"/>
                <w:spacing w:val="-3"/>
                <w:sz w:val="21"/>
                <w:highlight w:val="none"/>
                <w:u w:val="single"/>
              </w:rPr>
              <w:t xml:space="preserve"> </w:t>
            </w:r>
            <w:r>
              <w:rPr>
                <w:rFonts w:hint="eastAsia"/>
                <w:color w:val="auto"/>
                <w:spacing w:val="8"/>
                <w:sz w:val="21"/>
                <w:highlight w:val="none"/>
                <w:u w:val="single"/>
              </w:rPr>
              <w:t xml:space="preserve"> </w:t>
            </w:r>
            <w:r>
              <w:rPr>
                <w:rFonts w:hint="eastAsia"/>
                <w:color w:val="auto"/>
                <w:sz w:val="21"/>
                <w:highlight w:val="none"/>
                <w:u w:val="single"/>
              </w:rPr>
              <w:t>/</w:t>
            </w:r>
            <w:r>
              <w:rPr>
                <w:rFonts w:hint="eastAsia"/>
                <w:color w:val="auto"/>
                <w:sz w:val="21"/>
                <w:highlight w:val="none"/>
                <w:u w:val="single"/>
              </w:rPr>
              <w:tab/>
            </w:r>
            <w:r>
              <w:rPr>
                <w:rFonts w:hint="eastAsia"/>
                <w:color w:val="auto"/>
                <w:sz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56</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right="-15"/>
              <w:jc w:val="center"/>
              <w:rPr>
                <w:color w:val="auto"/>
                <w:sz w:val="21"/>
                <w:highlight w:val="none"/>
              </w:rPr>
            </w:pPr>
            <w:r>
              <w:rPr>
                <w:rFonts w:hint="eastAsia"/>
                <w:color w:val="auto"/>
                <w:spacing w:val="-4"/>
                <w:sz w:val="21"/>
                <w:highlight w:val="none"/>
              </w:rPr>
              <w:t>17.3.3</w:t>
            </w:r>
            <w:r>
              <w:rPr>
                <w:rFonts w:hint="eastAsia"/>
                <w:color w:val="auto"/>
                <w:spacing w:val="-4"/>
                <w:sz w:val="21"/>
                <w:highlight w:val="none"/>
                <w:lang w:val="en-US"/>
              </w:rPr>
              <w:t>(2)</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36" w:lineRule="auto"/>
              <w:ind w:right="82" w:firstLine="420" w:firstLineChars="200"/>
              <w:rPr>
                <w:color w:val="auto"/>
                <w:sz w:val="21"/>
                <w:highlight w:val="none"/>
              </w:rPr>
            </w:pPr>
            <w:r>
              <w:rPr>
                <w:rFonts w:hint="eastAsia"/>
                <w:color w:val="auto"/>
                <w:sz w:val="21"/>
                <w:highlight w:val="none"/>
              </w:rPr>
              <w:t>逾期付款违约金的利率：</w:t>
            </w:r>
            <w:r>
              <w:rPr>
                <w:rFonts w:hint="eastAsia"/>
                <w:color w:val="auto"/>
                <w:sz w:val="21"/>
                <w:highlight w:val="none"/>
                <w:u w:val="single"/>
              </w:rPr>
              <w:t xml:space="preserve">  本项目进度付款涉及政府投资资金，进度付款按照国库集中支付等国家及项目所在地省市及地区的政府及各级行业主管部门的相关规定办理。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57</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right="90"/>
              <w:jc w:val="center"/>
              <w:rPr>
                <w:color w:val="auto"/>
                <w:sz w:val="21"/>
                <w:highlight w:val="none"/>
              </w:rPr>
            </w:pPr>
            <w:r>
              <w:rPr>
                <w:rFonts w:hint="eastAsia"/>
                <w:color w:val="auto"/>
                <w:sz w:val="21"/>
                <w:highlight w:val="none"/>
              </w:rPr>
              <w:t>17.3.5</w:t>
            </w:r>
          </w:p>
        </w:tc>
        <w:tc>
          <w:tcPr>
            <w:tcW w:w="7780" w:type="dxa"/>
            <w:tcBorders>
              <w:top w:val="single" w:color="000000" w:sz="2" w:space="0"/>
              <w:left w:val="single" w:color="000000" w:sz="2" w:space="0"/>
              <w:bottom w:val="single" w:color="000000" w:sz="2" w:space="0"/>
              <w:right w:val="single" w:color="000000" w:sz="8" w:space="0"/>
            </w:tcBorders>
          </w:tcPr>
          <w:p>
            <w:pPr>
              <w:adjustRightInd w:val="0"/>
              <w:snapToGrid w:val="0"/>
              <w:spacing w:line="300" w:lineRule="auto"/>
              <w:rPr>
                <w:color w:val="auto"/>
                <w:highlight w:val="none"/>
              </w:rPr>
            </w:pPr>
            <w:r>
              <w:rPr>
                <w:color w:val="auto"/>
                <w:highlight w:val="none"/>
              </w:rPr>
              <w:t>农民工工资保证金的额度、提交形式、使用范围、扣留条件、返还时间：执行 项目所在省、市的人力资源社会保障行政部门、交通运输主管部门等施行的规定</w:t>
            </w:r>
            <w:r>
              <w:rPr>
                <w:rFonts w:hint="eastAsia"/>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58</w:t>
            </w:r>
          </w:p>
        </w:tc>
        <w:tc>
          <w:tcPr>
            <w:tcW w:w="1295"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17.3.6</w:t>
            </w:r>
          </w:p>
        </w:tc>
        <w:tc>
          <w:tcPr>
            <w:tcW w:w="7780" w:type="dxa"/>
            <w:tcBorders>
              <w:top w:val="single" w:color="000000" w:sz="2" w:space="0"/>
              <w:left w:val="single" w:color="000000" w:sz="2" w:space="0"/>
              <w:bottom w:val="single" w:color="000000" w:sz="2" w:space="0"/>
              <w:right w:val="single" w:color="000000" w:sz="8" w:space="0"/>
            </w:tcBorders>
          </w:tcPr>
          <w:p>
            <w:pPr>
              <w:pStyle w:val="263"/>
              <w:adjustRightInd w:val="0"/>
              <w:snapToGrid w:val="0"/>
              <w:spacing w:line="264" w:lineRule="auto"/>
              <w:ind w:firstLine="420" w:firstLineChars="200"/>
              <w:jc w:val="both"/>
              <w:rPr>
                <w:color w:val="auto"/>
                <w:sz w:val="21"/>
                <w:szCs w:val="21"/>
                <w:highlight w:val="none"/>
              </w:rPr>
            </w:pPr>
            <w:r>
              <w:rPr>
                <w:rFonts w:hint="eastAsia"/>
                <w:color w:val="auto"/>
                <w:sz w:val="21"/>
                <w:szCs w:val="21"/>
                <w:highlight w:val="none"/>
              </w:rPr>
              <w:t>工程进度付款的结算原则：</w:t>
            </w:r>
          </w:p>
          <w:p>
            <w:pPr>
              <w:pStyle w:val="263"/>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）工程进度付款结算以经本标段监理人、总监理工程师签证后经发包人、项 目管理法人盖章认证的《工程计量支付统计报表》为依据，承包人向出资人开具符合要求的发票，由出资人直接支付。</w:t>
            </w:r>
          </w:p>
          <w:p>
            <w:pPr>
              <w:pStyle w:val="263"/>
              <w:tabs>
                <w:tab w:val="left" w:pos="1072"/>
              </w:tabs>
              <w:adjustRightInd w:val="0"/>
              <w:snapToGrid w:val="0"/>
              <w:spacing w:line="264" w:lineRule="auto"/>
              <w:ind w:firstLine="210" w:firstLineChars="100"/>
              <w:jc w:val="both"/>
              <w:rPr>
                <w:color w:val="auto"/>
                <w:sz w:val="21"/>
                <w:szCs w:val="21"/>
                <w:highlight w:val="none"/>
              </w:rPr>
            </w:pPr>
            <w:r>
              <w:rPr>
                <w:rFonts w:hint="eastAsia"/>
                <w:color w:val="auto"/>
                <w:sz w:val="21"/>
                <w:szCs w:val="21"/>
                <w:highlight w:val="none"/>
              </w:rPr>
              <w:t>（2）发包人指派第三方检测机构对承包人上报的工程量进行复核、对工程质量 进行检查的，应经第三方检测机构检查合格并核定后方予计量工程量。</w:t>
            </w:r>
          </w:p>
          <w:p>
            <w:pPr>
              <w:pStyle w:val="87"/>
              <w:tabs>
                <w:tab w:val="left" w:pos="856"/>
              </w:tabs>
              <w:adjustRightInd w:val="0"/>
              <w:snapToGrid w:val="0"/>
              <w:spacing w:line="264" w:lineRule="auto"/>
              <w:ind w:firstLine="210" w:firstLineChars="100"/>
              <w:rPr>
                <w:color w:val="auto"/>
                <w:highlight w:val="none"/>
              </w:rPr>
            </w:pPr>
            <w:r>
              <w:rPr>
                <w:rFonts w:hint="eastAsia"/>
                <w:color w:val="auto"/>
                <w:sz w:val="21"/>
                <w:szCs w:val="21"/>
                <w:highlight w:val="none"/>
              </w:rPr>
              <w:t>（3）出资人只对经确认的承包人工程进度款收款账户、农民工工资专用账户进 行支付。合同签订后15天内承包人应将开户行、银行账号报发包人确认备案。</w:t>
            </w:r>
          </w:p>
        </w:tc>
      </w:tr>
    </w:tbl>
    <w:p>
      <w:pPr>
        <w:pStyle w:val="267"/>
        <w:rPr>
          <w:color w:val="auto"/>
          <w:highlight w:val="none"/>
        </w:rPr>
        <w:sectPr>
          <w:pgSz w:w="11906" w:h="16838"/>
          <w:pgMar w:top="1440" w:right="991" w:bottom="1440" w:left="1418" w:header="851" w:footer="992" w:gutter="0"/>
          <w:cols w:space="720" w:num="1"/>
          <w:docGrid w:type="lines" w:linePitch="312" w:charSpace="0"/>
        </w:sectPr>
      </w:pPr>
    </w:p>
    <w:tbl>
      <w:tblPr>
        <w:tblStyle w:val="47"/>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133"/>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856"/>
              </w:tabs>
              <w:adjustRightInd w:val="0"/>
              <w:snapToGrid w:val="0"/>
              <w:spacing w:line="264" w:lineRule="auto"/>
              <w:ind w:firstLine="210" w:firstLineChars="100"/>
              <w:rPr>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59</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17.4.1</w:t>
            </w:r>
          </w:p>
        </w:tc>
        <w:tc>
          <w:tcPr>
            <w:tcW w:w="7780" w:type="dxa"/>
            <w:tcBorders>
              <w:top w:val="single" w:color="000000" w:sz="2" w:space="0"/>
              <w:left w:val="single" w:color="000000" w:sz="2" w:space="0"/>
              <w:bottom w:val="single" w:color="000000" w:sz="2" w:space="0"/>
              <w:right w:val="single" w:color="000000" w:sz="8" w:space="0"/>
            </w:tcBorders>
          </w:tcPr>
          <w:p>
            <w:pPr>
              <w:pStyle w:val="87"/>
              <w:shd w:val="clear" w:color="auto" w:fill="FFFFFF"/>
              <w:tabs>
                <w:tab w:val="left" w:pos="3375"/>
              </w:tabs>
              <w:adjustRightInd w:val="0"/>
              <w:snapToGrid w:val="0"/>
              <w:spacing w:line="300" w:lineRule="auto"/>
              <w:rPr>
                <w:color w:val="auto"/>
                <w:sz w:val="21"/>
                <w:highlight w:val="none"/>
              </w:rPr>
            </w:pPr>
            <w:r>
              <w:rPr>
                <w:rFonts w:hint="eastAsia"/>
                <w:color w:val="auto"/>
                <w:sz w:val="21"/>
                <w:highlight w:val="none"/>
              </w:rPr>
              <w:t>质量</w:t>
            </w:r>
            <w:r>
              <w:rPr>
                <w:rFonts w:hint="eastAsia"/>
                <w:color w:val="auto"/>
                <w:spacing w:val="-3"/>
                <w:sz w:val="21"/>
                <w:highlight w:val="none"/>
              </w:rPr>
              <w:t>保</w:t>
            </w:r>
            <w:r>
              <w:rPr>
                <w:rFonts w:hint="eastAsia"/>
                <w:color w:val="auto"/>
                <w:sz w:val="21"/>
                <w:highlight w:val="none"/>
              </w:rPr>
              <w:t>证</w:t>
            </w:r>
            <w:r>
              <w:rPr>
                <w:rFonts w:hint="eastAsia"/>
                <w:color w:val="auto"/>
                <w:spacing w:val="-3"/>
                <w:sz w:val="21"/>
                <w:highlight w:val="none"/>
              </w:rPr>
              <w:t>金</w:t>
            </w:r>
            <w:r>
              <w:rPr>
                <w:rFonts w:hint="eastAsia"/>
                <w:color w:val="auto"/>
                <w:sz w:val="21"/>
                <w:highlight w:val="none"/>
              </w:rPr>
              <w:t>金</w:t>
            </w:r>
            <w:r>
              <w:rPr>
                <w:rFonts w:hint="eastAsia"/>
                <w:color w:val="auto"/>
                <w:spacing w:val="-3"/>
                <w:sz w:val="21"/>
                <w:highlight w:val="none"/>
              </w:rPr>
              <w:t>额</w:t>
            </w:r>
            <w:r>
              <w:rPr>
                <w:rFonts w:hint="eastAsia"/>
                <w:color w:val="auto"/>
                <w:sz w:val="21"/>
                <w:highlight w:val="none"/>
              </w:rPr>
              <w:t>，</w:t>
            </w:r>
            <w:r>
              <w:rPr>
                <w:rFonts w:hint="eastAsia"/>
                <w:color w:val="auto"/>
                <w:spacing w:val="-3"/>
                <w:sz w:val="21"/>
                <w:highlight w:val="none"/>
              </w:rPr>
              <w:t>规</w:t>
            </w:r>
            <w:r>
              <w:rPr>
                <w:rFonts w:hint="eastAsia"/>
                <w:color w:val="auto"/>
                <w:sz w:val="21"/>
                <w:highlight w:val="none"/>
              </w:rPr>
              <w:t>定</w:t>
            </w:r>
            <w:r>
              <w:rPr>
                <w:rFonts w:hint="eastAsia"/>
                <w:color w:val="auto"/>
                <w:spacing w:val="-3"/>
                <w:sz w:val="21"/>
                <w:highlight w:val="none"/>
              </w:rPr>
              <w:t>为</w:t>
            </w:r>
            <w:r>
              <w:rPr>
                <w:rFonts w:hint="eastAsia"/>
                <w:color w:val="auto"/>
                <w:sz w:val="21"/>
                <w:highlight w:val="none"/>
              </w:rPr>
              <w:t>：</w:t>
            </w:r>
            <w:r>
              <w:rPr>
                <w:rFonts w:hint="eastAsia"/>
                <w:color w:val="auto"/>
                <w:sz w:val="21"/>
                <w:highlight w:val="none"/>
                <w:u w:val="single"/>
              </w:rPr>
              <w:t xml:space="preserve"> </w:t>
            </w:r>
            <w:r>
              <w:rPr>
                <w:rFonts w:hint="eastAsia"/>
                <w:color w:val="auto"/>
                <w:spacing w:val="8"/>
                <w:sz w:val="21"/>
                <w:highlight w:val="none"/>
                <w:u w:val="single"/>
              </w:rPr>
              <w:t xml:space="preserve"> </w:t>
            </w:r>
            <w:r>
              <w:rPr>
                <w:rFonts w:hint="eastAsia"/>
                <w:color w:val="auto"/>
                <w:sz w:val="21"/>
                <w:highlight w:val="none"/>
                <w:u w:val="single"/>
              </w:rPr>
              <w:t>3</w:t>
            </w:r>
            <w:r>
              <w:rPr>
                <w:rFonts w:hint="eastAsia"/>
                <w:color w:val="auto"/>
                <w:sz w:val="21"/>
                <w:highlight w:val="none"/>
                <w:u w:val="single"/>
              </w:rPr>
              <w:tab/>
            </w:r>
            <w:r>
              <w:rPr>
                <w:rFonts w:hint="eastAsia"/>
                <w:color w:val="auto"/>
                <w:sz w:val="21"/>
                <w:highlight w:val="none"/>
              </w:rPr>
              <w:t>%</w:t>
            </w:r>
            <w:r>
              <w:rPr>
                <w:rFonts w:hint="eastAsia"/>
                <w:color w:val="auto"/>
                <w:spacing w:val="-3"/>
                <w:sz w:val="21"/>
                <w:highlight w:val="none"/>
              </w:rPr>
              <w:t>工</w:t>
            </w:r>
            <w:r>
              <w:rPr>
                <w:rFonts w:hint="eastAsia"/>
                <w:color w:val="auto"/>
                <w:sz w:val="21"/>
                <w:highlight w:val="none"/>
              </w:rPr>
              <w:t>程</w:t>
            </w:r>
            <w:r>
              <w:rPr>
                <w:rFonts w:hint="eastAsia"/>
                <w:color w:val="auto"/>
                <w:spacing w:val="-3"/>
                <w:sz w:val="21"/>
                <w:highlight w:val="none"/>
              </w:rPr>
              <w:t>价</w:t>
            </w:r>
            <w:r>
              <w:rPr>
                <w:rFonts w:hint="eastAsia"/>
                <w:color w:val="auto"/>
                <w:sz w:val="21"/>
                <w:highlight w:val="none"/>
              </w:rPr>
              <w:t>款</w:t>
            </w:r>
            <w:r>
              <w:rPr>
                <w:rFonts w:hint="eastAsia"/>
                <w:color w:val="auto"/>
                <w:spacing w:val="-3"/>
                <w:sz w:val="21"/>
                <w:highlight w:val="none"/>
              </w:rPr>
              <w:t>结</w:t>
            </w:r>
            <w:r>
              <w:rPr>
                <w:rFonts w:hint="eastAsia"/>
                <w:color w:val="auto"/>
                <w:sz w:val="21"/>
                <w:highlight w:val="none"/>
              </w:rPr>
              <w:t>算</w:t>
            </w:r>
            <w:r>
              <w:rPr>
                <w:rFonts w:hint="eastAsia"/>
                <w:color w:val="auto"/>
                <w:spacing w:val="-3"/>
                <w:sz w:val="21"/>
                <w:highlight w:val="none"/>
              </w:rPr>
              <w:t>总</w:t>
            </w:r>
            <w:r>
              <w:rPr>
                <w:rFonts w:hint="eastAsia"/>
                <w:color w:val="auto"/>
                <w:sz w:val="21"/>
                <w:highlight w:val="none"/>
              </w:rPr>
              <w:t>额，</w:t>
            </w:r>
            <w:r>
              <w:rPr>
                <w:rFonts w:hint="eastAsia"/>
                <w:color w:val="auto"/>
                <w:spacing w:val="-3"/>
                <w:sz w:val="21"/>
                <w:highlight w:val="none"/>
              </w:rPr>
              <w:t>质</w:t>
            </w:r>
            <w:r>
              <w:rPr>
                <w:rFonts w:hint="eastAsia"/>
                <w:color w:val="auto"/>
                <w:sz w:val="21"/>
                <w:highlight w:val="none"/>
              </w:rPr>
              <w:t>量</w:t>
            </w:r>
            <w:r>
              <w:rPr>
                <w:rFonts w:hint="eastAsia"/>
                <w:color w:val="auto"/>
                <w:spacing w:val="-3"/>
                <w:sz w:val="21"/>
                <w:highlight w:val="none"/>
              </w:rPr>
              <w:t>保</w:t>
            </w:r>
            <w:r>
              <w:rPr>
                <w:rFonts w:hint="eastAsia"/>
                <w:color w:val="auto"/>
                <w:sz w:val="21"/>
                <w:highlight w:val="none"/>
              </w:rPr>
              <w:t>证</w:t>
            </w:r>
            <w:r>
              <w:rPr>
                <w:rFonts w:hint="eastAsia"/>
                <w:color w:val="auto"/>
                <w:spacing w:val="-3"/>
                <w:sz w:val="21"/>
                <w:highlight w:val="none"/>
              </w:rPr>
              <w:t>金</w:t>
            </w:r>
            <w:r>
              <w:rPr>
                <w:rFonts w:hint="eastAsia"/>
                <w:color w:val="auto"/>
                <w:sz w:val="21"/>
                <w:highlight w:val="none"/>
              </w:rPr>
              <w:t>不</w:t>
            </w:r>
            <w:r>
              <w:rPr>
                <w:rFonts w:hint="eastAsia"/>
                <w:color w:val="auto"/>
                <w:spacing w:val="-3"/>
                <w:sz w:val="21"/>
                <w:highlight w:val="none"/>
              </w:rPr>
              <w:t>计付息</w:t>
            </w:r>
            <w:r>
              <w:rPr>
                <w:rFonts w:hint="eastAsia"/>
                <w:color w:val="auto"/>
                <w:sz w:val="21"/>
                <w:highlight w:val="none"/>
              </w:rPr>
              <w:t>。</w:t>
            </w:r>
          </w:p>
          <w:p>
            <w:pPr>
              <w:pStyle w:val="87"/>
              <w:shd w:val="clear" w:color="auto" w:fill="FFFFFF"/>
              <w:tabs>
                <w:tab w:val="left" w:pos="856"/>
              </w:tabs>
              <w:adjustRightInd w:val="0"/>
              <w:snapToGrid w:val="0"/>
              <w:spacing w:line="300" w:lineRule="auto"/>
              <w:ind w:right="81" w:firstLine="105" w:firstLineChars="50"/>
              <w:jc w:val="both"/>
              <w:rPr>
                <w:color w:val="auto"/>
                <w:sz w:val="21"/>
                <w:highlight w:val="none"/>
              </w:rPr>
            </w:pPr>
            <w:r>
              <w:rPr>
                <w:rFonts w:hint="eastAsia"/>
                <w:color w:val="auto"/>
                <w:sz w:val="21"/>
                <w:highlight w:val="none"/>
              </w:rPr>
              <w:t>（1）</w:t>
            </w:r>
            <w:r>
              <w:rPr>
                <w:rFonts w:hint="eastAsia"/>
                <w:color w:val="auto"/>
                <w:spacing w:val="-9"/>
                <w:sz w:val="21"/>
                <w:highlight w:val="none"/>
              </w:rPr>
              <w:t>承包人履约保证金、质量保证金均采用银行保函形式的，在发包人与承包</w:t>
            </w:r>
            <w:r>
              <w:rPr>
                <w:rFonts w:hint="eastAsia"/>
                <w:color w:val="auto"/>
                <w:spacing w:val="-6"/>
                <w:sz w:val="21"/>
                <w:highlight w:val="none"/>
              </w:rPr>
              <w:t>人完成本合同工程价款结算后，承包人应在工程验收证书颁发之前，按《项目专用</w:t>
            </w:r>
            <w:r>
              <w:rPr>
                <w:rFonts w:hint="eastAsia"/>
                <w:color w:val="auto"/>
                <w:spacing w:val="-5"/>
                <w:sz w:val="21"/>
                <w:highlight w:val="none"/>
              </w:rPr>
              <w:t>合同条款数据表》中规定的额度向发包人提交质量保证金银行保函，出具保函的银</w:t>
            </w:r>
            <w:r>
              <w:rPr>
                <w:rFonts w:hint="eastAsia"/>
                <w:color w:val="auto"/>
                <w:spacing w:val="-4"/>
                <w:sz w:val="21"/>
                <w:highlight w:val="none"/>
              </w:rPr>
              <w:t>行须具有相应担保能力，且按照发包人批准的格式出具，所需费用由承包人承担， 保函的有效期应至缺陷责任期满之日止。</w:t>
            </w:r>
          </w:p>
          <w:p>
            <w:pPr>
              <w:pStyle w:val="87"/>
              <w:shd w:val="clear" w:color="auto" w:fill="FFFFFF"/>
              <w:adjustRightInd w:val="0"/>
              <w:snapToGrid w:val="0"/>
              <w:spacing w:line="300" w:lineRule="auto"/>
              <w:ind w:left="114" w:leftChars="52" w:right="82" w:firstLine="210" w:firstLineChars="100"/>
              <w:jc w:val="both"/>
              <w:rPr>
                <w:color w:val="auto"/>
                <w:sz w:val="21"/>
                <w:highlight w:val="none"/>
              </w:rPr>
            </w:pPr>
            <w:r>
              <w:rPr>
                <w:rFonts w:hint="eastAsia"/>
                <w:color w:val="auto"/>
                <w:sz w:val="21"/>
                <w:highlight w:val="none"/>
              </w:rPr>
              <w:t>履约保证金保函的有效期至缺陷责任期满之日止，且承包人履约保证金保函金额不低于质量保证金金额的，承包人无须另行提交质量保证金银行保函。</w:t>
            </w:r>
          </w:p>
          <w:p>
            <w:pPr>
              <w:pStyle w:val="87"/>
              <w:shd w:val="clear" w:color="auto" w:fill="FFFFFF"/>
              <w:adjustRightInd w:val="0"/>
              <w:snapToGrid w:val="0"/>
              <w:spacing w:line="300" w:lineRule="auto"/>
              <w:ind w:left="114" w:leftChars="52" w:right="82" w:firstLine="199" w:firstLineChars="98"/>
              <w:jc w:val="both"/>
              <w:rPr>
                <w:color w:val="auto"/>
                <w:sz w:val="21"/>
                <w:highlight w:val="none"/>
              </w:rPr>
            </w:pPr>
            <w:r>
              <w:rPr>
                <w:rFonts w:hint="eastAsia"/>
                <w:color w:val="auto"/>
                <w:spacing w:val="-3"/>
                <w:sz w:val="21"/>
                <w:highlight w:val="none"/>
              </w:rPr>
              <w:t>履约保证金保函的有效期至缺陷责任期满之日止，但承包人履约保证金保函金额低于质量保证金金额的，承包人应另行提交全额质量保证金银行保函。同时，发包</w:t>
            </w:r>
            <w:r>
              <w:rPr>
                <w:rFonts w:hint="eastAsia"/>
                <w:color w:val="auto"/>
                <w:spacing w:val="-6"/>
                <w:sz w:val="21"/>
                <w:highlight w:val="none"/>
              </w:rPr>
              <w:t>人将提前终止承包人履约保证金保函的有效期</w:t>
            </w:r>
            <w:r>
              <w:rPr>
                <w:rFonts w:hint="eastAsia"/>
                <w:color w:val="auto"/>
                <w:spacing w:val="-3"/>
                <w:sz w:val="21"/>
                <w:highlight w:val="none"/>
              </w:rPr>
              <w:t>（至颁发工程验收证书之日</w:t>
            </w:r>
            <w:r>
              <w:rPr>
                <w:rFonts w:hint="eastAsia"/>
                <w:color w:val="auto"/>
                <w:spacing w:val="-81"/>
                <w:sz w:val="21"/>
                <w:highlight w:val="none"/>
              </w:rPr>
              <w:t>）</w:t>
            </w:r>
            <w:r>
              <w:rPr>
                <w:rFonts w:hint="eastAsia"/>
                <w:color w:val="auto"/>
                <w:spacing w:val="-21"/>
                <w:sz w:val="21"/>
                <w:highlight w:val="none"/>
              </w:rPr>
              <w:t>，并函告</w:t>
            </w:r>
            <w:r>
              <w:rPr>
                <w:rFonts w:hint="eastAsia"/>
                <w:color w:val="auto"/>
                <w:spacing w:val="-8"/>
                <w:sz w:val="21"/>
                <w:highlight w:val="none"/>
              </w:rPr>
              <w:t>出具保函的银行。</w:t>
            </w:r>
          </w:p>
          <w:p>
            <w:pPr>
              <w:pStyle w:val="87"/>
              <w:shd w:val="clear" w:color="auto" w:fill="FFFFFF"/>
              <w:tabs>
                <w:tab w:val="left" w:pos="856"/>
              </w:tabs>
              <w:adjustRightInd w:val="0"/>
              <w:snapToGrid w:val="0"/>
              <w:spacing w:line="300" w:lineRule="auto"/>
              <w:ind w:right="82" w:firstLine="105" w:firstLineChars="50"/>
              <w:jc w:val="both"/>
              <w:rPr>
                <w:color w:val="auto"/>
                <w:sz w:val="21"/>
                <w:highlight w:val="none"/>
              </w:rPr>
            </w:pPr>
            <w:r>
              <w:rPr>
                <w:rFonts w:hint="eastAsia"/>
                <w:color w:val="auto"/>
                <w:sz w:val="21"/>
                <w:highlight w:val="none"/>
              </w:rPr>
              <w:t>（2）</w:t>
            </w:r>
            <w:r>
              <w:rPr>
                <w:rFonts w:hint="eastAsia"/>
                <w:color w:val="auto"/>
                <w:spacing w:val="-7"/>
                <w:sz w:val="21"/>
                <w:highlight w:val="none"/>
              </w:rPr>
              <w:t>承包人履约保证金、质量保证金均采用现金</w:t>
            </w:r>
            <w:r>
              <w:rPr>
                <w:rFonts w:hint="eastAsia"/>
                <w:color w:val="auto"/>
                <w:spacing w:val="-3"/>
                <w:sz w:val="21"/>
                <w:highlight w:val="none"/>
              </w:rPr>
              <w:t>（电汇或银行汇票形式</w:t>
            </w:r>
            <w:r>
              <w:rPr>
                <w:rFonts w:hint="eastAsia"/>
                <w:color w:val="auto"/>
                <w:spacing w:val="-25"/>
                <w:sz w:val="21"/>
                <w:highlight w:val="none"/>
              </w:rPr>
              <w:t>）</w:t>
            </w:r>
            <w:r>
              <w:rPr>
                <w:rFonts w:hint="eastAsia"/>
                <w:color w:val="auto"/>
                <w:spacing w:val="-13"/>
                <w:sz w:val="21"/>
                <w:highlight w:val="none"/>
              </w:rPr>
              <w:t xml:space="preserve">的， </w:t>
            </w:r>
            <w:r>
              <w:rPr>
                <w:rFonts w:hint="eastAsia"/>
                <w:color w:val="auto"/>
                <w:spacing w:val="-3"/>
                <w:sz w:val="21"/>
                <w:highlight w:val="none"/>
              </w:rPr>
              <w:t>承包人应在签发工程验收证书时，按《项目专用合同条款数据表》中的规定的金额向发包人提交质量保证金。</w:t>
            </w:r>
          </w:p>
          <w:p>
            <w:pPr>
              <w:pStyle w:val="87"/>
              <w:shd w:val="clear" w:color="auto" w:fill="FFFFFF"/>
              <w:adjustRightInd w:val="0"/>
              <w:snapToGrid w:val="0"/>
              <w:spacing w:line="300" w:lineRule="auto"/>
              <w:ind w:left="114" w:leftChars="52" w:right="82"/>
              <w:jc w:val="both"/>
              <w:rPr>
                <w:color w:val="auto"/>
                <w:sz w:val="21"/>
                <w:highlight w:val="none"/>
              </w:rPr>
            </w:pPr>
            <w:r>
              <w:rPr>
                <w:rFonts w:hint="eastAsia"/>
                <w:color w:val="auto"/>
                <w:sz w:val="21"/>
                <w:highlight w:val="none"/>
              </w:rPr>
              <w:t>如履约保证金金额不低于质量保证金金额的，发包人从履约保证金中扣留相应额度的质量保证金，并在签发工程验收证书时，将剩余履约保证金退还给承包人。</w:t>
            </w:r>
          </w:p>
          <w:p>
            <w:pPr>
              <w:pStyle w:val="87"/>
              <w:shd w:val="clear" w:color="auto" w:fill="FFFFFF"/>
              <w:adjustRightInd w:val="0"/>
              <w:snapToGrid w:val="0"/>
              <w:spacing w:line="300" w:lineRule="auto"/>
              <w:ind w:left="114" w:leftChars="52" w:right="82" w:firstLine="199" w:firstLineChars="98"/>
              <w:jc w:val="both"/>
              <w:rPr>
                <w:color w:val="auto"/>
                <w:sz w:val="21"/>
                <w:highlight w:val="none"/>
              </w:rPr>
            </w:pPr>
            <w:r>
              <w:rPr>
                <w:rFonts w:hint="eastAsia"/>
                <w:color w:val="auto"/>
                <w:spacing w:val="-3"/>
                <w:sz w:val="21"/>
                <w:highlight w:val="none"/>
              </w:rPr>
              <w:t>如履约保证金金额低于质量保证金金额的，发包人将扣留全部履约保证金作为质量保证金的一部分，且承包人应在签发工程验收证书时向发包人提交质量保证金的剩余部分</w:t>
            </w:r>
            <w:r>
              <w:rPr>
                <w:rFonts w:hint="eastAsia"/>
                <w:color w:val="auto"/>
                <w:spacing w:val="-108"/>
                <w:sz w:val="21"/>
                <w:highlight w:val="none"/>
              </w:rPr>
              <w:t>（</w:t>
            </w:r>
            <w:r>
              <w:rPr>
                <w:rFonts w:hint="eastAsia"/>
                <w:color w:val="auto"/>
                <w:spacing w:val="-10"/>
                <w:sz w:val="21"/>
                <w:highlight w:val="none"/>
              </w:rPr>
              <w:t>“质量保证金”减去“履约保证金”</w:t>
            </w:r>
            <w:r>
              <w:rPr>
                <w:rFonts w:hint="eastAsia"/>
                <w:color w:val="auto"/>
                <w:spacing w:val="-108"/>
                <w:sz w:val="21"/>
                <w:highlight w:val="none"/>
              </w:rPr>
              <w:t>）</w:t>
            </w:r>
            <w:r>
              <w:rPr>
                <w:rFonts w:hint="eastAsia"/>
                <w:color w:val="auto"/>
                <w:sz w:val="21"/>
                <w:highlight w:val="none"/>
              </w:rPr>
              <w:t>。</w:t>
            </w:r>
          </w:p>
          <w:p>
            <w:pPr>
              <w:pStyle w:val="87"/>
              <w:shd w:val="clear" w:color="auto" w:fill="FFFFFF"/>
              <w:tabs>
                <w:tab w:val="left" w:pos="856"/>
              </w:tabs>
              <w:adjustRightInd w:val="0"/>
              <w:snapToGrid w:val="0"/>
              <w:spacing w:line="300" w:lineRule="auto"/>
              <w:ind w:firstLine="105" w:firstLineChars="50"/>
              <w:rPr>
                <w:color w:val="auto"/>
                <w:spacing w:val="-6"/>
                <w:sz w:val="21"/>
                <w:highlight w:val="none"/>
              </w:rPr>
            </w:pPr>
            <w:r>
              <w:rPr>
                <w:rFonts w:hint="eastAsia"/>
                <w:color w:val="auto"/>
                <w:sz w:val="21"/>
                <w:highlight w:val="none"/>
              </w:rPr>
              <w:t>（3）</w:t>
            </w:r>
            <w:r>
              <w:rPr>
                <w:rFonts w:hint="eastAsia"/>
                <w:color w:val="auto"/>
                <w:spacing w:val="-3"/>
                <w:sz w:val="21"/>
                <w:highlight w:val="none"/>
              </w:rPr>
              <w:t>承包人履约保证金采用现金</w:t>
            </w:r>
            <w:r>
              <w:rPr>
                <w:rFonts w:hint="eastAsia"/>
                <w:color w:val="auto"/>
                <w:sz w:val="21"/>
                <w:highlight w:val="none"/>
              </w:rPr>
              <w:t>（</w:t>
            </w:r>
            <w:r>
              <w:rPr>
                <w:rFonts w:hint="eastAsia"/>
                <w:color w:val="auto"/>
                <w:spacing w:val="-3"/>
                <w:sz w:val="21"/>
                <w:highlight w:val="none"/>
              </w:rPr>
              <w:t>电汇或银行汇票形式</w:t>
            </w:r>
            <w:r>
              <w:rPr>
                <w:rFonts w:hint="eastAsia"/>
                <w:color w:val="auto"/>
                <w:spacing w:val="-108"/>
                <w:sz w:val="21"/>
                <w:highlight w:val="none"/>
              </w:rPr>
              <w:t>）</w:t>
            </w:r>
            <w:r>
              <w:rPr>
                <w:rFonts w:hint="eastAsia"/>
                <w:color w:val="auto"/>
                <w:spacing w:val="-3"/>
                <w:sz w:val="21"/>
                <w:highlight w:val="none"/>
              </w:rPr>
              <w:t>、质量保证金采用银行</w:t>
            </w:r>
            <w:r>
              <w:rPr>
                <w:rFonts w:hint="eastAsia"/>
                <w:color w:val="auto"/>
                <w:sz w:val="21"/>
                <w:highlight w:val="none"/>
              </w:rPr>
              <w:t>保函形式的，在发包人与承包人完成本合同工程价款结算后，承包人应在工程验收</w:t>
            </w:r>
            <w:r>
              <w:rPr>
                <w:rFonts w:hint="eastAsia"/>
                <w:color w:val="auto"/>
                <w:spacing w:val="-3"/>
                <w:sz w:val="21"/>
                <w:highlight w:val="none"/>
              </w:rPr>
              <w:t>证书颁发时，按《项目专用合同条款数据表》中规定的额度向发包人提交质量保证</w:t>
            </w:r>
            <w:r>
              <w:rPr>
                <w:rFonts w:hint="eastAsia"/>
                <w:color w:val="auto"/>
                <w:spacing w:val="-11"/>
                <w:sz w:val="21"/>
                <w:highlight w:val="none"/>
              </w:rPr>
              <w:t xml:space="preserve">金银行保函，出具保函的银行须具有相应担保能力，且按照发包人批准的格式出具， </w:t>
            </w:r>
            <w:r>
              <w:rPr>
                <w:rFonts w:hint="eastAsia"/>
                <w:color w:val="auto"/>
                <w:spacing w:val="-6"/>
                <w:sz w:val="21"/>
                <w:highlight w:val="none"/>
              </w:rPr>
              <w:t>所需费用由承包人承担，保函的有效期应至缺陷责任期满之日止。</w:t>
            </w:r>
          </w:p>
          <w:p>
            <w:pPr>
              <w:pStyle w:val="87"/>
              <w:tabs>
                <w:tab w:val="left" w:pos="856"/>
              </w:tabs>
              <w:adjustRightInd w:val="0"/>
              <w:snapToGrid w:val="0"/>
              <w:spacing w:line="300" w:lineRule="auto"/>
              <w:ind w:right="82" w:firstLine="315" w:firstLineChars="150"/>
              <w:jc w:val="both"/>
              <w:rPr>
                <w:color w:val="auto"/>
                <w:sz w:val="21"/>
                <w:highlight w:val="none"/>
              </w:rPr>
            </w:pPr>
            <w:r>
              <w:rPr>
                <w:rFonts w:hint="eastAsia"/>
                <w:color w:val="auto"/>
                <w:sz w:val="21"/>
                <w:highlight w:val="none"/>
              </w:rPr>
              <w:t>（4）</w:t>
            </w:r>
            <w:r>
              <w:rPr>
                <w:rFonts w:hint="eastAsia"/>
                <w:color w:val="auto"/>
                <w:spacing w:val="-7"/>
                <w:sz w:val="21"/>
                <w:highlight w:val="none"/>
              </w:rPr>
              <w:t>承包人履约保证金采用银行保函形式、质量保证金采用现金</w:t>
            </w:r>
            <w:r>
              <w:rPr>
                <w:rFonts w:hint="eastAsia"/>
                <w:color w:val="auto"/>
                <w:sz w:val="21"/>
                <w:highlight w:val="none"/>
              </w:rPr>
              <w:t>（</w:t>
            </w:r>
            <w:r>
              <w:rPr>
                <w:rFonts w:hint="eastAsia"/>
                <w:color w:val="auto"/>
                <w:spacing w:val="-3"/>
                <w:sz w:val="21"/>
                <w:highlight w:val="none"/>
              </w:rPr>
              <w:t>电汇或银行 汇票形式</w:t>
            </w:r>
            <w:r>
              <w:rPr>
                <w:rFonts w:hint="eastAsia"/>
                <w:color w:val="auto"/>
                <w:sz w:val="21"/>
                <w:highlight w:val="none"/>
              </w:rPr>
              <w:t>）</w:t>
            </w:r>
            <w:r>
              <w:rPr>
                <w:rFonts w:hint="eastAsia"/>
                <w:color w:val="auto"/>
                <w:spacing w:val="-3"/>
                <w:sz w:val="21"/>
                <w:highlight w:val="none"/>
              </w:rPr>
              <w:t>的，承包人应在工程验收证书颁发时，按《项目专用合同条款数据表》中规定的额度向发包人提交质量保证金。</w:t>
            </w:r>
          </w:p>
          <w:p>
            <w:pPr>
              <w:pStyle w:val="87"/>
              <w:tabs>
                <w:tab w:val="left" w:pos="856"/>
              </w:tabs>
              <w:adjustRightInd w:val="0"/>
              <w:snapToGrid w:val="0"/>
              <w:spacing w:line="300" w:lineRule="auto"/>
              <w:ind w:firstLine="315" w:firstLineChars="150"/>
              <w:rPr>
                <w:color w:val="auto"/>
                <w:sz w:val="21"/>
                <w:highlight w:val="none"/>
              </w:rPr>
            </w:pPr>
            <w:r>
              <w:rPr>
                <w:rFonts w:hint="eastAsia"/>
                <w:color w:val="auto"/>
                <w:sz w:val="21"/>
                <w:highlight w:val="none"/>
              </w:rPr>
              <w:t>（5）</w:t>
            </w:r>
            <w:r>
              <w:rPr>
                <w:rFonts w:hint="eastAsia"/>
                <w:color w:val="auto"/>
                <w:spacing w:val="-8"/>
                <w:sz w:val="21"/>
                <w:highlight w:val="none"/>
              </w:rPr>
              <w:t>质量保证金属建设资金，应专款专用，承包人不得用于抵债或作为处理经济</w:t>
            </w:r>
          </w:p>
          <w:p>
            <w:pPr>
              <w:pStyle w:val="87"/>
              <w:shd w:val="clear" w:color="auto" w:fill="FFFFFF"/>
              <w:tabs>
                <w:tab w:val="left" w:pos="856"/>
              </w:tabs>
              <w:adjustRightInd w:val="0"/>
              <w:snapToGrid w:val="0"/>
              <w:spacing w:line="300" w:lineRule="auto"/>
              <w:ind w:firstLine="105" w:firstLineChars="50"/>
              <w:rPr>
                <w:color w:val="auto"/>
                <w:sz w:val="21"/>
                <w:highlight w:val="none"/>
              </w:rPr>
            </w:pPr>
            <w:r>
              <w:rPr>
                <w:rFonts w:hint="eastAsia"/>
                <w:color w:val="auto"/>
                <w:sz w:val="21"/>
                <w:highlight w:val="none"/>
              </w:rPr>
              <w:t>纠纷。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1"/>
              <w:ind w:left="35" w:right="26"/>
              <w:jc w:val="center"/>
              <w:rPr>
                <w:color w:val="auto"/>
                <w:sz w:val="21"/>
                <w:highlight w:val="none"/>
                <w:lang w:val="en-US"/>
              </w:rPr>
            </w:pPr>
            <w:r>
              <w:rPr>
                <w:rFonts w:hint="eastAsia"/>
                <w:color w:val="auto"/>
                <w:sz w:val="21"/>
                <w:highlight w:val="none"/>
                <w:lang w:val="en-US"/>
              </w:rPr>
              <w:t>60</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07"/>
              <w:ind w:left="112" w:right="-15"/>
              <w:jc w:val="center"/>
              <w:rPr>
                <w:color w:val="auto"/>
                <w:sz w:val="21"/>
                <w:highlight w:val="none"/>
              </w:rPr>
            </w:pPr>
            <w:r>
              <w:rPr>
                <w:rFonts w:hint="eastAsia"/>
                <w:color w:val="auto"/>
                <w:spacing w:val="-4"/>
                <w:sz w:val="21"/>
                <w:highlight w:val="none"/>
              </w:rPr>
              <w:t>17.5.1（1）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48" w:lineRule="auto"/>
              <w:rPr>
                <w:color w:val="auto"/>
                <w:sz w:val="21"/>
                <w:highlight w:val="none"/>
              </w:rPr>
            </w:pPr>
            <w:r>
              <w:rPr>
                <w:rFonts w:hint="eastAsia"/>
                <w:color w:val="auto"/>
                <w:spacing w:val="-19"/>
                <w:sz w:val="21"/>
                <w:highlight w:val="none"/>
              </w:rPr>
              <w:t>承包人向监理人提交交工付款申请单</w:t>
            </w:r>
            <w:r>
              <w:rPr>
                <w:rFonts w:hint="eastAsia"/>
                <w:color w:val="auto"/>
                <w:spacing w:val="-17"/>
                <w:sz w:val="21"/>
                <w:highlight w:val="none"/>
              </w:rPr>
              <w:t>（</w:t>
            </w:r>
            <w:r>
              <w:rPr>
                <w:rFonts w:hint="eastAsia"/>
                <w:color w:val="auto"/>
                <w:spacing w:val="-19"/>
                <w:sz w:val="21"/>
                <w:highlight w:val="none"/>
              </w:rPr>
              <w:t>包括相关证明材料</w:t>
            </w:r>
            <w:r>
              <w:rPr>
                <w:rFonts w:hint="eastAsia"/>
                <w:color w:val="auto"/>
                <w:spacing w:val="-17"/>
                <w:sz w:val="21"/>
                <w:highlight w:val="none"/>
              </w:rPr>
              <w:t>）的份数，</w:t>
            </w:r>
            <w:r>
              <w:rPr>
                <w:rFonts w:hint="eastAsia"/>
                <w:color w:val="auto"/>
                <w:spacing w:val="-18"/>
                <w:sz w:val="21"/>
                <w:highlight w:val="none"/>
              </w:rPr>
              <w:t>规定为：</w:t>
            </w:r>
            <w:r>
              <w:rPr>
                <w:rFonts w:hint="eastAsia"/>
                <w:color w:val="auto"/>
                <w:spacing w:val="-18"/>
                <w:sz w:val="21"/>
                <w:highlight w:val="none"/>
                <w:u w:val="single"/>
              </w:rPr>
              <w:t xml:space="preserve"> </w:t>
            </w:r>
            <w:r>
              <w:rPr>
                <w:rFonts w:hint="eastAsia"/>
                <w:color w:val="auto"/>
                <w:sz w:val="21"/>
                <w:highlight w:val="none"/>
                <w:u w:val="single"/>
              </w:rPr>
              <w:t>6 份</w:t>
            </w:r>
            <w:r>
              <w:rPr>
                <w:rFonts w:hint="eastAsia"/>
                <w:color w:val="auto"/>
                <w:spacing w:val="-50"/>
                <w:sz w:val="21"/>
                <w:highlight w:val="none"/>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2"/>
              <w:ind w:left="35" w:right="26"/>
              <w:jc w:val="center"/>
              <w:rPr>
                <w:color w:val="auto"/>
                <w:sz w:val="21"/>
                <w:highlight w:val="none"/>
                <w:lang w:val="en-US"/>
              </w:rPr>
            </w:pPr>
            <w:r>
              <w:rPr>
                <w:rFonts w:hint="eastAsia"/>
                <w:color w:val="auto"/>
                <w:sz w:val="21"/>
                <w:highlight w:val="none"/>
                <w:lang w:val="en-US"/>
              </w:rPr>
              <w:t>61</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09"/>
              <w:ind w:left="112" w:right="-15"/>
              <w:jc w:val="center"/>
              <w:rPr>
                <w:color w:val="auto"/>
                <w:sz w:val="21"/>
                <w:highlight w:val="none"/>
              </w:rPr>
            </w:pPr>
            <w:r>
              <w:rPr>
                <w:rFonts w:hint="eastAsia"/>
                <w:color w:val="auto"/>
                <w:spacing w:val="-4"/>
                <w:sz w:val="21"/>
                <w:highlight w:val="none"/>
              </w:rPr>
              <w:t>17.6.1（1）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48" w:lineRule="auto"/>
              <w:rPr>
                <w:color w:val="auto"/>
                <w:sz w:val="21"/>
                <w:highlight w:val="none"/>
              </w:rPr>
            </w:pPr>
            <w:r>
              <w:rPr>
                <w:rFonts w:hint="eastAsia"/>
                <w:color w:val="auto"/>
                <w:spacing w:val="-19"/>
                <w:sz w:val="21"/>
                <w:highlight w:val="none"/>
              </w:rPr>
              <w:t>承包人向监理人提交最终结清申请单</w:t>
            </w:r>
            <w:r>
              <w:rPr>
                <w:rFonts w:hint="eastAsia"/>
                <w:color w:val="auto"/>
                <w:spacing w:val="-17"/>
                <w:sz w:val="21"/>
                <w:highlight w:val="none"/>
              </w:rPr>
              <w:t>（</w:t>
            </w:r>
            <w:r>
              <w:rPr>
                <w:rFonts w:hint="eastAsia"/>
                <w:color w:val="auto"/>
                <w:spacing w:val="-19"/>
                <w:sz w:val="21"/>
                <w:highlight w:val="none"/>
              </w:rPr>
              <w:t>包括相关证明材料</w:t>
            </w:r>
            <w:r>
              <w:rPr>
                <w:rFonts w:hint="eastAsia"/>
                <w:color w:val="auto"/>
                <w:spacing w:val="-17"/>
                <w:sz w:val="21"/>
                <w:highlight w:val="none"/>
              </w:rPr>
              <w:t>）的份数，</w:t>
            </w:r>
            <w:r>
              <w:rPr>
                <w:rFonts w:hint="eastAsia"/>
                <w:color w:val="auto"/>
                <w:spacing w:val="-18"/>
                <w:sz w:val="21"/>
                <w:highlight w:val="none"/>
              </w:rPr>
              <w:t>规定为：</w:t>
            </w:r>
            <w:r>
              <w:rPr>
                <w:rFonts w:hint="eastAsia"/>
                <w:color w:val="auto"/>
                <w:spacing w:val="-18"/>
                <w:sz w:val="21"/>
                <w:highlight w:val="none"/>
                <w:u w:val="single"/>
              </w:rPr>
              <w:t xml:space="preserve"> </w:t>
            </w:r>
            <w:r>
              <w:rPr>
                <w:rFonts w:hint="eastAsia"/>
                <w:color w:val="auto"/>
                <w:sz w:val="21"/>
                <w:highlight w:val="none"/>
                <w:u w:val="single"/>
              </w:rPr>
              <w:t>6 份</w:t>
            </w:r>
            <w:r>
              <w:rPr>
                <w:rFonts w:hint="eastAsia"/>
                <w:color w:val="auto"/>
                <w:spacing w:val="-50"/>
                <w:sz w:val="21"/>
                <w:highlight w:val="none"/>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0"/>
              <w:ind w:left="35" w:right="26"/>
              <w:jc w:val="center"/>
              <w:rPr>
                <w:color w:val="auto"/>
                <w:sz w:val="21"/>
                <w:highlight w:val="none"/>
                <w:lang w:val="en-US"/>
              </w:rPr>
            </w:pPr>
            <w:r>
              <w:rPr>
                <w:rFonts w:hint="eastAsia"/>
                <w:color w:val="auto"/>
                <w:sz w:val="21"/>
                <w:highlight w:val="none"/>
                <w:lang w:val="en-US"/>
              </w:rPr>
              <w:t>62</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06"/>
              <w:ind w:left="124"/>
              <w:jc w:val="center"/>
              <w:rPr>
                <w:color w:val="auto"/>
                <w:sz w:val="21"/>
                <w:highlight w:val="none"/>
              </w:rPr>
            </w:pPr>
            <w:r>
              <w:rPr>
                <w:rFonts w:hint="eastAsia"/>
                <w:color w:val="auto"/>
                <w:sz w:val="21"/>
                <w:highlight w:val="none"/>
              </w:rPr>
              <w:t>18.2（2）</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48" w:lineRule="auto"/>
              <w:rPr>
                <w:color w:val="auto"/>
                <w:sz w:val="21"/>
                <w:highlight w:val="none"/>
              </w:rPr>
            </w:pPr>
            <w:r>
              <w:rPr>
                <w:rFonts w:hint="eastAsia"/>
                <w:color w:val="auto"/>
                <w:sz w:val="21"/>
                <w:highlight w:val="none"/>
              </w:rPr>
              <w:t>竣工资料的份数，规定为：</w:t>
            </w:r>
            <w:r>
              <w:rPr>
                <w:rFonts w:hint="eastAsia"/>
                <w:color w:val="auto"/>
                <w:sz w:val="21"/>
                <w:highlight w:val="none"/>
                <w:u w:val="single"/>
              </w:rPr>
              <w:t xml:space="preserve"> 3 份 </w:t>
            </w:r>
          </w:p>
        </w:tc>
      </w:tr>
    </w:tbl>
    <w:p>
      <w:pPr>
        <w:pStyle w:val="268"/>
        <w:spacing w:before="120" w:after="120" w:line="360" w:lineRule="exact"/>
        <w:outlineLvl w:val="9"/>
        <w:rPr>
          <w:color w:val="auto"/>
          <w:sz w:val="20"/>
          <w:highlight w:val="none"/>
        </w:rPr>
        <w:sectPr>
          <w:pgSz w:w="11906" w:h="16838"/>
          <w:pgMar w:top="1440" w:right="991" w:bottom="1440" w:left="1418" w:header="851" w:footer="992" w:gutter="0"/>
          <w:cols w:space="720" w:num="1"/>
          <w:docGrid w:type="lines" w:linePitch="312" w:charSpace="0"/>
        </w:sectPr>
      </w:pPr>
    </w:p>
    <w:tbl>
      <w:tblPr>
        <w:tblStyle w:val="47"/>
        <w:tblW w:w="9752" w:type="dxa"/>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437"/>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437"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254"/>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63</w:t>
            </w:r>
          </w:p>
        </w:tc>
        <w:tc>
          <w:tcPr>
            <w:tcW w:w="1437" w:type="dxa"/>
            <w:tcBorders>
              <w:top w:val="single" w:color="000000" w:sz="2" w:space="0"/>
              <w:left w:val="single" w:color="000000" w:sz="2" w:space="0"/>
              <w:bottom w:val="single" w:color="000000" w:sz="2" w:space="0"/>
              <w:right w:val="single" w:color="000000" w:sz="2" w:space="0"/>
            </w:tcBorders>
            <w:vAlign w:val="center"/>
          </w:tcPr>
          <w:p>
            <w:pPr>
              <w:pStyle w:val="87"/>
              <w:ind w:left="307"/>
              <w:jc w:val="center"/>
              <w:rPr>
                <w:color w:val="auto"/>
                <w:sz w:val="21"/>
                <w:highlight w:val="none"/>
              </w:rPr>
            </w:pPr>
            <w:r>
              <w:rPr>
                <w:rFonts w:hint="eastAsia"/>
                <w:color w:val="auto"/>
                <w:sz w:val="21"/>
                <w:highlight w:val="none"/>
              </w:rPr>
              <w:t>18.5.1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48" w:lineRule="auto"/>
              <w:rPr>
                <w:color w:val="auto"/>
                <w:sz w:val="21"/>
                <w:highlight w:val="none"/>
              </w:rPr>
            </w:pPr>
            <w:r>
              <w:rPr>
                <w:rFonts w:hint="eastAsia"/>
                <w:color w:val="auto"/>
                <w:sz w:val="21"/>
                <w:highlight w:val="none"/>
              </w:rPr>
              <w:t>单位工程或工程设备是否需投入施工期运行，规定为：</w:t>
            </w:r>
            <w:r>
              <w:rPr>
                <w:rFonts w:hint="eastAsia"/>
                <w:color w:val="auto"/>
                <w:sz w:val="21"/>
                <w:highlight w:val="none"/>
                <w:u w:val="single"/>
              </w:rPr>
              <w:t xml:space="preserve"> 否 </w:t>
            </w:r>
          </w:p>
          <w:p>
            <w:pPr>
              <w:pStyle w:val="87"/>
              <w:adjustRightInd w:val="0"/>
              <w:snapToGrid w:val="0"/>
              <w:spacing w:line="348" w:lineRule="auto"/>
              <w:ind w:right="82" w:firstLine="210" w:firstLineChars="100"/>
              <w:rPr>
                <w:color w:val="auto"/>
                <w:sz w:val="21"/>
                <w:highlight w:val="none"/>
              </w:rPr>
            </w:pPr>
            <w:r>
              <w:rPr>
                <w:rFonts w:hint="eastAsia"/>
                <w:color w:val="auto"/>
                <w:sz w:val="21"/>
                <w:highlight w:val="none"/>
              </w:rPr>
              <w:t>如单位工程或工程设备需要进行施工期运行，需要施工期运行的单位工程或工程设备，具体规定为：</w:t>
            </w:r>
            <w:r>
              <w:rPr>
                <w:rFonts w:hint="eastAsia"/>
                <w:color w:val="auto"/>
                <w:sz w:val="21"/>
                <w:highlight w:val="none"/>
                <w:u w:val="single"/>
              </w:rPr>
              <w:t xml:space="preserve"> /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64</w:t>
            </w:r>
          </w:p>
        </w:tc>
        <w:tc>
          <w:tcPr>
            <w:tcW w:w="1437" w:type="dxa"/>
            <w:tcBorders>
              <w:top w:val="single" w:color="000000" w:sz="2" w:space="0"/>
              <w:left w:val="single" w:color="000000" w:sz="2" w:space="0"/>
              <w:bottom w:val="single" w:color="000000" w:sz="2" w:space="0"/>
              <w:right w:val="single" w:color="000000" w:sz="2" w:space="0"/>
            </w:tcBorders>
            <w:vAlign w:val="center"/>
          </w:tcPr>
          <w:p>
            <w:pPr>
              <w:pStyle w:val="87"/>
              <w:ind w:left="307"/>
              <w:jc w:val="center"/>
              <w:rPr>
                <w:color w:val="auto"/>
                <w:sz w:val="21"/>
                <w:highlight w:val="none"/>
              </w:rPr>
            </w:pPr>
            <w:r>
              <w:rPr>
                <w:rFonts w:hint="eastAsia"/>
                <w:color w:val="auto"/>
                <w:sz w:val="21"/>
                <w:highlight w:val="none"/>
              </w:rPr>
              <w:t>18.6.1</w:t>
            </w:r>
          </w:p>
        </w:tc>
        <w:tc>
          <w:tcPr>
            <w:tcW w:w="7780" w:type="dxa"/>
            <w:tcBorders>
              <w:top w:val="single" w:color="000000" w:sz="2" w:space="0"/>
              <w:left w:val="single" w:color="000000" w:sz="2" w:space="0"/>
              <w:bottom w:val="single" w:color="000000" w:sz="2" w:space="0"/>
              <w:right w:val="single" w:color="000000" w:sz="8" w:space="0"/>
            </w:tcBorders>
          </w:tcPr>
          <w:p>
            <w:pPr>
              <w:pStyle w:val="263"/>
              <w:adjustRightInd w:val="0"/>
              <w:snapToGrid w:val="0"/>
              <w:spacing w:line="264" w:lineRule="auto"/>
              <w:ind w:firstLine="210" w:firstLineChars="100"/>
              <w:rPr>
                <w:color w:val="auto"/>
                <w:sz w:val="21"/>
                <w:szCs w:val="21"/>
                <w:highlight w:val="none"/>
              </w:rPr>
            </w:pPr>
            <w:r>
              <w:rPr>
                <w:color w:val="auto"/>
                <w:sz w:val="21"/>
                <w:szCs w:val="21"/>
                <w:highlight w:val="none"/>
              </w:rPr>
              <w:t>本工程及工程设备是否进行试运行，规定为：</w:t>
            </w:r>
            <w:r>
              <w:rPr>
                <w:color w:val="auto"/>
                <w:sz w:val="21"/>
                <w:szCs w:val="21"/>
                <w:highlight w:val="none"/>
                <w:u w:val="single"/>
              </w:rPr>
              <w:t>否</w:t>
            </w:r>
          </w:p>
          <w:p>
            <w:pPr>
              <w:pStyle w:val="87"/>
              <w:adjustRightInd w:val="0"/>
              <w:snapToGrid w:val="0"/>
              <w:spacing w:line="264" w:lineRule="auto"/>
              <w:ind w:firstLine="210" w:firstLineChars="100"/>
              <w:rPr>
                <w:color w:val="auto"/>
                <w:sz w:val="21"/>
                <w:highlight w:val="none"/>
              </w:rPr>
            </w:pPr>
            <w:r>
              <w:rPr>
                <w:color w:val="auto"/>
                <w:sz w:val="21"/>
                <w:szCs w:val="21"/>
                <w:highlight w:val="none"/>
              </w:rPr>
              <w:t>如本工程及工程设备需要进行试运行，试运行的具体规定为</w:t>
            </w:r>
            <w:r>
              <w:rPr>
                <w:rFonts w:hint="eastAsia"/>
                <w:color w:val="auto"/>
                <w:sz w:val="21"/>
                <w:szCs w:val="21"/>
                <w:highlight w:val="none"/>
              </w:rPr>
              <w:t>：</w:t>
            </w:r>
            <w:r>
              <w:rPr>
                <w:rFonts w:hint="eastAsia"/>
                <w:color w:val="auto"/>
                <w:sz w:val="21"/>
                <w:szCs w:val="21"/>
                <w:highlight w:val="none"/>
                <w:u w:val="single"/>
              </w:rPr>
              <w:t xml:space="preserve"> /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33"/>
              <w:ind w:left="35" w:right="26"/>
              <w:jc w:val="center"/>
              <w:rPr>
                <w:color w:val="auto"/>
                <w:sz w:val="21"/>
                <w:highlight w:val="none"/>
                <w:lang w:val="en-US"/>
              </w:rPr>
            </w:pPr>
            <w:r>
              <w:rPr>
                <w:rFonts w:hint="eastAsia"/>
                <w:color w:val="auto"/>
                <w:sz w:val="21"/>
                <w:highlight w:val="none"/>
                <w:lang w:val="en-US"/>
              </w:rPr>
              <w:t>65</w:t>
            </w:r>
          </w:p>
        </w:tc>
        <w:tc>
          <w:tcPr>
            <w:tcW w:w="1437" w:type="dxa"/>
            <w:tcBorders>
              <w:top w:val="single" w:color="000000" w:sz="2" w:space="0"/>
              <w:left w:val="single" w:color="000000" w:sz="2" w:space="0"/>
              <w:bottom w:val="single" w:color="000000" w:sz="2" w:space="0"/>
              <w:right w:val="single" w:color="000000" w:sz="2" w:space="0"/>
            </w:tcBorders>
            <w:vAlign w:val="center"/>
          </w:tcPr>
          <w:p>
            <w:pPr>
              <w:pStyle w:val="87"/>
              <w:spacing w:before="109"/>
              <w:ind w:left="124"/>
              <w:jc w:val="center"/>
              <w:rPr>
                <w:color w:val="auto"/>
                <w:sz w:val="21"/>
                <w:highlight w:val="none"/>
              </w:rPr>
            </w:pPr>
            <w:r>
              <w:rPr>
                <w:rFonts w:hint="eastAsia"/>
                <w:color w:val="auto"/>
                <w:sz w:val="21"/>
                <w:highlight w:val="none"/>
              </w:rPr>
              <w:t>19.7（1）</w:t>
            </w:r>
          </w:p>
        </w:tc>
        <w:tc>
          <w:tcPr>
            <w:tcW w:w="7780" w:type="dxa"/>
            <w:tcBorders>
              <w:top w:val="single" w:color="000000" w:sz="2" w:space="0"/>
              <w:left w:val="single" w:color="000000" w:sz="2" w:space="0"/>
              <w:bottom w:val="single" w:color="000000" w:sz="2" w:space="0"/>
              <w:right w:val="single" w:color="000000" w:sz="8" w:space="0"/>
            </w:tcBorders>
          </w:tcPr>
          <w:p>
            <w:pPr>
              <w:pStyle w:val="87"/>
              <w:tabs>
                <w:tab w:val="left" w:pos="4320"/>
              </w:tabs>
              <w:adjustRightInd w:val="0"/>
              <w:snapToGrid w:val="0"/>
              <w:spacing w:line="348" w:lineRule="auto"/>
              <w:rPr>
                <w:color w:val="auto"/>
                <w:sz w:val="21"/>
                <w:highlight w:val="none"/>
              </w:rPr>
            </w:pPr>
            <w:r>
              <w:rPr>
                <w:rFonts w:hint="eastAsia"/>
                <w:color w:val="auto"/>
                <w:sz w:val="21"/>
                <w:highlight w:val="none"/>
              </w:rPr>
              <w:t>保修</w:t>
            </w:r>
            <w:r>
              <w:rPr>
                <w:rFonts w:hint="eastAsia"/>
                <w:color w:val="auto"/>
                <w:spacing w:val="-3"/>
                <w:sz w:val="21"/>
                <w:highlight w:val="none"/>
              </w:rPr>
              <w:t>期</w:t>
            </w:r>
            <w:r>
              <w:rPr>
                <w:rFonts w:hint="eastAsia"/>
                <w:color w:val="auto"/>
                <w:sz w:val="21"/>
                <w:highlight w:val="none"/>
              </w:rPr>
              <w:t>：</w:t>
            </w:r>
            <w:r>
              <w:rPr>
                <w:rFonts w:hint="eastAsia"/>
                <w:color w:val="auto"/>
                <w:spacing w:val="-3"/>
                <w:sz w:val="21"/>
                <w:highlight w:val="none"/>
              </w:rPr>
              <w:t>自</w:t>
            </w:r>
            <w:r>
              <w:rPr>
                <w:rFonts w:hint="eastAsia"/>
                <w:color w:val="auto"/>
                <w:sz w:val="21"/>
                <w:highlight w:val="none"/>
              </w:rPr>
              <w:t>实际验</w:t>
            </w:r>
            <w:r>
              <w:rPr>
                <w:rFonts w:hint="eastAsia"/>
                <w:color w:val="auto"/>
                <w:spacing w:val="-3"/>
                <w:sz w:val="21"/>
                <w:highlight w:val="none"/>
              </w:rPr>
              <w:t>收</w:t>
            </w:r>
            <w:r>
              <w:rPr>
                <w:rFonts w:hint="eastAsia"/>
                <w:color w:val="auto"/>
                <w:sz w:val="21"/>
                <w:highlight w:val="none"/>
              </w:rPr>
              <w:t>合</w:t>
            </w:r>
            <w:r>
              <w:rPr>
                <w:rFonts w:hint="eastAsia"/>
                <w:color w:val="auto"/>
                <w:spacing w:val="-3"/>
                <w:sz w:val="21"/>
                <w:highlight w:val="none"/>
              </w:rPr>
              <w:t>格</w:t>
            </w:r>
            <w:r>
              <w:rPr>
                <w:rFonts w:hint="eastAsia"/>
                <w:color w:val="auto"/>
                <w:sz w:val="21"/>
                <w:highlight w:val="none"/>
              </w:rPr>
              <w:t>之日</w:t>
            </w:r>
            <w:r>
              <w:rPr>
                <w:rFonts w:hint="eastAsia"/>
                <w:color w:val="auto"/>
                <w:spacing w:val="-3"/>
                <w:sz w:val="21"/>
                <w:highlight w:val="none"/>
              </w:rPr>
              <w:t>起</w:t>
            </w:r>
            <w:r>
              <w:rPr>
                <w:rFonts w:hint="eastAsia"/>
                <w:color w:val="auto"/>
                <w:sz w:val="21"/>
                <w:highlight w:val="none"/>
              </w:rPr>
              <w:t>计</w:t>
            </w:r>
            <w:r>
              <w:rPr>
                <w:rFonts w:hint="eastAsia"/>
                <w:color w:val="auto"/>
                <w:spacing w:val="-3"/>
                <w:sz w:val="21"/>
                <w:highlight w:val="none"/>
              </w:rPr>
              <w:t>算</w:t>
            </w:r>
            <w:r>
              <w:rPr>
                <w:rFonts w:hint="eastAsia"/>
                <w:color w:val="auto"/>
                <w:spacing w:val="-3"/>
                <w:sz w:val="21"/>
                <w:highlight w:val="none"/>
                <w:u w:val="single"/>
              </w:rPr>
              <w:t xml:space="preserve"> </w:t>
            </w:r>
            <w:r>
              <w:rPr>
                <w:rFonts w:hint="eastAsia"/>
                <w:color w:val="auto"/>
                <w:spacing w:val="13"/>
                <w:sz w:val="21"/>
                <w:highlight w:val="none"/>
                <w:u w:val="single"/>
              </w:rPr>
              <w:t xml:space="preserve"> </w:t>
            </w:r>
            <w:r>
              <w:rPr>
                <w:rFonts w:hint="eastAsia"/>
                <w:color w:val="auto"/>
                <w:sz w:val="21"/>
                <w:highlight w:val="none"/>
                <w:u w:val="single"/>
                <w:lang w:val="en-US"/>
              </w:rPr>
              <w:t>12</w:t>
            </w:r>
            <w:r>
              <w:rPr>
                <w:rFonts w:hint="eastAsia"/>
                <w:color w:val="auto"/>
                <w:sz w:val="21"/>
                <w:highlight w:val="none"/>
                <w:u w:val="single"/>
              </w:rPr>
              <w:tab/>
            </w:r>
            <w:r>
              <w:rPr>
                <w:rFonts w:hint="eastAsia"/>
                <w:color w:val="auto"/>
                <w:spacing w:val="-3"/>
                <w:sz w:val="21"/>
                <w:highlight w:val="none"/>
              </w:rPr>
              <w:t>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66</w:t>
            </w:r>
          </w:p>
        </w:tc>
        <w:tc>
          <w:tcPr>
            <w:tcW w:w="1437" w:type="dxa"/>
            <w:tcBorders>
              <w:top w:val="single" w:color="000000" w:sz="2" w:space="0"/>
              <w:left w:val="single" w:color="000000" w:sz="2" w:space="0"/>
              <w:bottom w:val="single" w:color="000000" w:sz="2" w:space="0"/>
              <w:right w:val="single" w:color="000000" w:sz="2" w:space="0"/>
            </w:tcBorders>
            <w:vAlign w:val="center"/>
          </w:tcPr>
          <w:p>
            <w:pPr>
              <w:pStyle w:val="87"/>
              <w:ind w:left="386"/>
              <w:jc w:val="center"/>
              <w:rPr>
                <w:color w:val="auto"/>
                <w:sz w:val="21"/>
                <w:highlight w:val="none"/>
              </w:rPr>
            </w:pPr>
            <w:r>
              <w:rPr>
                <w:rFonts w:hint="eastAsia"/>
                <w:color w:val="auto"/>
                <w:sz w:val="21"/>
                <w:highlight w:val="none"/>
              </w:rPr>
              <w:t>20.1</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48" w:lineRule="auto"/>
              <w:ind w:left="115" w:right="82" w:firstLine="211"/>
              <w:rPr>
                <w:color w:val="auto"/>
                <w:sz w:val="21"/>
                <w:highlight w:val="none"/>
              </w:rPr>
            </w:pPr>
            <w:r>
              <w:rPr>
                <w:rFonts w:hint="eastAsia"/>
                <w:color w:val="auto"/>
                <w:sz w:val="21"/>
                <w:highlight w:val="none"/>
              </w:rPr>
              <w:t>建筑工程一切险的投保内容：为本合同工程的永久工程、临时工程和设备及已运至施工工地用于永久工程的材料和设备所投的保险。</w:t>
            </w:r>
          </w:p>
          <w:p>
            <w:pPr>
              <w:pStyle w:val="87"/>
              <w:adjustRightInd w:val="0"/>
              <w:snapToGrid w:val="0"/>
              <w:spacing w:line="348" w:lineRule="auto"/>
              <w:ind w:left="323"/>
              <w:rPr>
                <w:color w:val="auto"/>
                <w:sz w:val="21"/>
                <w:highlight w:val="none"/>
                <w:lang w:val="en-US"/>
              </w:rPr>
            </w:pPr>
            <w:r>
              <w:rPr>
                <w:rFonts w:hint="eastAsia"/>
                <w:color w:val="auto"/>
                <w:sz w:val="21"/>
                <w:highlight w:val="none"/>
              </w:rPr>
              <w:t>保险金额：工程量清单全部章节的合计额</w:t>
            </w:r>
            <w:r>
              <w:rPr>
                <w:rFonts w:hint="eastAsia"/>
                <w:color w:val="auto"/>
                <w:sz w:val="21"/>
                <w:highlight w:val="none"/>
                <w:lang w:val="en-US"/>
              </w:rPr>
              <w:t xml:space="preserve">。 </w:t>
            </w:r>
          </w:p>
          <w:p>
            <w:pPr>
              <w:pStyle w:val="87"/>
              <w:adjustRightInd w:val="0"/>
              <w:snapToGrid w:val="0"/>
              <w:spacing w:line="348" w:lineRule="auto"/>
              <w:ind w:left="323"/>
              <w:rPr>
                <w:color w:val="auto"/>
                <w:sz w:val="21"/>
                <w:highlight w:val="none"/>
              </w:rPr>
            </w:pPr>
            <w:r>
              <w:rPr>
                <w:rFonts w:hint="eastAsia"/>
                <w:color w:val="auto"/>
                <w:sz w:val="21"/>
                <w:highlight w:val="none"/>
              </w:rPr>
              <w:t>保险费率：由承包人与保险服务商自行商定。</w:t>
            </w:r>
          </w:p>
          <w:p>
            <w:pPr>
              <w:pStyle w:val="87"/>
              <w:adjustRightInd w:val="0"/>
              <w:snapToGrid w:val="0"/>
              <w:spacing w:line="348" w:lineRule="auto"/>
              <w:ind w:left="115" w:right="82" w:firstLine="211"/>
              <w:rPr>
                <w:color w:val="auto"/>
                <w:sz w:val="21"/>
                <w:highlight w:val="none"/>
              </w:rPr>
            </w:pPr>
            <w:r>
              <w:rPr>
                <w:rFonts w:hint="eastAsia"/>
                <w:color w:val="auto"/>
                <w:spacing w:val="-3"/>
                <w:sz w:val="21"/>
                <w:highlight w:val="none"/>
              </w:rPr>
              <w:t>保险期限：开工日起直至本合同工程签发缺陷责任期终止证书止（即合同工期＋ 缺陷责任期</w:t>
            </w:r>
            <w:r>
              <w:rPr>
                <w:rFonts w:hint="eastAsia"/>
                <w:color w:val="auto"/>
                <w:spacing w:val="-106"/>
                <w:sz w:val="21"/>
                <w:highlight w:val="none"/>
              </w:rPr>
              <w:t>）</w:t>
            </w:r>
            <w:r>
              <w:rPr>
                <w:rFonts w:hint="eastAsia"/>
                <w:color w:val="auto"/>
                <w:sz w:val="21"/>
                <w:highlight w:val="none"/>
              </w:rPr>
              <w:t>。</w:t>
            </w:r>
          </w:p>
          <w:p>
            <w:pPr>
              <w:pStyle w:val="87"/>
              <w:adjustRightInd w:val="0"/>
              <w:snapToGrid w:val="0"/>
              <w:spacing w:line="348" w:lineRule="auto"/>
              <w:ind w:left="115" w:right="81" w:firstLine="211"/>
              <w:jc w:val="both"/>
              <w:rPr>
                <w:color w:val="auto"/>
                <w:sz w:val="21"/>
                <w:highlight w:val="none"/>
              </w:rPr>
            </w:pPr>
            <w:r>
              <w:rPr>
                <w:rFonts w:hint="eastAsia"/>
                <w:color w:val="auto"/>
                <w:sz w:val="21"/>
                <w:highlight w:val="none"/>
              </w:rPr>
              <w:t>承包人应以发包人和承包人的共同名义投保建筑工程一切险。承包人因办理建筑工程一切险所发生的费用应认为已含入其他支付项中，发包人不另行计量，出资人不另行支付。</w:t>
            </w:r>
          </w:p>
          <w:p>
            <w:pPr>
              <w:pStyle w:val="87"/>
              <w:adjustRightInd w:val="0"/>
              <w:snapToGrid w:val="0"/>
              <w:spacing w:line="348" w:lineRule="auto"/>
              <w:ind w:left="115" w:right="-29" w:firstLine="211"/>
              <w:rPr>
                <w:color w:val="auto"/>
                <w:sz w:val="21"/>
                <w:highlight w:val="none"/>
              </w:rPr>
            </w:pPr>
            <w:r>
              <w:rPr>
                <w:rFonts w:hint="eastAsia"/>
                <w:color w:val="auto"/>
                <w:spacing w:val="-3"/>
                <w:sz w:val="21"/>
                <w:highlight w:val="none"/>
              </w:rPr>
              <w:t>当本合同工程发生损失或损害时，承包人应按保险单规定的条件和期限及时向保</w:t>
            </w:r>
            <w:r>
              <w:rPr>
                <w:rFonts w:hint="eastAsia"/>
                <w:color w:val="auto"/>
                <w:spacing w:val="-12"/>
                <w:sz w:val="21"/>
                <w:highlight w:val="none"/>
              </w:rPr>
              <w:t xml:space="preserve">险人报告，并抄送发包人和监理人。如损害继续发生，承包人在递交第一次报告后， </w:t>
            </w:r>
            <w:r>
              <w:rPr>
                <w:rFonts w:hint="eastAsia"/>
                <w:color w:val="auto"/>
                <w:spacing w:val="-29"/>
                <w:sz w:val="21"/>
                <w:highlight w:val="none"/>
              </w:rPr>
              <w:t xml:space="preserve">每 </w:t>
            </w:r>
            <w:r>
              <w:rPr>
                <w:rFonts w:hint="eastAsia"/>
                <w:color w:val="auto"/>
                <w:sz w:val="21"/>
                <w:highlight w:val="none"/>
              </w:rPr>
              <w:t>7</w:t>
            </w:r>
            <w:r>
              <w:rPr>
                <w:rFonts w:hint="eastAsia"/>
                <w:color w:val="auto"/>
                <w:spacing w:val="-3"/>
                <w:sz w:val="21"/>
                <w:highlight w:val="none"/>
              </w:rPr>
              <w:t>天报告一次，直到损害结束。办理本款所述的保险并不免除合同规定的承包人</w:t>
            </w:r>
            <w:r>
              <w:rPr>
                <w:rFonts w:hint="eastAsia"/>
                <w:color w:val="auto"/>
                <w:sz w:val="21"/>
                <w:highlight w:val="none"/>
              </w:rPr>
              <w:t>的义务和责任。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8"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67</w:t>
            </w:r>
          </w:p>
        </w:tc>
        <w:tc>
          <w:tcPr>
            <w:tcW w:w="1437" w:type="dxa"/>
            <w:tcBorders>
              <w:top w:val="single" w:color="000000" w:sz="2" w:space="0"/>
              <w:left w:val="single" w:color="000000" w:sz="2" w:space="0"/>
              <w:bottom w:val="single" w:color="000000" w:sz="8" w:space="0"/>
              <w:right w:val="single" w:color="000000" w:sz="2" w:space="0"/>
            </w:tcBorders>
            <w:shd w:val="clear" w:color="auto" w:fill="auto"/>
            <w:vAlign w:val="center"/>
          </w:tcPr>
          <w:p>
            <w:pPr>
              <w:pStyle w:val="87"/>
              <w:ind w:left="386"/>
              <w:jc w:val="center"/>
              <w:rPr>
                <w:color w:val="auto"/>
                <w:sz w:val="21"/>
                <w:highlight w:val="none"/>
              </w:rPr>
            </w:pPr>
            <w:r>
              <w:rPr>
                <w:rFonts w:hint="eastAsia"/>
                <w:color w:val="auto"/>
                <w:sz w:val="21"/>
                <w:highlight w:val="none"/>
              </w:rPr>
              <w:t>20.4</w:t>
            </w:r>
          </w:p>
        </w:tc>
        <w:tc>
          <w:tcPr>
            <w:tcW w:w="7780" w:type="dxa"/>
            <w:tcBorders>
              <w:top w:val="single" w:color="000000" w:sz="2" w:space="0"/>
              <w:left w:val="single" w:color="000000" w:sz="2" w:space="0"/>
              <w:bottom w:val="single" w:color="000000" w:sz="8" w:space="0"/>
              <w:right w:val="single" w:color="000000" w:sz="8" w:space="0"/>
            </w:tcBorders>
            <w:shd w:val="clear" w:color="auto" w:fill="FFFFFF"/>
          </w:tcPr>
          <w:p>
            <w:pPr>
              <w:pStyle w:val="87"/>
              <w:adjustRightInd w:val="0"/>
              <w:snapToGrid w:val="0"/>
              <w:spacing w:line="348" w:lineRule="auto"/>
              <w:rPr>
                <w:color w:val="auto"/>
                <w:sz w:val="21"/>
                <w:highlight w:val="none"/>
              </w:rPr>
            </w:pPr>
            <w:r>
              <w:rPr>
                <w:rFonts w:hint="eastAsia"/>
                <w:color w:val="auto"/>
                <w:sz w:val="21"/>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87"/>
              <w:tabs>
                <w:tab w:val="left" w:pos="985"/>
              </w:tabs>
              <w:adjustRightInd w:val="0"/>
              <w:snapToGrid w:val="0"/>
              <w:spacing w:line="348" w:lineRule="auto"/>
              <w:ind w:right="57" w:firstLine="210" w:firstLineChars="100"/>
              <w:rPr>
                <w:color w:val="auto"/>
                <w:sz w:val="21"/>
                <w:highlight w:val="none"/>
              </w:rPr>
            </w:pPr>
            <w:r>
              <w:rPr>
                <w:rFonts w:hint="eastAsia"/>
                <w:color w:val="auto"/>
                <w:sz w:val="21"/>
                <w:highlight w:val="none"/>
              </w:rPr>
              <w:t>20.4.2</w:t>
            </w:r>
            <w:r>
              <w:rPr>
                <w:rFonts w:hint="eastAsia"/>
                <w:color w:val="auto"/>
                <w:spacing w:val="-3"/>
                <w:sz w:val="21"/>
                <w:highlight w:val="none"/>
              </w:rPr>
              <w:t xml:space="preserve">在缺陷责任期终止证书颁发前，承包人应以承包人和发包人的共同名义， </w:t>
            </w:r>
            <w:r>
              <w:rPr>
                <w:rFonts w:hint="eastAsia"/>
                <w:color w:val="auto"/>
                <w:spacing w:val="-15"/>
                <w:sz w:val="21"/>
                <w:highlight w:val="none"/>
              </w:rPr>
              <w:t xml:space="preserve">投保第 </w:t>
            </w:r>
            <w:r>
              <w:rPr>
                <w:rFonts w:hint="eastAsia"/>
                <w:color w:val="auto"/>
                <w:sz w:val="21"/>
                <w:highlight w:val="none"/>
              </w:rPr>
              <w:t xml:space="preserve">20.4.1 </w:t>
            </w:r>
            <w:r>
              <w:rPr>
                <w:rFonts w:hint="eastAsia"/>
                <w:color w:val="auto"/>
                <w:spacing w:val="-3"/>
                <w:sz w:val="21"/>
                <w:highlight w:val="none"/>
              </w:rPr>
              <w:t>项约定的第三者责任险，其中：</w:t>
            </w:r>
          </w:p>
          <w:p>
            <w:pPr>
              <w:pStyle w:val="87"/>
              <w:adjustRightInd w:val="0"/>
              <w:snapToGrid w:val="0"/>
              <w:spacing w:line="348" w:lineRule="auto"/>
              <w:ind w:left="323" w:firstLine="28"/>
              <w:rPr>
                <w:color w:val="auto"/>
                <w:sz w:val="21"/>
                <w:highlight w:val="none"/>
              </w:rPr>
            </w:pPr>
            <w:r>
              <w:rPr>
                <w:rFonts w:hint="eastAsia"/>
                <w:color w:val="auto"/>
                <w:sz w:val="21"/>
                <w:highlight w:val="none"/>
              </w:rPr>
              <w:t>第三者责任险的最低投保金额</w:t>
            </w:r>
            <w:r>
              <w:rPr>
                <w:rFonts w:hint="eastAsia"/>
                <w:color w:val="auto"/>
                <w:sz w:val="21"/>
                <w:highlight w:val="none"/>
                <w:u w:val="single"/>
              </w:rPr>
              <w:t xml:space="preserve">  100  </w:t>
            </w:r>
            <w:r>
              <w:rPr>
                <w:rFonts w:hint="eastAsia"/>
                <w:color w:val="auto"/>
                <w:sz w:val="21"/>
                <w:highlight w:val="none"/>
              </w:rPr>
              <w:t>万元。</w:t>
            </w:r>
          </w:p>
          <w:p>
            <w:pPr>
              <w:pStyle w:val="87"/>
              <w:adjustRightInd w:val="0"/>
              <w:snapToGrid w:val="0"/>
              <w:spacing w:line="348" w:lineRule="auto"/>
              <w:ind w:left="323" w:firstLine="28"/>
              <w:rPr>
                <w:color w:val="auto"/>
                <w:sz w:val="21"/>
                <w:highlight w:val="none"/>
              </w:rPr>
            </w:pPr>
            <w:r>
              <w:rPr>
                <w:rFonts w:hint="eastAsia"/>
                <w:color w:val="auto"/>
                <w:sz w:val="21"/>
                <w:highlight w:val="none"/>
              </w:rPr>
              <w:t>保险费率：由承包人与保险服务商自行商定。</w:t>
            </w:r>
          </w:p>
          <w:p>
            <w:pPr>
              <w:pStyle w:val="87"/>
              <w:adjustRightInd w:val="0"/>
              <w:snapToGrid w:val="0"/>
              <w:spacing w:line="348" w:lineRule="auto"/>
              <w:ind w:firstLine="210" w:firstLineChars="100"/>
              <w:rPr>
                <w:color w:val="auto"/>
                <w:sz w:val="21"/>
                <w:highlight w:val="none"/>
              </w:rPr>
            </w:pPr>
            <w:r>
              <w:rPr>
                <w:rFonts w:hint="eastAsia"/>
                <w:color w:val="auto"/>
                <w:sz w:val="21"/>
                <w:highlight w:val="none"/>
              </w:rPr>
              <w:t>20.4.3</w:t>
            </w:r>
            <w:r>
              <w:rPr>
                <w:rFonts w:hint="eastAsia"/>
                <w:color w:val="auto"/>
                <w:spacing w:val="-3"/>
                <w:sz w:val="21"/>
                <w:highlight w:val="none"/>
              </w:rPr>
              <w:t>承包人因办理第三者责任险所发生的费用应认为已含入其他支付项中，发</w:t>
            </w:r>
            <w:r>
              <w:rPr>
                <w:rFonts w:hint="eastAsia"/>
                <w:color w:val="auto"/>
                <w:sz w:val="21"/>
                <w:highlight w:val="none"/>
              </w:rPr>
              <w:t>包人不另行计量，出资人不另行支付。</w:t>
            </w:r>
          </w:p>
        </w:tc>
      </w:tr>
    </w:tbl>
    <w:p>
      <w:pPr>
        <w:pStyle w:val="268"/>
        <w:spacing w:before="120" w:after="120" w:line="360" w:lineRule="exact"/>
        <w:outlineLvl w:val="9"/>
        <w:rPr>
          <w:color w:val="auto"/>
          <w:sz w:val="20"/>
          <w:highlight w:val="none"/>
        </w:rPr>
        <w:sectPr>
          <w:pgSz w:w="11906" w:h="16838"/>
          <w:pgMar w:top="1440" w:right="991" w:bottom="1440" w:left="1418" w:header="851" w:footer="992" w:gutter="0"/>
          <w:cols w:space="720" w:num="1"/>
          <w:docGrid w:type="lines" w:linePitch="312" w:charSpace="0"/>
        </w:sectPr>
      </w:pPr>
    </w:p>
    <w:tbl>
      <w:tblPr>
        <w:tblStyle w:val="47"/>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133"/>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ind w:left="35" w:right="26"/>
              <w:jc w:val="center"/>
              <w:rPr>
                <w:color w:val="auto"/>
                <w:sz w:val="21"/>
                <w:highlight w:val="none"/>
                <w:lang w:val="en-US"/>
              </w:rPr>
            </w:pPr>
            <w:r>
              <w:rPr>
                <w:rFonts w:hint="eastAsia"/>
                <w:color w:val="auto"/>
                <w:sz w:val="21"/>
                <w:highlight w:val="none"/>
                <w:lang w:val="en-US"/>
              </w:rPr>
              <w:t>68</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ind w:left="104" w:right="90"/>
              <w:jc w:val="center"/>
              <w:rPr>
                <w:color w:val="auto"/>
                <w:sz w:val="21"/>
                <w:highlight w:val="none"/>
              </w:rPr>
            </w:pPr>
            <w:r>
              <w:rPr>
                <w:rFonts w:hint="eastAsia"/>
                <w:color w:val="auto"/>
                <w:sz w:val="21"/>
                <w:highlight w:val="none"/>
              </w:rPr>
              <w:t>20.5</w:t>
            </w:r>
          </w:p>
        </w:tc>
        <w:tc>
          <w:tcPr>
            <w:tcW w:w="7780" w:type="dxa"/>
            <w:tcBorders>
              <w:top w:val="single" w:color="000000" w:sz="2" w:space="0"/>
              <w:left w:val="single" w:color="000000" w:sz="2" w:space="0"/>
              <w:bottom w:val="single" w:color="000000" w:sz="2" w:space="0"/>
              <w:right w:val="single" w:color="000000" w:sz="8" w:space="0"/>
            </w:tcBorders>
          </w:tcPr>
          <w:p>
            <w:pPr>
              <w:pStyle w:val="87"/>
              <w:adjustRightInd w:val="0"/>
              <w:snapToGrid w:val="0"/>
              <w:spacing w:line="300" w:lineRule="auto"/>
              <w:ind w:left="115" w:right="81" w:firstLine="237"/>
              <w:jc w:val="both"/>
              <w:rPr>
                <w:color w:val="auto"/>
                <w:sz w:val="21"/>
                <w:highlight w:val="none"/>
              </w:rPr>
            </w:pPr>
            <w:r>
              <w:rPr>
                <w:rFonts w:hint="eastAsia"/>
                <w:color w:val="auto"/>
                <w:spacing w:val="-4"/>
                <w:sz w:val="21"/>
                <w:highlight w:val="none"/>
              </w:rPr>
              <w:t>承包人职工的</w:t>
            </w:r>
            <w:r>
              <w:rPr>
                <w:rFonts w:hint="eastAsia"/>
                <w:color w:val="auto"/>
                <w:sz w:val="21"/>
                <w:highlight w:val="none"/>
              </w:rPr>
              <w:t>（</w:t>
            </w:r>
            <w:r>
              <w:rPr>
                <w:rFonts w:hint="eastAsia"/>
                <w:color w:val="auto"/>
                <w:spacing w:val="-3"/>
                <w:sz w:val="21"/>
                <w:highlight w:val="none"/>
              </w:rPr>
              <w:t>人身</w:t>
            </w:r>
            <w:r>
              <w:rPr>
                <w:rFonts w:hint="eastAsia"/>
                <w:color w:val="auto"/>
                <w:spacing w:val="-8"/>
                <w:sz w:val="21"/>
                <w:highlight w:val="none"/>
              </w:rPr>
              <w:t>）</w:t>
            </w:r>
            <w:r>
              <w:rPr>
                <w:rFonts w:hint="eastAsia"/>
                <w:color w:val="auto"/>
                <w:spacing w:val="-4"/>
                <w:sz w:val="21"/>
                <w:highlight w:val="none"/>
              </w:rPr>
              <w:t>事故险及建筑意外伤害险由承包人自行投保，保险费应认</w:t>
            </w:r>
            <w:r>
              <w:rPr>
                <w:rFonts w:hint="eastAsia"/>
                <w:color w:val="auto"/>
                <w:spacing w:val="-3"/>
                <w:sz w:val="21"/>
                <w:highlight w:val="none"/>
              </w:rPr>
              <w:t>为已含入其他支付项中，发包人不另行计量，出资人不另行支付。</w:t>
            </w:r>
          </w:p>
          <w:p>
            <w:pPr>
              <w:pStyle w:val="87"/>
              <w:adjustRightInd w:val="0"/>
              <w:snapToGrid w:val="0"/>
              <w:spacing w:line="300" w:lineRule="auto"/>
              <w:ind w:left="115" w:right="82" w:firstLine="237"/>
              <w:jc w:val="both"/>
              <w:rPr>
                <w:color w:val="auto"/>
                <w:sz w:val="21"/>
                <w:highlight w:val="none"/>
              </w:rPr>
            </w:pPr>
            <w:r>
              <w:rPr>
                <w:rFonts w:hint="eastAsia"/>
                <w:color w:val="auto"/>
                <w:spacing w:val="-6"/>
                <w:sz w:val="21"/>
                <w:highlight w:val="none"/>
              </w:rPr>
              <w:t>承包人应按《人力资源社会保障部、交通运输部、水利部、能源局、铁路局、民</w:t>
            </w:r>
            <w:r>
              <w:rPr>
                <w:rFonts w:hint="eastAsia"/>
                <w:color w:val="auto"/>
                <w:spacing w:val="-4"/>
                <w:sz w:val="21"/>
                <w:highlight w:val="none"/>
              </w:rPr>
              <w:t>航局关于铁路、公路、水运、水利、能源、机场工程建设项目参加工伤保险工作的</w:t>
            </w:r>
            <w:r>
              <w:rPr>
                <w:rFonts w:hint="eastAsia"/>
                <w:color w:val="auto"/>
                <w:spacing w:val="-42"/>
                <w:sz w:val="21"/>
                <w:highlight w:val="none"/>
              </w:rPr>
              <w:t>通知》</w:t>
            </w:r>
            <w:r>
              <w:rPr>
                <w:rFonts w:hint="eastAsia"/>
                <w:color w:val="auto"/>
                <w:spacing w:val="-3"/>
                <w:sz w:val="21"/>
                <w:highlight w:val="none"/>
              </w:rPr>
              <w:t>（</w:t>
            </w:r>
            <w:r>
              <w:rPr>
                <w:rFonts w:hint="eastAsia"/>
                <w:color w:val="auto"/>
                <w:spacing w:val="-4"/>
                <w:sz w:val="21"/>
                <w:highlight w:val="none"/>
              </w:rPr>
              <w:t>人社部发〔</w:t>
            </w:r>
            <w:r>
              <w:rPr>
                <w:rFonts w:hint="eastAsia"/>
                <w:color w:val="auto"/>
                <w:sz w:val="21"/>
                <w:highlight w:val="none"/>
              </w:rPr>
              <w:t>2018</w:t>
            </w:r>
            <w:r>
              <w:rPr>
                <w:rFonts w:hint="eastAsia"/>
                <w:color w:val="auto"/>
                <w:spacing w:val="-10"/>
                <w:sz w:val="21"/>
                <w:highlight w:val="none"/>
              </w:rPr>
              <w:t>〕</w:t>
            </w:r>
            <w:r>
              <w:rPr>
                <w:rFonts w:hint="eastAsia"/>
                <w:color w:val="auto"/>
                <w:sz w:val="21"/>
                <w:highlight w:val="none"/>
              </w:rPr>
              <w:t xml:space="preserve">3 </w:t>
            </w:r>
            <w:r>
              <w:rPr>
                <w:rFonts w:hint="eastAsia"/>
                <w:color w:val="auto"/>
                <w:spacing w:val="-3"/>
                <w:sz w:val="21"/>
                <w:highlight w:val="none"/>
              </w:rPr>
              <w:t>号</w:t>
            </w:r>
            <w:r>
              <w:rPr>
                <w:rFonts w:hint="eastAsia"/>
                <w:color w:val="auto"/>
                <w:spacing w:val="-8"/>
                <w:sz w:val="21"/>
                <w:highlight w:val="none"/>
              </w:rPr>
              <w:t>）</w:t>
            </w:r>
            <w:r>
              <w:rPr>
                <w:rFonts w:hint="eastAsia"/>
                <w:color w:val="auto"/>
                <w:spacing w:val="-6"/>
                <w:sz w:val="21"/>
                <w:highlight w:val="none"/>
              </w:rPr>
              <w:t>文件的规定，在进场施工前，办理相关手续并提交</w:t>
            </w:r>
            <w:r>
              <w:rPr>
                <w:rFonts w:hint="eastAsia"/>
                <w:color w:val="auto"/>
                <w:sz w:val="21"/>
                <w:highlight w:val="none"/>
              </w:rPr>
              <w:t>人员参加工伤保险的证明。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vAlign w:val="center"/>
          </w:tcPr>
          <w:p>
            <w:pPr>
              <w:pStyle w:val="87"/>
              <w:spacing w:before="1"/>
              <w:ind w:left="35" w:right="26"/>
              <w:jc w:val="center"/>
              <w:rPr>
                <w:color w:val="auto"/>
                <w:sz w:val="21"/>
                <w:highlight w:val="none"/>
                <w:lang w:val="en-US"/>
              </w:rPr>
            </w:pPr>
            <w:r>
              <w:rPr>
                <w:rFonts w:hint="eastAsia"/>
                <w:color w:val="auto"/>
                <w:sz w:val="21"/>
                <w:highlight w:val="none"/>
                <w:lang w:val="en-US"/>
              </w:rPr>
              <w:t>69</w:t>
            </w:r>
          </w:p>
        </w:tc>
        <w:tc>
          <w:tcPr>
            <w:tcW w:w="1133" w:type="dxa"/>
            <w:tcBorders>
              <w:top w:val="single" w:color="000000" w:sz="2" w:space="0"/>
              <w:left w:val="single" w:color="000000" w:sz="2" w:space="0"/>
              <w:bottom w:val="single" w:color="000000" w:sz="2" w:space="0"/>
              <w:right w:val="single" w:color="000000" w:sz="2" w:space="0"/>
            </w:tcBorders>
            <w:vAlign w:val="center"/>
          </w:tcPr>
          <w:p>
            <w:pPr>
              <w:pStyle w:val="87"/>
              <w:spacing w:before="1"/>
              <w:ind w:left="104" w:right="90"/>
              <w:jc w:val="center"/>
              <w:rPr>
                <w:color w:val="auto"/>
                <w:sz w:val="21"/>
                <w:highlight w:val="none"/>
              </w:rPr>
            </w:pPr>
            <w:r>
              <w:rPr>
                <w:rFonts w:hint="eastAsia"/>
                <w:color w:val="auto"/>
                <w:sz w:val="21"/>
                <w:highlight w:val="none"/>
              </w:rPr>
              <w:t>22.1.1</w:t>
            </w:r>
          </w:p>
        </w:tc>
        <w:tc>
          <w:tcPr>
            <w:tcW w:w="7780" w:type="dxa"/>
            <w:tcBorders>
              <w:top w:val="single" w:color="000000" w:sz="2" w:space="0"/>
              <w:left w:val="single" w:color="000000" w:sz="2" w:space="0"/>
              <w:bottom w:val="single" w:color="000000" w:sz="2" w:space="0"/>
              <w:right w:val="single" w:color="000000" w:sz="8" w:space="0"/>
            </w:tcBorders>
          </w:tcPr>
          <w:p>
            <w:pPr>
              <w:pStyle w:val="263"/>
              <w:adjustRightInd w:val="0"/>
              <w:snapToGrid w:val="0"/>
              <w:spacing w:line="264" w:lineRule="auto"/>
              <w:ind w:firstLine="408" w:firstLineChars="200"/>
              <w:jc w:val="both"/>
              <w:rPr>
                <w:color w:val="auto"/>
                <w:spacing w:val="-3"/>
                <w:sz w:val="21"/>
                <w:szCs w:val="22"/>
                <w:highlight w:val="none"/>
                <w:lang w:val="zh-CN" w:eastAsia="zh-CN" w:bidi="zh-CN"/>
              </w:rPr>
            </w:pPr>
            <w:r>
              <w:rPr>
                <w:rFonts w:hint="eastAsia"/>
                <w:color w:val="auto"/>
                <w:spacing w:val="-3"/>
                <w:sz w:val="21"/>
                <w:szCs w:val="22"/>
                <w:highlight w:val="none"/>
                <w:lang w:val="en-US" w:eastAsia="zh-CN" w:bidi="zh-CN"/>
              </w:rPr>
              <w:t>22.1.1</w:t>
            </w:r>
            <w:r>
              <w:rPr>
                <w:rFonts w:hint="eastAsia"/>
                <w:color w:val="auto"/>
                <w:spacing w:val="-3"/>
                <w:sz w:val="21"/>
                <w:szCs w:val="22"/>
                <w:highlight w:val="none"/>
                <w:lang w:val="zh-CN" w:eastAsia="zh-CN" w:bidi="zh-CN"/>
              </w:rPr>
              <w:t>承包人违约的情形</w:t>
            </w:r>
          </w:p>
          <w:p>
            <w:pPr>
              <w:pStyle w:val="263"/>
              <w:adjustRightInd w:val="0"/>
              <w:snapToGrid w:val="0"/>
              <w:spacing w:line="264" w:lineRule="auto"/>
              <w:ind w:firstLine="408" w:firstLineChars="200"/>
              <w:jc w:val="both"/>
              <w:rPr>
                <w:color w:val="auto"/>
                <w:spacing w:val="-3"/>
                <w:sz w:val="21"/>
                <w:szCs w:val="22"/>
                <w:highlight w:val="none"/>
                <w:lang w:val="zh-CN" w:eastAsia="zh-CN" w:bidi="zh-CN"/>
              </w:rPr>
            </w:pPr>
            <w:r>
              <w:rPr>
                <w:rFonts w:hint="eastAsia"/>
                <w:color w:val="auto"/>
                <w:spacing w:val="-3"/>
                <w:sz w:val="21"/>
                <w:szCs w:val="22"/>
                <w:highlight w:val="none"/>
                <w:lang w:val="zh-CN" w:eastAsia="zh-CN" w:bidi="zh-CN"/>
              </w:rPr>
              <w:t>在履行合同过程中发生的下列情况属承包人违约：</w:t>
            </w:r>
          </w:p>
          <w:p>
            <w:pPr>
              <w:pStyle w:val="263"/>
              <w:tabs>
                <w:tab w:val="left" w:pos="1104"/>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（1）</w:t>
            </w:r>
            <w:r>
              <w:rPr>
                <w:rFonts w:hint="eastAsia"/>
                <w:color w:val="auto"/>
                <w:spacing w:val="-3"/>
                <w:sz w:val="21"/>
                <w:szCs w:val="22"/>
                <w:highlight w:val="none"/>
                <w:lang w:val="zh-CN" w:eastAsia="zh-CN" w:bidi="zh-CN"/>
              </w:rPr>
              <w:t>承包人违反第</w:t>
            </w:r>
            <w:r>
              <w:rPr>
                <w:rFonts w:hint="eastAsia"/>
                <w:color w:val="auto"/>
                <w:spacing w:val="-3"/>
                <w:sz w:val="21"/>
                <w:szCs w:val="22"/>
                <w:highlight w:val="none"/>
                <w:lang w:val="en-US" w:eastAsia="zh-CN" w:bidi="zh-CN"/>
              </w:rPr>
              <w:t>1.8</w:t>
            </w:r>
            <w:r>
              <w:rPr>
                <w:rFonts w:hint="eastAsia"/>
                <w:color w:val="auto"/>
                <w:spacing w:val="-3"/>
                <w:sz w:val="21"/>
                <w:szCs w:val="22"/>
                <w:highlight w:val="none"/>
                <w:lang w:val="zh-CN" w:eastAsia="zh-CN" w:bidi="zh-CN"/>
              </w:rPr>
              <w:t>款或第</w:t>
            </w:r>
            <w:r>
              <w:rPr>
                <w:rFonts w:hint="eastAsia"/>
                <w:color w:val="auto"/>
                <w:spacing w:val="-3"/>
                <w:sz w:val="21"/>
                <w:szCs w:val="22"/>
                <w:highlight w:val="none"/>
                <w:lang w:val="en-US" w:eastAsia="zh-CN" w:bidi="zh-CN"/>
              </w:rPr>
              <w:t>4.3</w:t>
            </w:r>
            <w:r>
              <w:rPr>
                <w:rFonts w:hint="eastAsia"/>
                <w:color w:val="auto"/>
                <w:spacing w:val="-3"/>
                <w:sz w:val="21"/>
                <w:szCs w:val="22"/>
                <w:highlight w:val="none"/>
                <w:lang w:val="zh-CN" w:eastAsia="zh-CN" w:bidi="zh-CN"/>
              </w:rPr>
              <w:t>款的约定，私自将合同的全部或部分权利转 让给其他人，或私自将合同的全部或部分义务转移给其他人；</w:t>
            </w:r>
          </w:p>
          <w:p>
            <w:pPr>
              <w:pStyle w:val="263"/>
              <w:tabs>
                <w:tab w:val="left" w:pos="1072"/>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2</w:t>
            </w:r>
            <w:r>
              <w:rPr>
                <w:rFonts w:hint="eastAsia"/>
                <w:color w:val="auto"/>
                <w:sz w:val="21"/>
                <w:highlight w:val="none"/>
              </w:rPr>
              <w:t>）</w:t>
            </w:r>
            <w:r>
              <w:rPr>
                <w:rFonts w:hint="eastAsia"/>
                <w:color w:val="auto"/>
                <w:spacing w:val="-3"/>
                <w:sz w:val="21"/>
                <w:szCs w:val="22"/>
                <w:highlight w:val="none"/>
                <w:lang w:val="zh-CN" w:eastAsia="zh-CN" w:bidi="zh-CN"/>
              </w:rPr>
              <w:t>承包人违反第</w:t>
            </w:r>
            <w:r>
              <w:rPr>
                <w:rFonts w:hint="eastAsia"/>
                <w:color w:val="auto"/>
                <w:spacing w:val="-3"/>
                <w:sz w:val="21"/>
                <w:szCs w:val="22"/>
                <w:highlight w:val="none"/>
                <w:lang w:val="en-US" w:eastAsia="zh-CN" w:bidi="zh-CN"/>
              </w:rPr>
              <w:t>5.3</w:t>
            </w:r>
            <w:r>
              <w:rPr>
                <w:rFonts w:hint="eastAsia"/>
                <w:color w:val="auto"/>
                <w:spacing w:val="-3"/>
                <w:sz w:val="21"/>
                <w:szCs w:val="22"/>
                <w:highlight w:val="none"/>
                <w:lang w:val="zh-CN" w:eastAsia="zh-CN" w:bidi="zh-CN"/>
              </w:rPr>
              <w:t>款或第</w:t>
            </w:r>
            <w:r>
              <w:rPr>
                <w:rFonts w:hint="eastAsia"/>
                <w:color w:val="auto"/>
                <w:spacing w:val="-3"/>
                <w:sz w:val="21"/>
                <w:szCs w:val="22"/>
                <w:highlight w:val="none"/>
                <w:lang w:val="en-US" w:eastAsia="zh-CN" w:bidi="zh-CN"/>
              </w:rPr>
              <w:t>6.4</w:t>
            </w:r>
            <w:r>
              <w:rPr>
                <w:rFonts w:hint="eastAsia"/>
                <w:color w:val="auto"/>
                <w:spacing w:val="-3"/>
                <w:sz w:val="21"/>
                <w:szCs w:val="22"/>
                <w:highlight w:val="none"/>
                <w:lang w:val="zh-CN" w:eastAsia="zh-CN" w:bidi="zh-CN"/>
              </w:rPr>
              <w:t>款的约定，未经监理人批准，私自将己按</w:t>
            </w:r>
            <w:r>
              <w:rPr>
                <w:rFonts w:hint="eastAsia"/>
                <w:color w:val="auto"/>
                <w:spacing w:val="-3"/>
                <w:sz w:val="21"/>
                <w:szCs w:val="22"/>
                <w:highlight w:val="none"/>
                <w:lang w:val="en-US" w:eastAsia="zh-CN" w:bidi="zh-CN"/>
              </w:rPr>
              <w:t>合同</w:t>
            </w:r>
            <w:r>
              <w:rPr>
                <w:rFonts w:hint="eastAsia"/>
                <w:color w:val="auto"/>
                <w:spacing w:val="-3"/>
                <w:sz w:val="21"/>
                <w:szCs w:val="22"/>
                <w:highlight w:val="none"/>
                <w:lang w:val="zh-CN" w:eastAsia="zh-CN" w:bidi="zh-CN"/>
              </w:rPr>
              <w:t>约定进入施工场地的施工设备、临时设施、材料或工程设备撤离施工场地；</w:t>
            </w:r>
          </w:p>
          <w:p>
            <w:pPr>
              <w:pStyle w:val="263"/>
              <w:tabs>
                <w:tab w:val="left" w:pos="1094"/>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3</w:t>
            </w:r>
            <w:r>
              <w:rPr>
                <w:rFonts w:hint="eastAsia"/>
                <w:color w:val="auto"/>
                <w:sz w:val="21"/>
                <w:highlight w:val="none"/>
              </w:rPr>
              <w:t>）</w:t>
            </w:r>
            <w:r>
              <w:rPr>
                <w:rFonts w:hint="eastAsia"/>
                <w:color w:val="auto"/>
                <w:spacing w:val="-3"/>
                <w:sz w:val="21"/>
                <w:szCs w:val="22"/>
                <w:highlight w:val="none"/>
                <w:lang w:val="zh-CN" w:eastAsia="zh-CN" w:bidi="zh-CN"/>
              </w:rPr>
              <w:t>承包人违反第</w:t>
            </w:r>
            <w:r>
              <w:rPr>
                <w:rFonts w:hint="eastAsia"/>
                <w:color w:val="auto"/>
                <w:spacing w:val="-3"/>
                <w:sz w:val="21"/>
                <w:szCs w:val="22"/>
                <w:highlight w:val="none"/>
                <w:lang w:val="en-US" w:eastAsia="zh-CN" w:bidi="zh-CN"/>
              </w:rPr>
              <w:t>5.4</w:t>
            </w:r>
            <w:r>
              <w:rPr>
                <w:rFonts w:hint="eastAsia"/>
                <w:color w:val="auto"/>
                <w:spacing w:val="-3"/>
                <w:sz w:val="21"/>
                <w:szCs w:val="22"/>
                <w:highlight w:val="none"/>
                <w:lang w:val="zh-CN" w:eastAsia="zh-CN" w:bidi="zh-CN"/>
              </w:rPr>
              <w:t>款的约定使用了不合格材料或工程设备，工程质量达不 到标准要求，又拒绝清除不合格工程；</w:t>
            </w:r>
          </w:p>
          <w:p>
            <w:pPr>
              <w:pStyle w:val="263"/>
              <w:tabs>
                <w:tab w:val="left" w:pos="1061"/>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4</w:t>
            </w:r>
            <w:r>
              <w:rPr>
                <w:rFonts w:hint="eastAsia"/>
                <w:color w:val="auto"/>
                <w:sz w:val="21"/>
                <w:highlight w:val="none"/>
              </w:rPr>
              <w:t>）</w:t>
            </w:r>
            <w:r>
              <w:rPr>
                <w:rFonts w:hint="eastAsia"/>
                <w:color w:val="auto"/>
                <w:spacing w:val="-3"/>
                <w:sz w:val="21"/>
                <w:szCs w:val="22"/>
                <w:highlight w:val="none"/>
                <w:lang w:val="zh-CN" w:eastAsia="zh-CN" w:bidi="zh-CN"/>
              </w:rPr>
              <w:t>承包人未能按合同进度计划及时完成合同约定的工作，已造成或预期造成工期延误；</w:t>
            </w:r>
          </w:p>
          <w:p>
            <w:pPr>
              <w:pStyle w:val="263"/>
              <w:tabs>
                <w:tab w:val="left" w:pos="1050"/>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5</w:t>
            </w:r>
            <w:r>
              <w:rPr>
                <w:rFonts w:hint="eastAsia"/>
                <w:color w:val="auto"/>
                <w:sz w:val="21"/>
                <w:highlight w:val="none"/>
              </w:rPr>
              <w:t>）</w:t>
            </w:r>
            <w:r>
              <w:rPr>
                <w:rFonts w:hint="eastAsia"/>
                <w:color w:val="auto"/>
                <w:spacing w:val="-3"/>
                <w:sz w:val="21"/>
                <w:szCs w:val="22"/>
                <w:highlight w:val="none"/>
                <w:lang w:val="zh-CN" w:eastAsia="zh-CN" w:bidi="zh-CN"/>
              </w:rPr>
              <w:t>承包人在缺陷责任期内，未能对工程接收证书所列的缺陷清单的内容或缺陷责任期内发生的缺陷进行修复，而又拒绝按监理人</w:t>
            </w:r>
            <w:r>
              <w:rPr>
                <w:rFonts w:hint="eastAsia"/>
                <w:color w:val="auto"/>
                <w:spacing w:val="-3"/>
                <w:sz w:val="21"/>
                <w:szCs w:val="22"/>
                <w:highlight w:val="none"/>
                <w:lang w:val="en-US" w:eastAsia="zh-CN" w:bidi="zh-CN"/>
              </w:rPr>
              <w:t>指示</w:t>
            </w:r>
            <w:r>
              <w:rPr>
                <w:rFonts w:hint="eastAsia"/>
                <w:color w:val="auto"/>
                <w:spacing w:val="-3"/>
                <w:sz w:val="21"/>
                <w:szCs w:val="22"/>
                <w:highlight w:val="none"/>
                <w:lang w:val="zh-CN" w:eastAsia="zh-CN" w:bidi="zh-CN"/>
              </w:rPr>
              <w:t>再进行修补；</w:t>
            </w:r>
          </w:p>
          <w:p>
            <w:pPr>
              <w:pStyle w:val="263"/>
              <w:tabs>
                <w:tab w:val="left" w:pos="1215"/>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6</w:t>
            </w:r>
            <w:r>
              <w:rPr>
                <w:rFonts w:hint="eastAsia"/>
                <w:color w:val="auto"/>
                <w:sz w:val="21"/>
                <w:highlight w:val="none"/>
              </w:rPr>
              <w:t>）</w:t>
            </w:r>
            <w:r>
              <w:rPr>
                <w:rFonts w:hint="eastAsia"/>
                <w:color w:val="auto"/>
                <w:spacing w:val="-3"/>
                <w:sz w:val="21"/>
                <w:szCs w:val="22"/>
                <w:highlight w:val="none"/>
                <w:lang w:val="zh-CN" w:eastAsia="zh-CN" w:bidi="zh-CN"/>
              </w:rPr>
              <w:t>承包人无法继续履行或明确</w:t>
            </w:r>
            <w:r>
              <w:rPr>
                <w:rFonts w:hint="eastAsia"/>
                <w:color w:val="auto"/>
                <w:spacing w:val="-3"/>
                <w:sz w:val="21"/>
                <w:szCs w:val="22"/>
                <w:highlight w:val="none"/>
                <w:lang w:val="en-US" w:eastAsia="zh-CN" w:bidi="zh-CN"/>
              </w:rPr>
              <w:t>表示</w:t>
            </w:r>
            <w:r>
              <w:rPr>
                <w:rFonts w:hint="eastAsia"/>
                <w:color w:val="auto"/>
                <w:spacing w:val="-3"/>
                <w:sz w:val="21"/>
                <w:szCs w:val="22"/>
                <w:highlight w:val="none"/>
                <w:lang w:val="zh-CN" w:eastAsia="zh-CN" w:bidi="zh-CN"/>
              </w:rPr>
              <w:t>不履行或实质上已停止履行合同；</w:t>
            </w:r>
          </w:p>
          <w:p>
            <w:pPr>
              <w:pStyle w:val="263"/>
              <w:tabs>
                <w:tab w:val="left" w:pos="1215"/>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7</w:t>
            </w:r>
            <w:r>
              <w:rPr>
                <w:rFonts w:hint="eastAsia"/>
                <w:color w:val="auto"/>
                <w:sz w:val="21"/>
                <w:highlight w:val="none"/>
              </w:rPr>
              <w:t>）</w:t>
            </w:r>
            <w:r>
              <w:rPr>
                <w:rFonts w:hint="eastAsia"/>
                <w:color w:val="auto"/>
                <w:spacing w:val="-3"/>
                <w:sz w:val="21"/>
                <w:szCs w:val="22"/>
                <w:highlight w:val="none"/>
                <w:lang w:val="zh-CN" w:eastAsia="zh-CN" w:bidi="zh-CN"/>
              </w:rPr>
              <w:t>承包人未能按期开工；</w:t>
            </w:r>
          </w:p>
          <w:p>
            <w:pPr>
              <w:pStyle w:val="263"/>
              <w:tabs>
                <w:tab w:val="left" w:pos="1094"/>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8</w:t>
            </w:r>
            <w:r>
              <w:rPr>
                <w:rFonts w:hint="eastAsia"/>
                <w:color w:val="auto"/>
                <w:sz w:val="21"/>
                <w:highlight w:val="none"/>
              </w:rPr>
              <w:t>）</w:t>
            </w:r>
            <w:r>
              <w:rPr>
                <w:rFonts w:hint="eastAsia"/>
                <w:color w:val="auto"/>
                <w:spacing w:val="-3"/>
                <w:sz w:val="21"/>
                <w:szCs w:val="22"/>
                <w:highlight w:val="none"/>
                <w:lang w:val="zh-CN" w:eastAsia="zh-CN" w:bidi="zh-CN"/>
              </w:rPr>
              <w:t>承包人违反第</w:t>
            </w:r>
            <w:r>
              <w:rPr>
                <w:rFonts w:hint="eastAsia"/>
                <w:color w:val="auto"/>
                <w:spacing w:val="-3"/>
                <w:sz w:val="21"/>
                <w:szCs w:val="22"/>
                <w:highlight w:val="none"/>
                <w:lang w:val="en-US" w:eastAsia="zh-CN" w:bidi="zh-CN"/>
              </w:rPr>
              <w:t>4.6</w:t>
            </w:r>
            <w:r>
              <w:rPr>
                <w:rFonts w:hint="eastAsia"/>
                <w:color w:val="auto"/>
                <w:spacing w:val="-3"/>
                <w:sz w:val="21"/>
                <w:szCs w:val="22"/>
                <w:highlight w:val="none"/>
                <w:lang w:val="zh-CN" w:eastAsia="zh-CN" w:bidi="zh-CN"/>
              </w:rPr>
              <w:t>款或第</w:t>
            </w:r>
            <w:r>
              <w:rPr>
                <w:rFonts w:hint="eastAsia"/>
                <w:color w:val="auto"/>
                <w:spacing w:val="-3"/>
                <w:sz w:val="21"/>
                <w:szCs w:val="22"/>
                <w:highlight w:val="none"/>
                <w:lang w:val="en-US" w:eastAsia="zh-CN" w:bidi="zh-CN"/>
              </w:rPr>
              <w:t>6.3</w:t>
            </w:r>
            <w:r>
              <w:rPr>
                <w:rFonts w:hint="eastAsia"/>
                <w:color w:val="auto"/>
                <w:spacing w:val="-3"/>
                <w:sz w:val="21"/>
                <w:szCs w:val="22"/>
                <w:highlight w:val="none"/>
                <w:lang w:val="zh-CN" w:eastAsia="zh-CN" w:bidi="zh-CN"/>
              </w:rPr>
              <w:t>款的规定，未按承诺或未按监理人的要求及 时配备称职的主要管理人员、技术骨干或关键施工设备；</w:t>
            </w:r>
          </w:p>
          <w:p>
            <w:pPr>
              <w:pStyle w:val="263"/>
              <w:tabs>
                <w:tab w:val="left" w:pos="1083"/>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w:t>
            </w:r>
            <w:r>
              <w:rPr>
                <w:rFonts w:hint="eastAsia"/>
                <w:color w:val="auto"/>
                <w:sz w:val="21"/>
                <w:highlight w:val="none"/>
                <w:lang w:val="en-US" w:eastAsia="zh-CN"/>
              </w:rPr>
              <w:t>9</w:t>
            </w:r>
            <w:r>
              <w:rPr>
                <w:rFonts w:hint="eastAsia"/>
                <w:color w:val="auto"/>
                <w:sz w:val="21"/>
                <w:highlight w:val="none"/>
              </w:rPr>
              <w:t>）</w:t>
            </w:r>
            <w:r>
              <w:rPr>
                <w:rFonts w:hint="eastAsia"/>
                <w:color w:val="auto"/>
                <w:spacing w:val="-3"/>
                <w:sz w:val="21"/>
                <w:szCs w:val="22"/>
                <w:highlight w:val="none"/>
                <w:lang w:val="zh-CN" w:eastAsia="zh-CN" w:bidi="zh-CN"/>
              </w:rPr>
              <w:t>经监理人和发包人检查，发现承包人有安全问题或有违反安全管理规章制度的情况；</w:t>
            </w:r>
          </w:p>
          <w:p>
            <w:pPr>
              <w:pStyle w:val="263"/>
              <w:tabs>
                <w:tab w:val="left" w:pos="1256"/>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（1</w:t>
            </w:r>
            <w:r>
              <w:rPr>
                <w:rFonts w:hint="eastAsia"/>
                <w:color w:val="auto"/>
                <w:sz w:val="21"/>
                <w:highlight w:val="none"/>
                <w:lang w:val="en-US" w:eastAsia="zh-CN"/>
              </w:rPr>
              <w:t>0</w:t>
            </w:r>
            <w:r>
              <w:rPr>
                <w:rFonts w:hint="eastAsia"/>
                <w:color w:val="auto"/>
                <w:sz w:val="21"/>
                <w:highlight w:val="none"/>
              </w:rPr>
              <w:t>）</w:t>
            </w:r>
            <w:r>
              <w:rPr>
                <w:rFonts w:hint="eastAsia"/>
                <w:color w:val="auto"/>
                <w:spacing w:val="-3"/>
                <w:sz w:val="21"/>
                <w:szCs w:val="22"/>
                <w:highlight w:val="none"/>
                <w:lang w:val="zh-CN" w:eastAsia="zh-CN" w:bidi="zh-CN"/>
              </w:rPr>
              <w:t>在工程实施期间，承包人在签订</w:t>
            </w:r>
            <w:r>
              <w:rPr>
                <w:rFonts w:hint="eastAsia"/>
                <w:color w:val="auto"/>
                <w:spacing w:val="-3"/>
                <w:sz w:val="21"/>
                <w:szCs w:val="22"/>
                <w:highlight w:val="none"/>
                <w:lang w:val="en-US" w:eastAsia="zh-CN" w:bidi="zh-CN"/>
              </w:rPr>
              <w:t>合同</w:t>
            </w:r>
            <w:r>
              <w:rPr>
                <w:rFonts w:hint="eastAsia"/>
                <w:color w:val="auto"/>
                <w:spacing w:val="-3"/>
                <w:sz w:val="21"/>
                <w:szCs w:val="22"/>
                <w:highlight w:val="none"/>
                <w:lang w:val="zh-CN" w:eastAsia="zh-CN" w:bidi="zh-CN"/>
              </w:rPr>
              <w:t>时确认的主要人员以及其他管理和 技术人员缺员30%以上，在监理人发出书面警告14天后，仍未见纠正违约行为；</w:t>
            </w:r>
          </w:p>
          <w:p>
            <w:pPr>
              <w:pStyle w:val="263"/>
              <w:tabs>
                <w:tab w:val="left" w:pos="1288"/>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（1</w:t>
            </w:r>
            <w:r>
              <w:rPr>
                <w:rFonts w:hint="eastAsia"/>
                <w:color w:val="auto"/>
                <w:sz w:val="21"/>
                <w:highlight w:val="none"/>
                <w:lang w:val="en-US" w:eastAsia="zh-CN"/>
              </w:rPr>
              <w:t>1</w:t>
            </w:r>
            <w:r>
              <w:rPr>
                <w:rFonts w:hint="eastAsia"/>
                <w:color w:val="auto"/>
                <w:sz w:val="21"/>
                <w:highlight w:val="none"/>
              </w:rPr>
              <w:t>）</w:t>
            </w:r>
            <w:r>
              <w:rPr>
                <w:rFonts w:hint="eastAsia"/>
                <w:color w:val="auto"/>
                <w:spacing w:val="-3"/>
                <w:sz w:val="21"/>
                <w:szCs w:val="22"/>
                <w:highlight w:val="none"/>
                <w:lang w:val="zh-CN" w:eastAsia="zh-CN" w:bidi="zh-CN"/>
              </w:rPr>
              <w:t>由于承包人原因引起暂时停工，承包人不积极釆取补救措施造成工期严 重延误；</w:t>
            </w:r>
          </w:p>
          <w:p>
            <w:pPr>
              <w:pStyle w:val="263"/>
              <w:tabs>
                <w:tab w:val="left" w:pos="1378"/>
              </w:tabs>
              <w:adjustRightInd w:val="0"/>
              <w:snapToGrid w:val="0"/>
              <w:spacing w:line="264" w:lineRule="auto"/>
              <w:ind w:firstLine="420" w:firstLineChars="200"/>
              <w:jc w:val="both"/>
              <w:rPr>
                <w:color w:val="auto"/>
                <w:spacing w:val="-3"/>
                <w:sz w:val="21"/>
                <w:szCs w:val="22"/>
                <w:highlight w:val="none"/>
                <w:lang w:val="zh-CN" w:eastAsia="zh-CN" w:bidi="zh-CN"/>
              </w:rPr>
            </w:pPr>
            <w:r>
              <w:rPr>
                <w:rFonts w:hint="eastAsia"/>
                <w:color w:val="auto"/>
                <w:sz w:val="21"/>
                <w:highlight w:val="none"/>
              </w:rPr>
              <w:t>（1</w:t>
            </w:r>
            <w:r>
              <w:rPr>
                <w:rFonts w:hint="eastAsia"/>
                <w:color w:val="auto"/>
                <w:sz w:val="21"/>
                <w:highlight w:val="none"/>
                <w:lang w:val="en-US" w:eastAsia="zh-CN"/>
              </w:rPr>
              <w:t>2</w:t>
            </w:r>
            <w:r>
              <w:rPr>
                <w:rFonts w:hint="eastAsia"/>
                <w:color w:val="auto"/>
                <w:sz w:val="21"/>
                <w:highlight w:val="none"/>
              </w:rPr>
              <w:t>）</w:t>
            </w:r>
            <w:r>
              <w:rPr>
                <w:rFonts w:hint="eastAsia"/>
                <w:color w:val="auto"/>
                <w:spacing w:val="-3"/>
                <w:sz w:val="21"/>
                <w:szCs w:val="22"/>
                <w:highlight w:val="none"/>
                <w:lang w:val="zh-CN" w:eastAsia="zh-CN" w:bidi="zh-CN"/>
              </w:rPr>
              <w:t>无视监理人事先的书面警告，一贯或公然忽视履行其</w:t>
            </w:r>
            <w:r>
              <w:rPr>
                <w:rFonts w:hint="eastAsia"/>
                <w:color w:val="auto"/>
                <w:spacing w:val="-3"/>
                <w:sz w:val="21"/>
                <w:szCs w:val="22"/>
                <w:highlight w:val="none"/>
                <w:lang w:val="en-US" w:eastAsia="zh-CN" w:bidi="zh-CN"/>
              </w:rPr>
              <w:t>合同</w:t>
            </w:r>
            <w:r>
              <w:rPr>
                <w:rFonts w:hint="eastAsia"/>
                <w:color w:val="auto"/>
                <w:spacing w:val="-3"/>
                <w:sz w:val="21"/>
                <w:szCs w:val="22"/>
                <w:highlight w:val="none"/>
                <w:lang w:val="zh-CN" w:eastAsia="zh-CN" w:bidi="zh-CN"/>
              </w:rPr>
              <w:t>规定的义务；</w:t>
            </w:r>
          </w:p>
          <w:p>
            <w:pPr>
              <w:pStyle w:val="87"/>
              <w:tabs>
                <w:tab w:val="left" w:pos="1091"/>
              </w:tabs>
              <w:adjustRightInd w:val="0"/>
              <w:snapToGrid w:val="0"/>
              <w:spacing w:line="264" w:lineRule="auto"/>
              <w:ind w:firstLine="420" w:firstLineChars="200"/>
              <w:rPr>
                <w:color w:val="auto"/>
                <w:sz w:val="21"/>
                <w:highlight w:val="none"/>
              </w:rPr>
            </w:pPr>
            <w:r>
              <w:rPr>
                <w:rFonts w:hint="eastAsia"/>
                <w:color w:val="auto"/>
                <w:sz w:val="21"/>
                <w:highlight w:val="none"/>
              </w:rPr>
              <w:t>（1</w:t>
            </w:r>
            <w:r>
              <w:rPr>
                <w:rFonts w:hint="eastAsia"/>
                <w:color w:val="auto"/>
                <w:sz w:val="21"/>
                <w:highlight w:val="none"/>
                <w:lang w:val="en-US"/>
              </w:rPr>
              <w:t>3</w:t>
            </w:r>
            <w:r>
              <w:rPr>
                <w:rFonts w:hint="eastAsia"/>
                <w:color w:val="auto"/>
                <w:sz w:val="21"/>
                <w:highlight w:val="none"/>
              </w:rPr>
              <w:t>）</w:t>
            </w:r>
            <w:r>
              <w:rPr>
                <w:rFonts w:hint="eastAsia"/>
                <w:color w:val="auto"/>
                <w:spacing w:val="-3"/>
                <w:sz w:val="21"/>
                <w:highlight w:val="none"/>
              </w:rPr>
              <w:t>承包人未经批准擅自</w:t>
            </w:r>
            <w:r>
              <w:rPr>
                <w:rFonts w:hint="eastAsia"/>
                <w:color w:val="auto"/>
                <w:spacing w:val="-3"/>
                <w:sz w:val="21"/>
                <w:highlight w:val="none"/>
                <w:lang w:val="en-US"/>
              </w:rPr>
              <w:t>撤离</w:t>
            </w:r>
            <w:r>
              <w:rPr>
                <w:rFonts w:hint="eastAsia"/>
                <w:color w:val="auto"/>
                <w:spacing w:val="-3"/>
                <w:sz w:val="21"/>
                <w:highlight w:val="none"/>
              </w:rPr>
              <w:t>工地。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70</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rPr>
              <w:t>22.1.2</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263"/>
              <w:adjustRightInd w:val="0"/>
              <w:snapToGrid w:val="0"/>
              <w:spacing w:line="264" w:lineRule="auto"/>
              <w:ind w:firstLine="460"/>
              <w:jc w:val="both"/>
              <w:rPr>
                <w:color w:val="auto"/>
                <w:sz w:val="21"/>
                <w:szCs w:val="21"/>
                <w:highlight w:val="none"/>
              </w:rPr>
            </w:pPr>
            <w:r>
              <w:rPr>
                <w:rFonts w:hint="eastAsia"/>
                <w:color w:val="auto"/>
                <w:sz w:val="21"/>
                <w:szCs w:val="21"/>
                <w:highlight w:val="none"/>
                <w:lang w:val="en-US" w:eastAsia="zh-CN" w:bidi="en-US"/>
              </w:rPr>
              <w:t>22.1.2</w:t>
            </w:r>
            <w:r>
              <w:rPr>
                <w:rFonts w:hint="eastAsia"/>
                <w:color w:val="auto"/>
                <w:sz w:val="21"/>
                <w:szCs w:val="21"/>
                <w:highlight w:val="none"/>
              </w:rPr>
              <w:t>对承包人违约的处理</w:t>
            </w:r>
          </w:p>
          <w:p>
            <w:pPr>
              <w:pStyle w:val="87"/>
              <w:adjustRightInd w:val="0"/>
              <w:snapToGrid w:val="0"/>
              <w:spacing w:line="264" w:lineRule="auto"/>
              <w:ind w:left="112" w:leftChars="51" w:right="82" w:firstLine="315" w:firstLineChars="150"/>
              <w:jc w:val="both"/>
              <w:rPr>
                <w:color w:val="auto"/>
                <w:sz w:val="21"/>
                <w:szCs w:val="21"/>
                <w:highlight w:val="none"/>
                <w:lang w:val="en-US"/>
              </w:rPr>
            </w:pPr>
            <w:r>
              <w:rPr>
                <w:rFonts w:hint="eastAsia"/>
                <w:color w:val="auto"/>
                <w:sz w:val="21"/>
                <w:szCs w:val="21"/>
                <w:highlight w:val="none"/>
              </w:rPr>
              <w:t>(1)承包人发生第</w:t>
            </w:r>
            <w:r>
              <w:rPr>
                <w:rFonts w:hint="eastAsia"/>
                <w:color w:val="auto"/>
                <w:sz w:val="21"/>
                <w:szCs w:val="21"/>
                <w:highlight w:val="none"/>
                <w:lang w:val="en-US" w:bidi="en-US"/>
              </w:rPr>
              <w:t xml:space="preserve">22.1.1 </w:t>
            </w:r>
            <w:r>
              <w:rPr>
                <w:rFonts w:hint="eastAsia"/>
                <w:color w:val="auto"/>
                <w:sz w:val="21"/>
                <w:szCs w:val="21"/>
                <w:highlight w:val="none"/>
              </w:rPr>
              <w:t>(6)目约定的违约情况时，即承包人无法继续履行或明确表示不履行或实质上已停止履行合同的，发包人可通知承包人立即解除合同, 并按有关法律处理。</w:t>
            </w:r>
          </w:p>
          <w:p>
            <w:pPr>
              <w:pStyle w:val="87"/>
              <w:adjustRightInd w:val="0"/>
              <w:snapToGrid w:val="0"/>
              <w:spacing w:line="264" w:lineRule="auto"/>
              <w:ind w:left="112" w:leftChars="51" w:right="82" w:firstLine="315" w:firstLineChars="150"/>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)承包人发生除第</w:t>
            </w:r>
            <w:r>
              <w:rPr>
                <w:rFonts w:hint="eastAsia"/>
                <w:color w:val="auto"/>
                <w:sz w:val="21"/>
                <w:szCs w:val="21"/>
                <w:highlight w:val="none"/>
                <w:lang w:val="en-US" w:bidi="en-US"/>
              </w:rPr>
              <w:t xml:space="preserve">22.1.1 </w:t>
            </w:r>
            <w:r>
              <w:rPr>
                <w:rFonts w:hint="eastAsia"/>
                <w:color w:val="auto"/>
                <w:sz w:val="21"/>
                <w:szCs w:val="21"/>
                <w:highlight w:val="none"/>
              </w:rPr>
              <w:t>（6）目约定以外的其他违约情况时，监理人可向承包人发出整改通知，要求其在指定的期限内改正。同时，发包人可视承包人违约的严重程度采取下列措施之一。承包人应承担其违约所引起的费用增加和（或）工期延误</w:t>
            </w:r>
          </w:p>
          <w:p>
            <w:pPr>
              <w:adjustRightInd w:val="0"/>
              <w:snapToGrid w:val="0"/>
              <w:spacing w:line="264" w:lineRule="auto"/>
              <w:ind w:firstLine="420" w:firstLineChars="200"/>
              <w:rPr>
                <w:color w:val="auto"/>
                <w:sz w:val="21"/>
                <w:szCs w:val="21"/>
                <w:highlight w:val="none"/>
              </w:rPr>
            </w:pPr>
            <w:r>
              <w:rPr>
                <w:rFonts w:hint="eastAsia"/>
                <w:color w:val="auto"/>
                <w:sz w:val="21"/>
                <w:szCs w:val="21"/>
                <w:highlight w:val="none"/>
                <w:lang w:val="en-US" w:bidi="en-US"/>
              </w:rPr>
              <w:t>a、</w:t>
            </w:r>
            <w:r>
              <w:rPr>
                <w:rFonts w:hint="eastAsia"/>
                <w:color w:val="auto"/>
                <w:sz w:val="21"/>
                <w:szCs w:val="21"/>
                <w:highlight w:val="none"/>
              </w:rPr>
              <w:t>发包人可要求承包人支付合同价格的1%〜10%作为违约金。即使交纳了违约 金，承包人仍应按合同规定继续实施和完成本合同工程及其缺陷修复。</w:t>
            </w:r>
          </w:p>
          <w:p>
            <w:pPr>
              <w:pStyle w:val="87"/>
              <w:adjustRightInd w:val="0"/>
              <w:snapToGrid w:val="0"/>
              <w:spacing w:line="264" w:lineRule="auto"/>
              <w:ind w:right="-29" w:firstLine="420" w:firstLineChars="200"/>
              <w:rPr>
                <w:color w:val="auto"/>
                <w:highlight w:val="none"/>
              </w:rPr>
            </w:pPr>
            <w:r>
              <w:rPr>
                <w:rFonts w:hint="eastAsia"/>
                <w:color w:val="auto"/>
                <w:sz w:val="21"/>
                <w:szCs w:val="21"/>
                <w:highlight w:val="none"/>
                <w:lang w:val="en-US" w:bidi="en-US"/>
              </w:rPr>
              <w:t>b、</w:t>
            </w:r>
            <w:r>
              <w:rPr>
                <w:rFonts w:hint="eastAsia"/>
                <w:color w:val="auto"/>
                <w:sz w:val="21"/>
                <w:szCs w:val="21"/>
                <w:highlight w:val="none"/>
              </w:rPr>
              <w:t>发包人可雇用其他承包人完成部分工程。承包人无权对此提出反对意见并应按合同规定完成合同工程其余部分的施工和缺陷修复。在这种情况下，出资人向 承包人支付的工程价款中不包括由其他承包人完成部分工程的价格。监理人将确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70</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rPr>
              <w:t>22.1.2</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264" w:lineRule="auto"/>
              <w:ind w:right="-29"/>
              <w:rPr>
                <w:color w:val="auto"/>
                <w:sz w:val="21"/>
                <w:szCs w:val="21"/>
                <w:highlight w:val="none"/>
                <w:lang w:val="en-US"/>
              </w:rPr>
            </w:pPr>
            <w:r>
              <w:rPr>
                <w:rFonts w:hint="eastAsia"/>
                <w:color w:val="auto"/>
                <w:sz w:val="21"/>
                <w:szCs w:val="21"/>
                <w:highlight w:val="none"/>
              </w:rPr>
              <w:t>定由于承包人违约而给发包人造成的费用增加和其他损失，报发包人批准后从应 付或到期应付给承包人的款项中扣除，并将上述决定通知承包人</w:t>
            </w:r>
            <w:r>
              <w:rPr>
                <w:rFonts w:hint="eastAsia"/>
                <w:color w:val="auto"/>
                <w:sz w:val="21"/>
                <w:szCs w:val="21"/>
                <w:highlight w:val="none"/>
                <w:lang w:val="en-US"/>
              </w:rPr>
              <w:t>。</w:t>
            </w:r>
          </w:p>
          <w:p>
            <w:pPr>
              <w:pStyle w:val="87"/>
              <w:adjustRightInd w:val="0"/>
              <w:snapToGrid w:val="0"/>
              <w:spacing w:line="264" w:lineRule="auto"/>
              <w:ind w:right="-29" w:firstLine="210" w:firstLineChars="100"/>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)经检查证明承包人已釆取了有效措施纠正违约行为，具备复工条件的，可由监理人签发复工通知复工</w:t>
            </w:r>
            <w:r>
              <w:rPr>
                <w:rFonts w:hint="eastAsia"/>
                <w:color w:val="auto"/>
                <w:sz w:val="21"/>
                <w:szCs w:val="21"/>
                <w:highlight w:val="none"/>
                <w:lang w:val="en-US"/>
              </w:rPr>
              <w:t>。</w:t>
            </w:r>
          </w:p>
          <w:p>
            <w:pPr>
              <w:pStyle w:val="87"/>
              <w:adjustRightInd w:val="0"/>
              <w:snapToGrid w:val="0"/>
              <w:spacing w:line="264" w:lineRule="auto"/>
              <w:ind w:right="-29" w:firstLine="210" w:firstLineChars="1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)承包人发生第</w:t>
            </w:r>
            <w:r>
              <w:rPr>
                <w:rFonts w:hint="eastAsia"/>
                <w:color w:val="auto"/>
                <w:sz w:val="21"/>
                <w:szCs w:val="21"/>
                <w:highlight w:val="none"/>
                <w:lang w:val="en-US"/>
              </w:rPr>
              <w:t>22.1.1</w:t>
            </w:r>
            <w:r>
              <w:rPr>
                <w:rFonts w:hint="eastAsia"/>
                <w:color w:val="auto"/>
                <w:sz w:val="21"/>
                <w:szCs w:val="21"/>
                <w:highlight w:val="none"/>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pPr>
              <w:pStyle w:val="87"/>
              <w:adjustRightInd w:val="0"/>
              <w:snapToGrid w:val="0"/>
              <w:spacing w:line="264" w:lineRule="auto"/>
              <w:ind w:right="-29" w:firstLine="210" w:firstLineChars="100"/>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)当承包人发生了下述违约情形时，发包人将要求承包人支付违约金：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a、</w:t>
            </w:r>
            <w:r>
              <w:rPr>
                <w:rFonts w:hint="eastAsia"/>
                <w:color w:val="auto"/>
                <w:sz w:val="21"/>
                <w:szCs w:val="21"/>
                <w:highlight w:val="none"/>
              </w:rPr>
              <w:t>承包人在监理人规定的截止日前，签订合同时确认的项目经理、项目总工 程师没有按时进场，或进场后未经批准又离开工地，发包人将要求承包人按1万元（每人每天）的标准支付违约金；其他管理人员没有按时进场，或进场后未经批准又离开工地，发包人将要求承包人按5000元（每人每天）的标准支付违约金, 直至缺员进场为止。根据本项规定支付的违约金累计不超过签约合同价的2%。</w:t>
            </w:r>
          </w:p>
          <w:p>
            <w:pPr>
              <w:pStyle w:val="87"/>
              <w:adjustRightInd w:val="0"/>
              <w:snapToGrid w:val="0"/>
              <w:spacing w:line="264" w:lineRule="auto"/>
              <w:ind w:right="-29" w:firstLine="420" w:firstLineChars="200"/>
              <w:rPr>
                <w:color w:val="auto"/>
                <w:sz w:val="21"/>
                <w:szCs w:val="21"/>
                <w:highlight w:val="none"/>
                <w:lang w:val="en-US" w:bidi="en-US"/>
              </w:rPr>
            </w:pPr>
            <w:r>
              <w:rPr>
                <w:rFonts w:hint="eastAsia"/>
                <w:color w:val="auto"/>
                <w:sz w:val="21"/>
                <w:szCs w:val="21"/>
                <w:highlight w:val="none"/>
                <w:lang w:val="en-US" w:bidi="en-US"/>
              </w:rPr>
              <w:t>b、</w:t>
            </w:r>
            <w:r>
              <w:rPr>
                <w:rFonts w:hint="eastAsia"/>
                <w:color w:val="auto"/>
                <w:sz w:val="21"/>
                <w:szCs w:val="21"/>
                <w:highlight w:val="none"/>
              </w:rPr>
              <w:t>承包人按照监理人规定进场的项目经理、项目总工及其他管理人员每人每 月在岗时间不得少于22天，否则发包人将要求承包人按1万元（项目经理、项目总工、每人每天）、 5000元（其他管理人员、每人每天）的标准支付违约金。根据 本项规定支付的违约金累计不超过签约合同价的</w:t>
            </w:r>
            <w:r>
              <w:rPr>
                <w:rFonts w:hint="eastAsia"/>
                <w:color w:val="auto"/>
                <w:sz w:val="21"/>
                <w:szCs w:val="21"/>
                <w:highlight w:val="none"/>
                <w:lang w:val="en-US" w:bidi="en-US"/>
              </w:rPr>
              <w:t>2%。</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c、</w:t>
            </w:r>
            <w:r>
              <w:rPr>
                <w:rFonts w:hint="eastAsia"/>
                <w:color w:val="auto"/>
                <w:sz w:val="21"/>
                <w:szCs w:val="21"/>
                <w:highlight w:val="none"/>
              </w:rPr>
              <w:t>承包人按照监理人规定进场的每个专业岗位管理人员同时离开工地人数不得超过1人，否则发包人将要求承包人按5000元（每人每天）的标准支付违约金。根据本项规定扣除的违约金累计不得超过签约合同价的2%。</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d、</w:t>
            </w:r>
            <w:r>
              <w:rPr>
                <w:rFonts w:hint="eastAsia"/>
                <w:color w:val="auto"/>
                <w:sz w:val="21"/>
                <w:szCs w:val="21"/>
                <w:highlight w:val="none"/>
              </w:rPr>
              <w:t>承包人的项目经理发生更换情形的，发包人将要求承包人按1</w:t>
            </w:r>
            <w:r>
              <w:rPr>
                <w:rFonts w:ascii="Arial" w:hAnsi="Arial" w:cs="Arial"/>
                <w:color w:val="auto"/>
                <w:sz w:val="21"/>
                <w:szCs w:val="21"/>
                <w:highlight w:val="none"/>
              </w:rPr>
              <w:t>‰</w:t>
            </w:r>
            <w:r>
              <w:rPr>
                <w:rFonts w:hint="eastAsia"/>
                <w:color w:val="auto"/>
                <w:sz w:val="21"/>
                <w:szCs w:val="21"/>
                <w:highlight w:val="none"/>
              </w:rPr>
              <w:t>签约合同价（每人每次）的标准支付违约金，但违约金金额应不低于2万且不高于20万；承包人的项目总工发生更换情形的，发包人将要求承包人按1</w:t>
            </w:r>
            <w:r>
              <w:rPr>
                <w:rFonts w:ascii="Arial" w:hAnsi="Arial" w:cs="Arial"/>
                <w:color w:val="auto"/>
                <w:sz w:val="21"/>
                <w:szCs w:val="21"/>
                <w:highlight w:val="none"/>
              </w:rPr>
              <w:t>‰</w:t>
            </w:r>
            <w:r>
              <w:rPr>
                <w:rFonts w:hint="eastAsia"/>
                <w:color w:val="auto"/>
                <w:sz w:val="21"/>
                <w:szCs w:val="21"/>
                <w:highlight w:val="none"/>
              </w:rPr>
              <w:t>签约合同价（每人每次）的标准支付违约金，但违约金金额应不低于2万且不高于15万。由于相关人员不能胜任本职工作、行为不端或玩忽职守而被监理人按合同条款第</w:t>
            </w:r>
            <w:r>
              <w:rPr>
                <w:rFonts w:hint="eastAsia"/>
                <w:color w:val="auto"/>
                <w:sz w:val="21"/>
                <w:szCs w:val="21"/>
                <w:highlight w:val="none"/>
                <w:lang w:val="en-US" w:bidi="en-US"/>
              </w:rPr>
              <w:t>4.7</w:t>
            </w:r>
            <w:r>
              <w:rPr>
                <w:rFonts w:hint="eastAsia"/>
                <w:color w:val="auto"/>
                <w:sz w:val="21"/>
                <w:szCs w:val="21"/>
                <w:highlight w:val="none"/>
              </w:rPr>
              <w:t>款规定要求撤换的，除按照本目的规定交纳违约金外，承包人发生项目经理或项目总工更换的情形时还应向发包人另行支付2万元（每人次）的违约金。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e、</w:t>
            </w:r>
            <w:r>
              <w:rPr>
                <w:rFonts w:hint="eastAsia"/>
                <w:color w:val="auto"/>
                <w:sz w:val="21"/>
                <w:szCs w:val="21"/>
                <w:highlight w:val="none"/>
              </w:rPr>
              <w:t>承包人在监理人规定的截止日前，签订合同时所确认的主要机械及试验、 测量设备不能按时进场，每迟到1天，发包人将要求承包人按照该设备的台班费（以交通运输部现行《预算定额》为准）的三倍支付违约金，直到设备进场为止。</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f、</w:t>
            </w:r>
            <w:r>
              <w:rPr>
                <w:rFonts w:hint="eastAsia"/>
                <w:color w:val="auto"/>
                <w:sz w:val="21"/>
                <w:szCs w:val="21"/>
                <w:highlight w:val="none"/>
              </w:rPr>
              <w:t>在工程实施期间，未经监理人批准，承包人进场的施工机械和材料试验、 质检仪器设备撤离现场，发包人将要求承包人按该设备的重置价值支付违约金。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g、</w:t>
            </w:r>
            <w:r>
              <w:rPr>
                <w:rFonts w:hint="eastAsia"/>
                <w:color w:val="auto"/>
                <w:sz w:val="21"/>
                <w:szCs w:val="21"/>
                <w:highlight w:val="none"/>
              </w:rPr>
              <w:t>在施工期间，承包人若违反施工操作及管理程序，一经发现，发包人将要 求承包人按5万元/次的标准支付违约金。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h、</w:t>
            </w:r>
            <w:r>
              <w:rPr>
                <w:rFonts w:hint="eastAsia"/>
                <w:color w:val="auto"/>
                <w:sz w:val="21"/>
                <w:szCs w:val="21"/>
                <w:highlight w:val="none"/>
              </w:rPr>
              <w:t>承包人在施工期间如果在各种报表及检查试验记录中自己作假或诱导监理人作假，发包人将要求承包人按每次1万〜5万元的标准支付违约金。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rPr>
              <w:t>I、承包人降低施工标准或偷工减料的，发包人将要求承包人按每次5万元的 标准支付违约金。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J、</w:t>
            </w:r>
            <w:r>
              <w:rPr>
                <w:rFonts w:hint="eastAsia"/>
                <w:color w:val="auto"/>
                <w:sz w:val="21"/>
                <w:szCs w:val="21"/>
                <w:highlight w:val="none"/>
              </w:rPr>
              <w:t>因承包人原因发生一般及以上质量事故所造成的经济纠纷及第三方损失， 由承包人自行处理并承担相关费用。</w:t>
            </w:r>
          </w:p>
          <w:p>
            <w:pPr>
              <w:pStyle w:val="87"/>
              <w:adjustRightInd w:val="0"/>
              <w:snapToGrid w:val="0"/>
              <w:spacing w:line="300" w:lineRule="auto"/>
              <w:ind w:left="115" w:right="-29"/>
              <w:rPr>
                <w:color w:val="auto"/>
                <w:highlight w:val="none"/>
              </w:rPr>
            </w:pPr>
            <w:r>
              <w:rPr>
                <w:rFonts w:hint="eastAsia"/>
                <w:color w:val="auto"/>
                <w:sz w:val="21"/>
                <w:szCs w:val="21"/>
                <w:highlight w:val="none"/>
                <w:lang w:val="en-US" w:bidi="en-US"/>
              </w:rPr>
              <w:t>k、</w:t>
            </w:r>
            <w:r>
              <w:rPr>
                <w:rFonts w:hint="eastAsia"/>
                <w:color w:val="auto"/>
                <w:sz w:val="21"/>
                <w:szCs w:val="21"/>
                <w:highlight w:val="none"/>
              </w:rPr>
              <w:t>因承包人原因发生《公路水运建设工程质量事故等级划分和报告制度》（交办安监〔2016）146号）中的质量问题、一般质量事故、较大质量事故、重大质量事故、特别重大质量事故的，发包人将要求承包人按每次5万元、10万元、20</w:t>
            </w:r>
          </w:p>
        </w:tc>
      </w:tr>
    </w:tbl>
    <w:p>
      <w:pPr>
        <w:rPr>
          <w:color w:val="auto"/>
          <w:sz w:val="24"/>
          <w:szCs w:val="24"/>
          <w:highlight w:val="none"/>
        </w:rPr>
        <w:sectPr>
          <w:footerReference r:id="rId33" w:type="default"/>
          <w:pgSz w:w="11910" w:h="16850"/>
          <w:pgMar w:top="1418" w:right="1191" w:bottom="1418" w:left="1191" w:header="876" w:footer="853" w:gutter="0"/>
          <w:cols w:space="720" w:num="1"/>
        </w:sectPr>
      </w:pPr>
    </w:p>
    <w:tbl>
      <w:tblPr>
        <w:tblStyle w:val="47"/>
        <w:tblW w:w="0" w:type="auto"/>
        <w:tblInd w:w="1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1133"/>
        <w:gridCol w:w="77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8" w:space="0"/>
              <w:left w:val="single" w:color="000000" w:sz="8" w:space="0"/>
              <w:bottom w:val="single" w:color="000000" w:sz="2" w:space="0"/>
              <w:right w:val="single" w:color="000000" w:sz="2" w:space="0"/>
            </w:tcBorders>
          </w:tcPr>
          <w:p>
            <w:pPr>
              <w:pStyle w:val="87"/>
              <w:spacing w:before="87" w:line="252" w:lineRule="exact"/>
              <w:ind w:left="35" w:right="26"/>
              <w:jc w:val="center"/>
              <w:rPr>
                <w:color w:val="auto"/>
                <w:sz w:val="21"/>
                <w:highlight w:val="none"/>
              </w:rPr>
            </w:pPr>
            <w:r>
              <w:rPr>
                <w:rFonts w:hint="eastAsia"/>
                <w:color w:val="auto"/>
                <w:sz w:val="21"/>
                <w:highlight w:val="none"/>
              </w:rPr>
              <w:t>序号</w:t>
            </w:r>
          </w:p>
        </w:tc>
        <w:tc>
          <w:tcPr>
            <w:tcW w:w="1133" w:type="dxa"/>
            <w:tcBorders>
              <w:top w:val="single" w:color="000000" w:sz="8" w:space="0"/>
              <w:left w:val="single" w:color="000000" w:sz="2" w:space="0"/>
              <w:bottom w:val="single" w:color="000000" w:sz="2" w:space="0"/>
              <w:right w:val="single" w:color="000000" w:sz="2" w:space="0"/>
            </w:tcBorders>
          </w:tcPr>
          <w:p>
            <w:pPr>
              <w:pStyle w:val="87"/>
              <w:spacing w:before="87" w:line="252" w:lineRule="exact"/>
              <w:ind w:left="104" w:right="90"/>
              <w:jc w:val="center"/>
              <w:rPr>
                <w:color w:val="auto"/>
                <w:sz w:val="21"/>
                <w:highlight w:val="none"/>
              </w:rPr>
            </w:pPr>
            <w:r>
              <w:rPr>
                <w:rFonts w:hint="eastAsia"/>
                <w:color w:val="auto"/>
                <w:sz w:val="21"/>
                <w:highlight w:val="none"/>
              </w:rPr>
              <w:t>条目号</w:t>
            </w:r>
          </w:p>
        </w:tc>
        <w:tc>
          <w:tcPr>
            <w:tcW w:w="7780" w:type="dxa"/>
            <w:tcBorders>
              <w:top w:val="single" w:color="000000" w:sz="8" w:space="0"/>
              <w:left w:val="single" w:color="000000" w:sz="2" w:space="0"/>
              <w:bottom w:val="single" w:color="000000" w:sz="2" w:space="0"/>
              <w:right w:val="single" w:color="000000" w:sz="8" w:space="0"/>
            </w:tcBorders>
          </w:tcPr>
          <w:p>
            <w:pPr>
              <w:pStyle w:val="87"/>
              <w:spacing w:before="87" w:line="252" w:lineRule="exact"/>
              <w:ind w:left="106" w:right="79"/>
              <w:jc w:val="center"/>
              <w:rPr>
                <w:color w:val="auto"/>
                <w:sz w:val="21"/>
                <w:highlight w:val="none"/>
              </w:rPr>
            </w:pPr>
            <w:r>
              <w:rPr>
                <w:rFonts w:hint="eastAsia"/>
                <w:color w:val="auto"/>
                <w:sz w:val="21"/>
                <w:highlight w:val="none"/>
              </w:rPr>
              <w:t>信息或数据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lang w:val="en-US"/>
              </w:rPr>
            </w:pP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rPr>
              <w:t>万元、30万元的标准支付违约金。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rPr>
              <w:t>l、承包人存在安全问题或有违反安全管理规章制度的情况时，视其情节轻重, 分别给予承包人通报批评、警告、责令停工等处罚，发包人可要求承包人支付5万元的违约金。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m、</w:t>
            </w:r>
            <w:r>
              <w:rPr>
                <w:rFonts w:hint="eastAsia"/>
                <w:color w:val="auto"/>
                <w:sz w:val="21"/>
                <w:szCs w:val="21"/>
                <w:highlight w:val="none"/>
              </w:rPr>
              <w:t>承包人应按劳动合同及时发放薪酬，不得因此影响工程的正常进展及发包 人的声誉。因此造成的劳务纠纷，发包人在收到劳动部门的仲裁结果后，有权根 据仲裁结果从应付给承包人的工程款中代为扣付。对工程的正常进展及发包人声 誉造成影响的，发包人可要求承包人支付5万元的违约金。</w:t>
            </w:r>
          </w:p>
          <w:p>
            <w:pPr>
              <w:pStyle w:val="87"/>
              <w:adjustRightInd w:val="0"/>
              <w:snapToGrid w:val="0"/>
              <w:spacing w:line="264" w:lineRule="auto"/>
              <w:ind w:right="-29" w:firstLine="420" w:firstLineChars="200"/>
              <w:rPr>
                <w:color w:val="auto"/>
                <w:sz w:val="21"/>
                <w:szCs w:val="21"/>
                <w:highlight w:val="none"/>
              </w:rPr>
            </w:pPr>
            <w:r>
              <w:rPr>
                <w:rFonts w:hint="eastAsia"/>
                <w:color w:val="auto"/>
                <w:sz w:val="21"/>
                <w:szCs w:val="21"/>
                <w:highlight w:val="none"/>
                <w:lang w:val="en-US" w:bidi="en-US"/>
              </w:rPr>
              <w:t>n、</w:t>
            </w:r>
            <w:r>
              <w:rPr>
                <w:rFonts w:hint="eastAsia"/>
                <w:color w:val="auto"/>
                <w:sz w:val="21"/>
                <w:szCs w:val="21"/>
                <w:highlight w:val="none"/>
              </w:rPr>
              <w:t>由于承包人原因导致本合同工程质量未达到合同约定的目标，发包人将要 求承包人支付质量保证金的30%作为违约金。如因承包人原因导致本项目质量未达到工程验收质量目标，发包人将要求承包人支付质量保证金的50%作为违约金。</w:t>
            </w:r>
          </w:p>
          <w:p>
            <w:pPr>
              <w:pStyle w:val="87"/>
              <w:adjustRightInd w:val="0"/>
              <w:snapToGrid w:val="0"/>
              <w:spacing w:line="264" w:lineRule="auto"/>
              <w:ind w:right="-29" w:firstLine="420" w:firstLineChars="200"/>
              <w:rPr>
                <w:color w:val="auto"/>
                <w:highlight w:val="none"/>
                <w:lang w:val="en-US"/>
              </w:rPr>
            </w:pPr>
            <w:r>
              <w:rPr>
                <w:rFonts w:hint="eastAsia"/>
                <w:color w:val="auto"/>
                <w:sz w:val="21"/>
                <w:szCs w:val="21"/>
                <w:highlight w:val="none"/>
              </w:rPr>
              <w:t>本款提及的所有违约金（包括由于承包人违约而给发包人造成的费用增加和其 他损失，下同）将从期中支付证书中扣除或现金形式的履约保证金中扣除或通知 履约保函开具银行支付，直至通过诉讼手段向承包人进行追索</w:t>
            </w:r>
          </w:p>
          <w:p>
            <w:pPr>
              <w:pStyle w:val="87"/>
              <w:adjustRightInd w:val="0"/>
              <w:snapToGrid w:val="0"/>
              <w:spacing w:line="264" w:lineRule="auto"/>
              <w:ind w:firstLine="420" w:firstLineChars="200"/>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71</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lang w:val="en-US"/>
              </w:rPr>
              <w:t>22.1.3</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263"/>
              <w:adjustRightInd w:val="0"/>
              <w:snapToGrid w:val="0"/>
              <w:spacing w:line="264" w:lineRule="auto"/>
              <w:ind w:firstLine="420" w:firstLineChars="200"/>
              <w:jc w:val="both"/>
              <w:rPr>
                <w:color w:val="auto"/>
                <w:sz w:val="21"/>
                <w:szCs w:val="21"/>
                <w:highlight w:val="none"/>
              </w:rPr>
            </w:pPr>
            <w:r>
              <w:rPr>
                <w:rFonts w:hint="eastAsia"/>
                <w:color w:val="auto"/>
                <w:sz w:val="21"/>
                <w:szCs w:val="21"/>
                <w:highlight w:val="none"/>
                <w:lang w:val="en-US" w:eastAsia="zh-CN" w:bidi="en-US"/>
              </w:rPr>
              <w:t>22.1.3</w:t>
            </w:r>
            <w:r>
              <w:rPr>
                <w:rFonts w:hint="eastAsia"/>
                <w:color w:val="auto"/>
                <w:sz w:val="21"/>
                <w:szCs w:val="21"/>
                <w:highlight w:val="none"/>
              </w:rPr>
              <w:t>承包人违约解除合同</w:t>
            </w:r>
          </w:p>
          <w:p>
            <w:pPr>
              <w:pStyle w:val="87"/>
              <w:adjustRightInd w:val="0"/>
              <w:snapToGrid w:val="0"/>
              <w:spacing w:line="264" w:lineRule="auto"/>
              <w:ind w:firstLine="420" w:firstLineChars="200"/>
              <w:rPr>
                <w:color w:val="auto"/>
                <w:highlight w:val="none"/>
              </w:rPr>
            </w:pPr>
            <w:r>
              <w:rPr>
                <w:rFonts w:hint="eastAsia"/>
                <w:color w:val="auto"/>
                <w:sz w:val="21"/>
                <w:szCs w:val="21"/>
                <w:highlight w:val="none"/>
              </w:rPr>
              <w:t>当承包人发生违约情形，且监理人发出整改通知14天后，承包人仍不纠正违约行为的，发包人可向承包人发出解除合同通知，终止承包人对本合同工程的承包，但不因此解除合同规定的承包人的任何义务和责任，或影响合同赋予发包人或监理人的各种权利和权限。合同解除后，发包人可派员进驻施工场地接管工程，自行完成该工程或邀请其他承包人完成该工程。发包人或其他承包人因继续完成该工程的需要，有权扣留使用承包人在现场的材料、设备和临时设施。合同解除后的有关事宜应按照第</w:t>
            </w:r>
            <w:r>
              <w:rPr>
                <w:rFonts w:hint="eastAsia"/>
                <w:color w:val="auto"/>
                <w:sz w:val="21"/>
                <w:szCs w:val="21"/>
                <w:highlight w:val="none"/>
                <w:lang w:val="en-US" w:bidi="en-US"/>
              </w:rPr>
              <w:t>22.1.4</w:t>
            </w:r>
            <w:r>
              <w:rPr>
                <w:rFonts w:hint="eastAsia"/>
                <w:color w:val="auto"/>
                <w:sz w:val="21"/>
                <w:szCs w:val="21"/>
                <w:highlight w:val="none"/>
              </w:rPr>
              <w:t>和</w:t>
            </w:r>
            <w:r>
              <w:rPr>
                <w:rFonts w:hint="eastAsia"/>
                <w:color w:val="auto"/>
                <w:sz w:val="21"/>
                <w:szCs w:val="21"/>
                <w:highlight w:val="none"/>
                <w:lang w:val="en-US" w:bidi="en-US"/>
              </w:rPr>
              <w:t>22.1.5</w:t>
            </w:r>
            <w:r>
              <w:rPr>
                <w:rFonts w:hint="eastAsia"/>
                <w:color w:val="auto"/>
                <w:sz w:val="21"/>
                <w:szCs w:val="21"/>
                <w:highlight w:val="none"/>
              </w:rPr>
              <w:t>款的规定办理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72</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rPr>
              <w:t>22.2.2</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adjustRightInd w:val="0"/>
              <w:snapToGrid w:val="0"/>
              <w:spacing w:line="300" w:lineRule="auto"/>
              <w:ind w:right="81" w:firstLine="420" w:firstLineChars="200"/>
              <w:jc w:val="both"/>
              <w:rPr>
                <w:color w:val="auto"/>
                <w:sz w:val="21"/>
                <w:highlight w:val="none"/>
              </w:rPr>
            </w:pPr>
            <w:r>
              <w:rPr>
                <w:rFonts w:hint="eastAsia"/>
                <w:color w:val="auto"/>
                <w:sz w:val="21"/>
                <w:highlight w:val="none"/>
              </w:rPr>
              <w:t>如承包人采用现金形式向发包人提交履约保证金或质量保证金时，发包人无正当理由不按时返还的，发包人应向承包人支付的违约金：</w:t>
            </w:r>
            <w:r>
              <w:rPr>
                <w:rFonts w:hint="eastAsia"/>
                <w:color w:val="auto"/>
                <w:sz w:val="21"/>
                <w:highlight w:val="none"/>
                <w:u w:val="single"/>
              </w:rPr>
              <w:t xml:space="preserve"> 本项目进度付款涉及政府</w:t>
            </w:r>
            <w:r>
              <w:rPr>
                <w:rFonts w:hint="eastAsia"/>
                <w:color w:val="auto"/>
                <w:sz w:val="21"/>
                <w:highlight w:val="none"/>
              </w:rPr>
              <w:t>投资资金，进度付款按照国库集中支付等国家及项目所在地省市及地区的政府及各</w:t>
            </w:r>
            <w:r>
              <w:rPr>
                <w:rFonts w:hint="eastAsia"/>
                <w:color w:val="auto"/>
                <w:sz w:val="21"/>
                <w:highlight w:val="none"/>
                <w:u w:val="single"/>
              </w:rPr>
              <w:t xml:space="preserve">级行业主管部门的相关规定办理。  </w:t>
            </w:r>
          </w:p>
          <w:p>
            <w:pPr>
              <w:pStyle w:val="87"/>
              <w:adjustRightInd w:val="0"/>
              <w:snapToGrid w:val="0"/>
              <w:spacing w:line="300" w:lineRule="auto"/>
              <w:ind w:right="31" w:rightChars="14" w:firstLine="420" w:firstLineChars="200"/>
              <w:rPr>
                <w:color w:val="auto"/>
                <w:highlight w:val="none"/>
              </w:rPr>
            </w:pPr>
            <w:r>
              <w:rPr>
                <w:rFonts w:hint="eastAsia"/>
                <w:color w:val="auto"/>
                <w:sz w:val="21"/>
                <w:highlight w:val="none"/>
              </w:rPr>
              <w:t>发包人无正当理由不按时返还农民工工资保证金的，发包人应向承包人支付的违约金</w:t>
            </w:r>
            <w:r>
              <w:rPr>
                <w:rFonts w:hint="eastAsia"/>
                <w:color w:val="auto"/>
                <w:spacing w:val="-3"/>
                <w:sz w:val="21"/>
                <w:highlight w:val="none"/>
              </w:rPr>
              <w:t>：</w:t>
            </w:r>
            <w:r>
              <w:rPr>
                <w:rFonts w:hint="eastAsia"/>
                <w:color w:val="auto"/>
                <w:spacing w:val="-3"/>
                <w:sz w:val="21"/>
                <w:highlight w:val="none"/>
                <w:u w:val="single"/>
              </w:rPr>
              <w:t xml:space="preserve"> </w:t>
            </w:r>
            <w:r>
              <w:rPr>
                <w:rFonts w:hint="eastAsia"/>
                <w:color w:val="auto"/>
                <w:spacing w:val="12"/>
                <w:sz w:val="21"/>
                <w:highlight w:val="none"/>
                <w:u w:val="single"/>
              </w:rPr>
              <w:t xml:space="preserve"> </w:t>
            </w:r>
            <w:r>
              <w:rPr>
                <w:rFonts w:hint="eastAsia"/>
                <w:color w:val="auto"/>
                <w:spacing w:val="-3"/>
                <w:sz w:val="21"/>
                <w:highlight w:val="none"/>
                <w:u w:val="single"/>
              </w:rPr>
              <w:t>不</w:t>
            </w:r>
            <w:r>
              <w:rPr>
                <w:rFonts w:hint="eastAsia"/>
                <w:color w:val="auto"/>
                <w:sz w:val="21"/>
                <w:highlight w:val="none"/>
                <w:u w:val="single"/>
              </w:rPr>
              <w:t>适</w:t>
            </w:r>
            <w:r>
              <w:rPr>
                <w:rFonts w:hint="eastAsia"/>
                <w:color w:val="auto"/>
                <w:spacing w:val="-3"/>
                <w:sz w:val="21"/>
                <w:highlight w:val="none"/>
                <w:u w:val="single"/>
              </w:rPr>
              <w:t>用</w:t>
            </w:r>
            <w:r>
              <w:rPr>
                <w:rFonts w:hint="eastAsia"/>
                <w:color w:val="auto"/>
                <w:sz w:val="21"/>
                <w:highlight w:val="none"/>
                <w:u w:val="single"/>
              </w:rPr>
              <w:t>。</w:t>
            </w:r>
            <w:r>
              <w:rPr>
                <w:rFonts w:hint="eastAsia"/>
                <w:color w:val="auto"/>
                <w:sz w:val="21"/>
                <w:highlight w:val="none"/>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535" w:type="dxa"/>
            <w:tcBorders>
              <w:top w:val="single" w:color="000000" w:sz="2" w:space="0"/>
              <w:left w:val="single" w:color="000000" w:sz="8" w:space="0"/>
              <w:bottom w:val="single" w:color="000000" w:sz="2" w:space="0"/>
              <w:right w:val="single" w:color="000000" w:sz="2" w:space="0"/>
            </w:tcBorders>
            <w:shd w:val="clear" w:color="auto" w:fill="auto"/>
            <w:vAlign w:val="center"/>
          </w:tcPr>
          <w:p>
            <w:pPr>
              <w:pStyle w:val="87"/>
              <w:ind w:left="35" w:right="26"/>
              <w:jc w:val="center"/>
              <w:rPr>
                <w:color w:val="auto"/>
                <w:sz w:val="21"/>
                <w:highlight w:val="none"/>
                <w:lang w:val="en-US"/>
              </w:rPr>
            </w:pPr>
            <w:r>
              <w:rPr>
                <w:rFonts w:hint="eastAsia"/>
                <w:color w:val="auto"/>
                <w:sz w:val="21"/>
                <w:highlight w:val="none"/>
                <w:lang w:val="en-US"/>
              </w:rPr>
              <w:t>73</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87"/>
              <w:ind w:left="104" w:right="90"/>
              <w:jc w:val="center"/>
              <w:rPr>
                <w:color w:val="auto"/>
                <w:sz w:val="21"/>
                <w:highlight w:val="none"/>
              </w:rPr>
            </w:pPr>
            <w:r>
              <w:rPr>
                <w:rFonts w:hint="eastAsia"/>
                <w:color w:val="auto"/>
                <w:sz w:val="21"/>
                <w:highlight w:val="none"/>
              </w:rPr>
              <w:t>24.1</w:t>
            </w:r>
          </w:p>
        </w:tc>
        <w:tc>
          <w:tcPr>
            <w:tcW w:w="7780" w:type="dxa"/>
            <w:tcBorders>
              <w:top w:val="single" w:color="000000" w:sz="2" w:space="0"/>
              <w:left w:val="single" w:color="000000" w:sz="2" w:space="0"/>
              <w:bottom w:val="single" w:color="000000" w:sz="2" w:space="0"/>
              <w:right w:val="single" w:color="000000" w:sz="8" w:space="0"/>
            </w:tcBorders>
            <w:shd w:val="clear" w:color="auto" w:fill="FFFFFF"/>
          </w:tcPr>
          <w:p>
            <w:pPr>
              <w:pStyle w:val="87"/>
              <w:tabs>
                <w:tab w:val="left" w:pos="4044"/>
              </w:tabs>
              <w:adjustRightInd w:val="0"/>
              <w:snapToGrid w:val="0"/>
              <w:spacing w:line="300" w:lineRule="auto"/>
              <w:ind w:left="326"/>
              <w:rPr>
                <w:color w:val="auto"/>
                <w:sz w:val="21"/>
                <w:highlight w:val="none"/>
              </w:rPr>
            </w:pPr>
            <w:r>
              <w:rPr>
                <w:rFonts w:hint="eastAsia"/>
                <w:color w:val="auto"/>
                <w:sz w:val="21"/>
                <w:highlight w:val="none"/>
              </w:rPr>
              <w:t>争议</w:t>
            </w:r>
            <w:r>
              <w:rPr>
                <w:rFonts w:hint="eastAsia"/>
                <w:color w:val="auto"/>
                <w:spacing w:val="-3"/>
                <w:sz w:val="21"/>
                <w:highlight w:val="none"/>
              </w:rPr>
              <w:t>的</w:t>
            </w:r>
            <w:r>
              <w:rPr>
                <w:rFonts w:hint="eastAsia"/>
                <w:color w:val="auto"/>
                <w:sz w:val="21"/>
                <w:highlight w:val="none"/>
              </w:rPr>
              <w:t>最</w:t>
            </w:r>
            <w:r>
              <w:rPr>
                <w:rFonts w:hint="eastAsia"/>
                <w:color w:val="auto"/>
                <w:spacing w:val="-3"/>
                <w:sz w:val="21"/>
                <w:highlight w:val="none"/>
              </w:rPr>
              <w:t>终</w:t>
            </w:r>
            <w:r>
              <w:rPr>
                <w:rFonts w:hint="eastAsia"/>
                <w:color w:val="auto"/>
                <w:sz w:val="21"/>
                <w:highlight w:val="none"/>
              </w:rPr>
              <w:t>解</w:t>
            </w:r>
            <w:r>
              <w:rPr>
                <w:rFonts w:hint="eastAsia"/>
                <w:color w:val="auto"/>
                <w:spacing w:val="-3"/>
                <w:sz w:val="21"/>
                <w:highlight w:val="none"/>
              </w:rPr>
              <w:t>决</w:t>
            </w:r>
            <w:r>
              <w:rPr>
                <w:rFonts w:hint="eastAsia"/>
                <w:color w:val="auto"/>
                <w:sz w:val="21"/>
                <w:highlight w:val="none"/>
              </w:rPr>
              <w:t>方</w:t>
            </w:r>
            <w:r>
              <w:rPr>
                <w:rFonts w:hint="eastAsia"/>
                <w:color w:val="auto"/>
                <w:spacing w:val="-3"/>
                <w:sz w:val="21"/>
                <w:highlight w:val="none"/>
              </w:rPr>
              <w:t>式，</w:t>
            </w:r>
            <w:r>
              <w:rPr>
                <w:rFonts w:hint="eastAsia"/>
                <w:color w:val="auto"/>
                <w:spacing w:val="-17"/>
                <w:sz w:val="21"/>
                <w:highlight w:val="none"/>
              </w:rPr>
              <w:t>规定为：</w:t>
            </w:r>
            <w:r>
              <w:rPr>
                <w:rFonts w:hint="eastAsia"/>
                <w:color w:val="auto"/>
                <w:spacing w:val="-17"/>
                <w:sz w:val="21"/>
                <w:highlight w:val="none"/>
                <w:u w:val="single"/>
              </w:rPr>
              <w:t xml:space="preserve"> </w:t>
            </w:r>
            <w:r>
              <w:rPr>
                <w:rFonts w:hint="eastAsia"/>
                <w:color w:val="auto"/>
                <w:spacing w:val="37"/>
                <w:sz w:val="21"/>
                <w:highlight w:val="none"/>
                <w:u w:val="single"/>
              </w:rPr>
              <w:t xml:space="preserve"> </w:t>
            </w:r>
            <w:r>
              <w:rPr>
                <w:rFonts w:hint="eastAsia"/>
                <w:color w:val="auto"/>
                <w:spacing w:val="-3"/>
                <w:sz w:val="21"/>
                <w:highlight w:val="none"/>
                <w:u w:val="single"/>
              </w:rPr>
              <w:t>仲</w:t>
            </w:r>
            <w:r>
              <w:rPr>
                <w:rFonts w:hint="eastAsia"/>
                <w:color w:val="auto"/>
                <w:sz w:val="21"/>
                <w:highlight w:val="none"/>
                <w:u w:val="single"/>
              </w:rPr>
              <w:t>裁</w:t>
            </w:r>
            <w:r>
              <w:rPr>
                <w:rFonts w:hint="eastAsia"/>
                <w:color w:val="auto"/>
                <w:sz w:val="21"/>
                <w:highlight w:val="none"/>
                <w:u w:val="single"/>
              </w:rPr>
              <w:tab/>
            </w:r>
          </w:p>
          <w:p>
            <w:pPr>
              <w:pStyle w:val="87"/>
              <w:tabs>
                <w:tab w:val="left" w:pos="6565"/>
              </w:tabs>
              <w:adjustRightInd w:val="0"/>
              <w:snapToGrid w:val="0"/>
              <w:spacing w:line="300" w:lineRule="auto"/>
              <w:ind w:left="326"/>
              <w:rPr>
                <w:color w:val="auto"/>
                <w:highlight w:val="none"/>
              </w:rPr>
            </w:pPr>
            <w:r>
              <w:rPr>
                <w:rFonts w:hint="eastAsia"/>
                <w:color w:val="auto"/>
                <w:sz w:val="21"/>
                <w:highlight w:val="none"/>
              </w:rPr>
              <w:t>采用</w:t>
            </w:r>
            <w:r>
              <w:rPr>
                <w:rFonts w:hint="eastAsia"/>
                <w:color w:val="auto"/>
                <w:spacing w:val="-3"/>
                <w:sz w:val="21"/>
                <w:highlight w:val="none"/>
              </w:rPr>
              <w:t>仲</w:t>
            </w:r>
            <w:r>
              <w:rPr>
                <w:rFonts w:hint="eastAsia"/>
                <w:color w:val="auto"/>
                <w:sz w:val="21"/>
                <w:highlight w:val="none"/>
              </w:rPr>
              <w:t>裁</w:t>
            </w:r>
            <w:r>
              <w:rPr>
                <w:rFonts w:hint="eastAsia"/>
                <w:color w:val="auto"/>
                <w:spacing w:val="-3"/>
                <w:sz w:val="21"/>
                <w:highlight w:val="none"/>
              </w:rPr>
              <w:t>的</w:t>
            </w:r>
            <w:r>
              <w:rPr>
                <w:rFonts w:hint="eastAsia"/>
                <w:color w:val="auto"/>
                <w:sz w:val="21"/>
                <w:highlight w:val="none"/>
              </w:rPr>
              <w:t>仲</w:t>
            </w:r>
            <w:r>
              <w:rPr>
                <w:rFonts w:hint="eastAsia"/>
                <w:color w:val="auto"/>
                <w:spacing w:val="-3"/>
                <w:sz w:val="21"/>
                <w:highlight w:val="none"/>
              </w:rPr>
              <w:t>裁</w:t>
            </w:r>
            <w:r>
              <w:rPr>
                <w:rFonts w:hint="eastAsia"/>
                <w:color w:val="auto"/>
                <w:sz w:val="21"/>
                <w:highlight w:val="none"/>
              </w:rPr>
              <w:t>委</w:t>
            </w:r>
            <w:r>
              <w:rPr>
                <w:rFonts w:hint="eastAsia"/>
                <w:color w:val="auto"/>
                <w:spacing w:val="-3"/>
                <w:sz w:val="21"/>
                <w:highlight w:val="none"/>
              </w:rPr>
              <w:t>员</w:t>
            </w:r>
            <w:r>
              <w:rPr>
                <w:rFonts w:hint="eastAsia"/>
                <w:color w:val="auto"/>
                <w:sz w:val="21"/>
                <w:highlight w:val="none"/>
              </w:rPr>
              <w:t>会</w:t>
            </w:r>
            <w:r>
              <w:rPr>
                <w:rFonts w:hint="eastAsia"/>
                <w:color w:val="auto"/>
                <w:spacing w:val="-3"/>
                <w:sz w:val="21"/>
                <w:highlight w:val="none"/>
              </w:rPr>
              <w:t>名</w:t>
            </w:r>
            <w:r>
              <w:rPr>
                <w:rFonts w:hint="eastAsia"/>
                <w:color w:val="auto"/>
                <w:sz w:val="21"/>
                <w:highlight w:val="none"/>
              </w:rPr>
              <w:t>称</w:t>
            </w:r>
            <w:r>
              <w:rPr>
                <w:rFonts w:hint="eastAsia"/>
                <w:color w:val="auto"/>
                <w:spacing w:val="-3"/>
                <w:sz w:val="21"/>
                <w:highlight w:val="none"/>
              </w:rPr>
              <w:t>，</w:t>
            </w:r>
            <w:r>
              <w:rPr>
                <w:rFonts w:hint="eastAsia"/>
                <w:color w:val="auto"/>
                <w:spacing w:val="-17"/>
                <w:sz w:val="21"/>
                <w:highlight w:val="none"/>
              </w:rPr>
              <w:t>规定为：</w:t>
            </w:r>
            <w:r>
              <w:rPr>
                <w:rFonts w:hint="eastAsia"/>
                <w:color w:val="auto"/>
                <w:spacing w:val="-17"/>
                <w:sz w:val="21"/>
                <w:highlight w:val="none"/>
                <w:u w:val="single"/>
              </w:rPr>
              <w:t xml:space="preserve"> </w:t>
            </w:r>
            <w:r>
              <w:rPr>
                <w:rFonts w:hint="eastAsia"/>
                <w:color w:val="auto"/>
                <w:spacing w:val="48"/>
                <w:sz w:val="21"/>
                <w:highlight w:val="none"/>
                <w:u w:val="single"/>
              </w:rPr>
              <w:t xml:space="preserve"> </w:t>
            </w:r>
            <w:r>
              <w:rPr>
                <w:rFonts w:hint="eastAsia"/>
                <w:color w:val="auto"/>
                <w:szCs w:val="21"/>
                <w:highlight w:val="none"/>
                <w:u w:val="single"/>
              </w:rPr>
              <w:t>发包人所在地</w:t>
            </w:r>
            <w:r>
              <w:rPr>
                <w:rFonts w:hint="eastAsia"/>
                <w:color w:val="auto"/>
                <w:szCs w:val="21"/>
                <w:highlight w:val="none"/>
                <w:u w:val="single"/>
                <w:lang w:val="en-US"/>
              </w:rPr>
              <w:t>仲裁</w:t>
            </w:r>
            <w:r>
              <w:rPr>
                <w:rFonts w:hint="eastAsia"/>
                <w:color w:val="auto"/>
                <w:szCs w:val="21"/>
                <w:highlight w:val="none"/>
                <w:u w:val="single"/>
              </w:rPr>
              <w:t>委员会</w:t>
            </w:r>
            <w:r>
              <w:rPr>
                <w:rFonts w:hint="eastAsia"/>
                <w:color w:val="auto"/>
                <w:sz w:val="21"/>
                <w:highlight w:val="none"/>
                <w:u w:val="single"/>
              </w:rPr>
              <w:tab/>
            </w:r>
          </w:p>
        </w:tc>
      </w:tr>
    </w:tbl>
    <w:p>
      <w:pPr>
        <w:jc w:val="center"/>
        <w:rPr>
          <w:color w:val="auto"/>
          <w:sz w:val="36"/>
          <w:szCs w:val="36"/>
          <w:highlight w:val="none"/>
        </w:rPr>
        <w:sectPr>
          <w:pgSz w:w="11910" w:h="16850"/>
          <w:pgMar w:top="1418" w:right="1191" w:bottom="1418" w:left="1191" w:header="876" w:footer="853" w:gutter="0"/>
          <w:cols w:space="720" w:num="1"/>
        </w:sectPr>
      </w:pPr>
    </w:p>
    <w:p>
      <w:pPr>
        <w:jc w:val="center"/>
        <w:outlineLvl w:val="2"/>
        <w:rPr>
          <w:color w:val="auto"/>
          <w:sz w:val="36"/>
          <w:szCs w:val="36"/>
          <w:highlight w:val="none"/>
        </w:rPr>
      </w:pPr>
      <w:bookmarkStart w:id="2900" w:name="_Toc23612"/>
      <w:bookmarkStart w:id="2901" w:name="_Toc13814"/>
      <w:bookmarkStart w:id="2902" w:name="_Toc293"/>
      <w:bookmarkStart w:id="2903" w:name="_Toc31083"/>
      <w:bookmarkStart w:id="2904" w:name="_Toc17511"/>
      <w:bookmarkStart w:id="2905" w:name="_Toc13590"/>
      <w:bookmarkStart w:id="2906" w:name="_Toc31945"/>
      <w:bookmarkStart w:id="2907" w:name="_Toc12362"/>
      <w:bookmarkStart w:id="2908" w:name="_Toc4241"/>
      <w:bookmarkStart w:id="2909" w:name="_Toc28218"/>
      <w:bookmarkStart w:id="2910" w:name="_Toc23088"/>
      <w:bookmarkStart w:id="2911" w:name="_Toc5244"/>
      <w:bookmarkStart w:id="2912" w:name="_Toc2247"/>
      <w:bookmarkStart w:id="2913" w:name="_Toc9642"/>
      <w:bookmarkStart w:id="2914" w:name="_Toc20324"/>
      <w:bookmarkStart w:id="2915" w:name="_Toc20109"/>
      <w:bookmarkStart w:id="2916" w:name="_Toc15745"/>
      <w:r>
        <w:rPr>
          <w:rFonts w:hint="eastAsia"/>
          <w:color w:val="auto"/>
          <w:sz w:val="36"/>
          <w:szCs w:val="36"/>
          <w:highlight w:val="none"/>
        </w:rPr>
        <w:t>项目专用合同条款</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pPr>
        <w:pStyle w:val="236"/>
        <w:shd w:val="clear" w:color="auto" w:fill="auto"/>
        <w:adjustRightInd w:val="0"/>
        <w:snapToGrid w:val="0"/>
        <w:spacing w:line="360" w:lineRule="auto"/>
        <w:ind w:left="700" w:hanging="700"/>
        <w:jc w:val="both"/>
        <w:rPr>
          <w:rFonts w:ascii="宋体" w:hAnsi="宋体" w:eastAsia="宋体"/>
          <w:color w:val="auto"/>
          <w:spacing w:val="0"/>
          <w:highlight w:val="none"/>
        </w:rPr>
      </w:pPr>
      <w:r>
        <w:rPr>
          <w:rStyle w:val="238"/>
          <w:rFonts w:ascii="宋体" w:hAnsi="宋体" w:eastAsia="宋体"/>
          <w:color w:val="auto"/>
          <w:spacing w:val="0"/>
          <w:highlight w:val="none"/>
        </w:rPr>
        <w:t>说明</w:t>
      </w:r>
      <w:r>
        <w:rPr>
          <w:rFonts w:hint="eastAsia" w:ascii="宋体" w:hAnsi="宋体" w:eastAsia="宋体"/>
          <w:color w:val="auto"/>
          <w:spacing w:val="0"/>
          <w:highlight w:val="none"/>
        </w:rPr>
        <w:t>：本项目专用合同条款是对“通用合同条款”、“公路工程专用合同条款”的补充、 细化和约定，应对照通用合同条款、公路工程专用合同条款中同一编号的条款一 起阅读和理解。如果本“项目专用合同条款”与“公路工程专用合同条款”、“通 用合同条款”不一致时，以本“项目专用合同条款”的规定为准。</w:t>
      </w:r>
    </w:p>
    <w:p>
      <w:pPr>
        <w:adjustRightInd w:val="0"/>
        <w:snapToGrid w:val="0"/>
        <w:spacing w:line="360" w:lineRule="auto"/>
        <w:outlineLvl w:val="2"/>
        <w:rPr>
          <w:b/>
          <w:bCs/>
          <w:color w:val="auto"/>
          <w:highlight w:val="none"/>
        </w:rPr>
      </w:pPr>
      <w:bookmarkStart w:id="2917" w:name="_Toc16936"/>
      <w:bookmarkStart w:id="2918" w:name="_Toc9324"/>
      <w:bookmarkStart w:id="2919" w:name="_Toc25662"/>
      <w:bookmarkStart w:id="2920" w:name="_Toc16906"/>
      <w:bookmarkStart w:id="2921" w:name="_Toc22734"/>
      <w:bookmarkStart w:id="2922" w:name="_Toc13930"/>
      <w:bookmarkStart w:id="2923" w:name="_Toc18608"/>
      <w:bookmarkStart w:id="2924" w:name="_Toc4714"/>
      <w:bookmarkStart w:id="2925" w:name="_Toc22154"/>
      <w:bookmarkStart w:id="2926" w:name="_Toc19350"/>
      <w:bookmarkStart w:id="2927" w:name="_Toc16774"/>
      <w:bookmarkStart w:id="2928" w:name="bookmark2"/>
      <w:bookmarkStart w:id="2929" w:name="_Toc24817"/>
      <w:bookmarkStart w:id="2930" w:name="_Toc26560"/>
      <w:bookmarkStart w:id="2931" w:name="_Toc28374"/>
      <w:bookmarkStart w:id="2932" w:name="_Toc27751"/>
      <w:bookmarkStart w:id="2933" w:name="_Toc30535"/>
      <w:bookmarkStart w:id="2934" w:name="_Toc32682"/>
      <w:bookmarkStart w:id="2935" w:name="_Toc5292"/>
      <w:bookmarkStart w:id="2936" w:name="_Toc27685"/>
      <w:bookmarkStart w:id="2937" w:name="_Toc5732"/>
      <w:bookmarkStart w:id="2938" w:name="_Toc30887"/>
      <w:r>
        <w:rPr>
          <w:rFonts w:hint="eastAsia"/>
          <w:b/>
          <w:bCs/>
          <w:color w:val="auto"/>
          <w:highlight w:val="none"/>
        </w:rPr>
        <w:t>1. 一般约定</w:t>
      </w:r>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pPr>
        <w:adjustRightInd w:val="0"/>
        <w:snapToGrid w:val="0"/>
        <w:spacing w:line="360" w:lineRule="auto"/>
        <w:rPr>
          <w:color w:val="auto"/>
          <w:highlight w:val="none"/>
        </w:rPr>
      </w:pPr>
      <w:bookmarkStart w:id="2939" w:name="_Toc28097"/>
      <w:bookmarkStart w:id="2940" w:name="_Toc6063"/>
      <w:bookmarkStart w:id="2941" w:name="_Toc12133"/>
      <w:bookmarkStart w:id="2942" w:name="_Toc20075"/>
      <w:bookmarkStart w:id="2943" w:name="_Toc24829"/>
      <w:bookmarkStart w:id="2944" w:name="_Toc29605"/>
      <w:bookmarkStart w:id="2945" w:name="_Toc89"/>
      <w:bookmarkStart w:id="2946" w:name="_Toc19709"/>
      <w:bookmarkStart w:id="2947" w:name="bookmark3"/>
      <w:bookmarkStart w:id="2948" w:name="_Toc2001"/>
      <w:r>
        <w:rPr>
          <w:rFonts w:hint="eastAsia" w:cs="PMingLiU"/>
          <w:b/>
          <w:bCs/>
          <w:color w:val="auto"/>
          <w:spacing w:val="10"/>
          <w:highlight w:val="none"/>
        </w:rPr>
        <w:t>1.1词语定义</w:t>
      </w:r>
      <w:bookmarkEnd w:id="2939"/>
      <w:bookmarkEnd w:id="2940"/>
      <w:bookmarkEnd w:id="2941"/>
      <w:bookmarkEnd w:id="2942"/>
      <w:bookmarkEnd w:id="2943"/>
      <w:bookmarkEnd w:id="2944"/>
      <w:bookmarkEnd w:id="2945"/>
      <w:bookmarkEnd w:id="2946"/>
      <w:bookmarkEnd w:id="2947"/>
      <w:bookmarkEnd w:id="2948"/>
    </w:p>
    <w:p>
      <w:pPr>
        <w:pStyle w:val="245"/>
        <w:shd w:val="clear" w:color="auto" w:fill="auto"/>
        <w:adjustRightInd w:val="0"/>
        <w:snapToGrid w:val="0"/>
        <w:spacing w:line="360" w:lineRule="auto"/>
        <w:ind w:firstLine="520"/>
        <w:jc w:val="both"/>
        <w:rPr>
          <w:rFonts w:ascii="宋体" w:hAnsi="宋体" w:eastAsia="宋体"/>
          <w:color w:val="auto"/>
          <w:highlight w:val="none"/>
        </w:rPr>
      </w:pPr>
      <w:r>
        <w:rPr>
          <w:rStyle w:val="238"/>
          <w:rFonts w:ascii="宋体" w:hAnsi="宋体" w:eastAsia="宋体"/>
          <w:color w:val="auto"/>
          <w:highlight w:val="none"/>
        </w:rPr>
        <w:t>1.1.2</w:t>
      </w:r>
      <w:r>
        <w:rPr>
          <w:rFonts w:hint="eastAsia" w:ascii="宋体" w:hAnsi="宋体" w:eastAsia="宋体"/>
          <w:color w:val="auto"/>
          <w:highlight w:val="none"/>
        </w:rPr>
        <w:t>合同当事人和人员</w:t>
      </w:r>
    </w:p>
    <w:p>
      <w:pPr>
        <w:pStyle w:val="247"/>
        <w:shd w:val="clear" w:color="auto" w:fill="auto"/>
        <w:adjustRightInd w:val="0"/>
        <w:snapToGrid w:val="0"/>
        <w:spacing w:line="360" w:lineRule="auto"/>
        <w:ind w:firstLine="520"/>
        <w:jc w:val="both"/>
        <w:rPr>
          <w:rFonts w:ascii="宋体" w:hAnsi="宋体" w:eastAsia="宋体"/>
          <w:color w:val="auto"/>
          <w:sz w:val="22"/>
          <w:szCs w:val="22"/>
          <w:highlight w:val="none"/>
        </w:rPr>
      </w:pPr>
      <w:r>
        <w:rPr>
          <w:rStyle w:val="238"/>
          <w:rFonts w:ascii="宋体" w:hAnsi="宋体" w:eastAsia="宋体"/>
          <w:color w:val="auto"/>
          <w:sz w:val="22"/>
          <w:szCs w:val="22"/>
          <w:highlight w:val="none"/>
        </w:rPr>
        <w:t>本项补充第</w:t>
      </w:r>
      <w:r>
        <w:rPr>
          <w:rFonts w:hint="eastAsia" w:ascii="宋体" w:hAnsi="宋体" w:eastAsia="宋体"/>
          <w:color w:val="auto"/>
          <w:sz w:val="22"/>
          <w:szCs w:val="22"/>
          <w:highlight w:val="none"/>
          <w:lang w:bidi="en-US"/>
        </w:rPr>
        <w:t>1.1.2.9</w:t>
      </w:r>
      <w:r>
        <w:rPr>
          <w:rStyle w:val="238"/>
          <w:rFonts w:ascii="宋体" w:hAnsi="宋体" w:eastAsia="宋体"/>
          <w:color w:val="auto"/>
          <w:sz w:val="22"/>
          <w:szCs w:val="22"/>
          <w:highlight w:val="none"/>
        </w:rPr>
        <w:t>目、第</w:t>
      </w:r>
      <w:r>
        <w:rPr>
          <w:rFonts w:hint="eastAsia" w:ascii="宋体" w:hAnsi="宋体" w:eastAsia="宋体"/>
          <w:color w:val="auto"/>
          <w:sz w:val="22"/>
          <w:szCs w:val="22"/>
          <w:highlight w:val="none"/>
          <w:lang w:bidi="en-US"/>
        </w:rPr>
        <w:t>1.1.2.10</w:t>
      </w:r>
      <w:r>
        <w:rPr>
          <w:rStyle w:val="238"/>
          <w:rFonts w:ascii="宋体" w:hAnsi="宋体" w:eastAsia="宋体"/>
          <w:color w:val="auto"/>
          <w:sz w:val="22"/>
          <w:szCs w:val="22"/>
          <w:highlight w:val="none"/>
        </w:rPr>
        <w:t>目：</w:t>
      </w:r>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1.1.2.9</w:t>
      </w:r>
      <w:r>
        <w:rPr>
          <w:rFonts w:hint="eastAsia"/>
          <w:color w:val="auto"/>
          <w:highlight w:val="none"/>
        </w:rPr>
        <w:t>项目法人：</w:t>
      </w:r>
      <w:r>
        <w:rPr>
          <w:rStyle w:val="248"/>
          <w:rFonts w:ascii="宋体" w:hAnsi="宋体" w:eastAsia="宋体"/>
          <w:color w:val="auto"/>
          <w:highlight w:val="none"/>
        </w:rPr>
        <w:t>详见《项目专用合同条款数据表》</w:t>
      </w:r>
      <w:r>
        <w:rPr>
          <w:rFonts w:hint="eastAsia"/>
          <w:color w:val="auto"/>
          <w:highlight w:val="none"/>
        </w:rPr>
        <w:t>。</w:t>
      </w:r>
    </w:p>
    <w:p>
      <w:pPr>
        <w:adjustRightInd w:val="0"/>
        <w:snapToGrid w:val="0"/>
        <w:spacing w:line="360" w:lineRule="auto"/>
        <w:ind w:firstLine="520"/>
        <w:rPr>
          <w:color w:val="auto"/>
          <w:highlight w:val="none"/>
        </w:rPr>
      </w:pPr>
      <w:r>
        <w:rPr>
          <w:rFonts w:hint="eastAsia"/>
          <w:color w:val="auto"/>
          <w:highlight w:val="none"/>
          <w:lang w:bidi="en-US"/>
        </w:rPr>
        <w:t>1.1.2.10</w:t>
      </w:r>
      <w:r>
        <w:rPr>
          <w:rFonts w:hint="eastAsia"/>
          <w:color w:val="auto"/>
          <w:highlight w:val="none"/>
        </w:rPr>
        <w:t>项目代建人：</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r>
        <w:rPr>
          <w:rFonts w:hint="eastAsia"/>
          <w:color w:val="auto"/>
          <w:highlight w:val="none"/>
        </w:rPr>
        <w:t>。</w:t>
      </w:r>
    </w:p>
    <w:p>
      <w:pPr>
        <w:pStyle w:val="247"/>
        <w:shd w:val="clear" w:color="auto" w:fill="auto"/>
        <w:adjustRightInd w:val="0"/>
        <w:snapToGrid w:val="0"/>
        <w:spacing w:line="360" w:lineRule="auto"/>
        <w:ind w:left="520" w:right="6100"/>
        <w:jc w:val="left"/>
        <w:rPr>
          <w:rFonts w:ascii="宋体" w:hAnsi="宋体" w:eastAsia="宋体"/>
          <w:color w:val="auto"/>
          <w:sz w:val="22"/>
          <w:szCs w:val="22"/>
          <w:highlight w:val="none"/>
          <w:lang w:bidi="en-US"/>
        </w:rPr>
      </w:pPr>
    </w:p>
    <w:p>
      <w:pPr>
        <w:pStyle w:val="247"/>
        <w:shd w:val="clear" w:color="auto" w:fill="auto"/>
        <w:adjustRightInd w:val="0"/>
        <w:snapToGrid w:val="0"/>
        <w:spacing w:line="360" w:lineRule="auto"/>
        <w:ind w:left="520" w:right="6100"/>
        <w:jc w:val="left"/>
        <w:rPr>
          <w:rStyle w:val="238"/>
          <w:rFonts w:ascii="宋体" w:hAnsi="宋体" w:eastAsia="宋体"/>
          <w:b/>
          <w:bCs/>
          <w:color w:val="auto"/>
          <w:sz w:val="22"/>
          <w:szCs w:val="22"/>
          <w:highlight w:val="none"/>
        </w:rPr>
      </w:pPr>
      <w:r>
        <w:rPr>
          <w:rFonts w:hint="eastAsia" w:ascii="宋体" w:hAnsi="宋体" w:eastAsia="宋体"/>
          <w:b/>
          <w:bCs/>
          <w:color w:val="auto"/>
          <w:sz w:val="22"/>
          <w:szCs w:val="22"/>
          <w:highlight w:val="none"/>
          <w:lang w:bidi="en-US"/>
        </w:rPr>
        <w:t>1.1.3</w:t>
      </w:r>
      <w:r>
        <w:rPr>
          <w:rStyle w:val="238"/>
          <w:rFonts w:ascii="宋体" w:hAnsi="宋体" w:eastAsia="宋体"/>
          <w:b/>
          <w:bCs/>
          <w:color w:val="auto"/>
          <w:sz w:val="22"/>
          <w:szCs w:val="22"/>
          <w:highlight w:val="none"/>
        </w:rPr>
        <w:t xml:space="preserve">工程和设备 </w:t>
      </w:r>
    </w:p>
    <w:p>
      <w:pPr>
        <w:pStyle w:val="247"/>
        <w:shd w:val="clear" w:color="auto" w:fill="auto"/>
        <w:adjustRightInd w:val="0"/>
        <w:snapToGrid w:val="0"/>
        <w:spacing w:line="360" w:lineRule="auto"/>
        <w:ind w:left="520" w:right="6100"/>
        <w:jc w:val="left"/>
        <w:rPr>
          <w:color w:val="auto"/>
          <w:highlight w:val="none"/>
        </w:rPr>
      </w:pPr>
      <w:r>
        <w:rPr>
          <w:rStyle w:val="238"/>
          <w:rFonts w:ascii="宋体" w:hAnsi="宋体" w:eastAsia="宋体"/>
          <w:color w:val="auto"/>
          <w:sz w:val="22"/>
          <w:szCs w:val="22"/>
          <w:highlight w:val="none"/>
        </w:rPr>
        <w:t>本项补充第</w:t>
      </w:r>
      <w:r>
        <w:rPr>
          <w:rFonts w:hint="eastAsia" w:ascii="宋体" w:hAnsi="宋体" w:eastAsia="宋体"/>
          <w:color w:val="auto"/>
          <w:sz w:val="22"/>
          <w:szCs w:val="22"/>
          <w:highlight w:val="none"/>
          <w:lang w:bidi="en-US"/>
        </w:rPr>
        <w:t xml:space="preserve">1.1.3.14 </w:t>
      </w:r>
      <w:r>
        <w:rPr>
          <w:rStyle w:val="239"/>
          <w:rFonts w:hint="eastAsia" w:ascii="宋体" w:hAnsi="宋体" w:eastAsia="宋体"/>
          <w:color w:val="auto"/>
          <w:sz w:val="22"/>
          <w:szCs w:val="22"/>
          <w:highlight w:val="none"/>
          <w:lang w:eastAsia="zh-CN"/>
        </w:rPr>
        <w:t>目</w:t>
      </w:r>
      <w:r>
        <w:rPr>
          <w:rFonts w:hint="eastAsia" w:ascii="宋体" w:hAnsi="宋体" w:eastAsia="宋体"/>
          <w:color w:val="auto"/>
          <w:sz w:val="22"/>
          <w:szCs w:val="22"/>
          <w:highlight w:val="none"/>
          <w:lang w:bidi="en-US"/>
        </w:rPr>
        <w:t>：</w:t>
      </w:r>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1.1.3.14</w:t>
      </w:r>
      <w:r>
        <w:rPr>
          <w:rFonts w:hint="eastAsia"/>
          <w:color w:val="auto"/>
          <w:highlight w:val="none"/>
        </w:rPr>
        <w:t>本工程的主体和关键性工作：</w:t>
      </w:r>
      <w:r>
        <w:rPr>
          <w:rStyle w:val="248"/>
          <w:rFonts w:ascii="宋体" w:hAnsi="宋体" w:eastAsia="宋体"/>
          <w:color w:val="auto"/>
          <w:highlight w:val="none"/>
        </w:rPr>
        <w:t>详见《项目专用合同条款数据表》</w:t>
      </w:r>
      <w:r>
        <w:rPr>
          <w:rFonts w:hint="eastAsia"/>
          <w:color w:val="auto"/>
          <w:highlight w:val="none"/>
        </w:rPr>
        <w:t>。</w:t>
      </w:r>
    </w:p>
    <w:p>
      <w:pPr>
        <w:pStyle w:val="245"/>
        <w:shd w:val="clear" w:color="auto" w:fill="auto"/>
        <w:adjustRightInd w:val="0"/>
        <w:snapToGrid w:val="0"/>
        <w:spacing w:line="360" w:lineRule="auto"/>
        <w:ind w:firstLine="520"/>
        <w:jc w:val="both"/>
        <w:rPr>
          <w:rStyle w:val="238"/>
          <w:rFonts w:ascii="宋体" w:hAnsi="宋体" w:eastAsia="宋体"/>
          <w:color w:val="auto"/>
          <w:highlight w:val="none"/>
        </w:rPr>
      </w:pPr>
    </w:p>
    <w:p>
      <w:pPr>
        <w:pStyle w:val="245"/>
        <w:shd w:val="clear" w:color="auto" w:fill="auto"/>
        <w:adjustRightInd w:val="0"/>
        <w:snapToGrid w:val="0"/>
        <w:spacing w:line="360" w:lineRule="auto"/>
        <w:ind w:firstLine="520"/>
        <w:jc w:val="both"/>
        <w:rPr>
          <w:rFonts w:ascii="宋体" w:hAnsi="宋体" w:eastAsia="宋体"/>
          <w:color w:val="auto"/>
          <w:highlight w:val="none"/>
        </w:rPr>
      </w:pPr>
      <w:r>
        <w:rPr>
          <w:rStyle w:val="238"/>
          <w:rFonts w:ascii="宋体" w:hAnsi="宋体" w:eastAsia="宋体"/>
          <w:color w:val="auto"/>
          <w:highlight w:val="none"/>
        </w:rPr>
        <w:t>1.1.5</w:t>
      </w:r>
      <w:r>
        <w:rPr>
          <w:rFonts w:hint="eastAsia" w:ascii="宋体" w:hAnsi="宋体" w:eastAsia="宋体"/>
          <w:color w:val="auto"/>
          <w:highlight w:val="none"/>
        </w:rPr>
        <w:t>合同价格和费用</w:t>
      </w:r>
    </w:p>
    <w:p>
      <w:pPr>
        <w:adjustRightInd w:val="0"/>
        <w:snapToGrid w:val="0"/>
        <w:spacing w:line="360" w:lineRule="auto"/>
        <w:ind w:firstLine="520"/>
        <w:rPr>
          <w:color w:val="auto"/>
          <w:highlight w:val="none"/>
        </w:rPr>
      </w:pPr>
      <w:r>
        <w:rPr>
          <w:rFonts w:hint="eastAsia"/>
          <w:color w:val="auto"/>
          <w:highlight w:val="none"/>
        </w:rPr>
        <w:t>第</w:t>
      </w:r>
      <w:r>
        <w:rPr>
          <w:rStyle w:val="238"/>
          <w:rFonts w:ascii="宋体" w:hAnsi="宋体" w:eastAsia="宋体"/>
          <w:color w:val="auto"/>
          <w:sz w:val="22"/>
          <w:highlight w:val="none"/>
        </w:rPr>
        <w:t>1.1.5.2</w:t>
      </w:r>
      <w:r>
        <w:rPr>
          <w:rFonts w:hint="eastAsia"/>
          <w:color w:val="auto"/>
          <w:highlight w:val="none"/>
        </w:rPr>
        <w:t>目细化为：</w:t>
      </w:r>
      <w:r>
        <w:rPr>
          <w:rStyle w:val="248"/>
          <w:rFonts w:ascii="宋体" w:hAnsi="宋体" w:eastAsia="宋体"/>
          <w:color w:val="auto"/>
          <w:highlight w:val="none"/>
        </w:rPr>
        <w:t>详见《项目专用合同条款数据表》</w:t>
      </w:r>
      <w:r>
        <w:rPr>
          <w:rStyle w:val="238"/>
          <w:rFonts w:ascii="宋体" w:hAnsi="宋体" w:eastAsia="宋体"/>
          <w:color w:val="auto"/>
          <w:sz w:val="22"/>
          <w:highlight w:val="none"/>
        </w:rPr>
        <w:t>。</w:t>
      </w:r>
    </w:p>
    <w:p>
      <w:pPr>
        <w:adjustRightInd w:val="0"/>
        <w:snapToGrid w:val="0"/>
        <w:spacing w:line="360" w:lineRule="auto"/>
        <w:ind w:firstLine="520"/>
        <w:rPr>
          <w:color w:val="auto"/>
          <w:highlight w:val="none"/>
        </w:rPr>
      </w:pPr>
      <w:r>
        <w:rPr>
          <w:rFonts w:hint="eastAsia"/>
          <w:color w:val="auto"/>
          <w:highlight w:val="none"/>
        </w:rPr>
        <w:t>第</w:t>
      </w:r>
      <w:r>
        <w:rPr>
          <w:rStyle w:val="238"/>
          <w:rFonts w:ascii="宋体" w:hAnsi="宋体" w:eastAsia="宋体"/>
          <w:color w:val="auto"/>
          <w:sz w:val="22"/>
          <w:highlight w:val="none"/>
        </w:rPr>
        <w:t>1.1.5.5</w:t>
      </w:r>
      <w:r>
        <w:rPr>
          <w:rFonts w:hint="eastAsia"/>
          <w:color w:val="auto"/>
          <w:highlight w:val="none"/>
        </w:rPr>
        <w:t>目细化为：</w:t>
      </w:r>
      <w:r>
        <w:rPr>
          <w:rStyle w:val="248"/>
          <w:rFonts w:ascii="宋体" w:hAnsi="宋体" w:eastAsia="宋体"/>
          <w:color w:val="auto"/>
          <w:highlight w:val="none"/>
        </w:rPr>
        <w:t>详见《项目专用合同条款数据表》</w:t>
      </w:r>
      <w:r>
        <w:rPr>
          <w:rFonts w:hint="eastAsia"/>
          <w:color w:val="auto"/>
          <w:highlight w:val="none"/>
        </w:rPr>
        <w:t>。</w:t>
      </w:r>
    </w:p>
    <w:p>
      <w:pPr>
        <w:pStyle w:val="251"/>
        <w:shd w:val="clear" w:color="auto" w:fill="auto"/>
        <w:adjustRightInd w:val="0"/>
        <w:snapToGrid w:val="0"/>
        <w:spacing w:before="0" w:after="0" w:line="360" w:lineRule="auto"/>
        <w:rPr>
          <w:rFonts w:ascii="宋体" w:hAnsi="宋体"/>
          <w:color w:val="auto"/>
          <w:highlight w:val="none"/>
          <w:lang w:eastAsia="zh-CN"/>
        </w:rPr>
      </w:pPr>
    </w:p>
    <w:p>
      <w:pPr>
        <w:pStyle w:val="251"/>
        <w:shd w:val="clear" w:color="auto" w:fill="auto"/>
        <w:adjustRightInd w:val="0"/>
        <w:snapToGrid w:val="0"/>
        <w:spacing w:before="0" w:after="0" w:line="360" w:lineRule="auto"/>
        <w:rPr>
          <w:rFonts w:ascii="宋体" w:hAnsi="宋体"/>
          <w:b/>
          <w:bCs/>
          <w:color w:val="auto"/>
          <w:highlight w:val="none"/>
          <w:lang w:eastAsia="zh-CN"/>
        </w:rPr>
      </w:pPr>
      <w:r>
        <w:rPr>
          <w:rFonts w:hint="eastAsia" w:ascii="宋体" w:hAnsi="宋体"/>
          <w:b/>
          <w:bCs/>
          <w:color w:val="auto"/>
          <w:highlight w:val="none"/>
          <w:lang w:eastAsia="zh-CN"/>
        </w:rPr>
        <w:t>1</w:t>
      </w:r>
      <w:r>
        <w:rPr>
          <w:rStyle w:val="239"/>
          <w:rFonts w:hint="eastAsia" w:ascii="宋体" w:hAnsi="宋体" w:eastAsia="宋体"/>
          <w:b/>
          <w:bCs/>
          <w:color w:val="auto"/>
          <w:sz w:val="22"/>
          <w:szCs w:val="22"/>
          <w:highlight w:val="none"/>
          <w:lang w:eastAsia="zh-CN"/>
        </w:rPr>
        <w:t>.</w:t>
      </w:r>
      <w:r>
        <w:rPr>
          <w:rFonts w:hint="eastAsia" w:ascii="宋体" w:hAnsi="宋体"/>
          <w:b/>
          <w:bCs/>
          <w:color w:val="auto"/>
          <w:highlight w:val="none"/>
          <w:lang w:eastAsia="zh-CN"/>
        </w:rPr>
        <w:t>1.6</w:t>
      </w:r>
      <w:r>
        <w:rPr>
          <w:rStyle w:val="239"/>
          <w:rFonts w:hint="eastAsia" w:ascii="宋体" w:hAnsi="宋体" w:eastAsia="宋体"/>
          <w:b/>
          <w:bCs/>
          <w:color w:val="auto"/>
          <w:sz w:val="22"/>
          <w:szCs w:val="22"/>
          <w:highlight w:val="none"/>
          <w:lang w:eastAsia="zh-CN"/>
        </w:rPr>
        <w:t>其他</w:t>
      </w:r>
    </w:p>
    <w:p>
      <w:pPr>
        <w:adjustRightInd w:val="0"/>
        <w:snapToGrid w:val="0"/>
        <w:spacing w:line="360" w:lineRule="auto"/>
        <w:ind w:firstLine="520"/>
        <w:rPr>
          <w:rStyle w:val="238"/>
          <w:rFonts w:ascii="宋体" w:hAnsi="宋体" w:eastAsia="宋体"/>
          <w:color w:val="auto"/>
          <w:sz w:val="22"/>
          <w:szCs w:val="22"/>
          <w:highlight w:val="none"/>
        </w:rPr>
      </w:pPr>
      <w:r>
        <w:rPr>
          <w:rStyle w:val="238"/>
          <w:rFonts w:ascii="宋体" w:hAnsi="宋体" w:eastAsia="宋体"/>
          <w:color w:val="auto"/>
          <w:sz w:val="22"/>
          <w:highlight w:val="none"/>
        </w:rPr>
        <w:t>本项第1.1.6.2目</w:t>
      </w:r>
      <w:r>
        <w:rPr>
          <w:rStyle w:val="238"/>
          <w:rFonts w:ascii="宋体" w:hAnsi="宋体" w:eastAsia="MS Mincho" w:cs="MS Mincho"/>
          <w:color w:val="auto"/>
          <w:sz w:val="22"/>
          <w:highlight w:val="none"/>
        </w:rPr>
        <w:t>〜</w:t>
      </w:r>
      <w:r>
        <w:rPr>
          <w:rStyle w:val="238"/>
          <w:rFonts w:ascii="宋体" w:hAnsi="宋体" w:eastAsia="宋体"/>
          <w:color w:val="auto"/>
          <w:sz w:val="22"/>
          <w:highlight w:val="none"/>
        </w:rPr>
        <w:t>第1.1.6.5目细化为：</w:t>
      </w:r>
      <w:r>
        <w:rPr>
          <w:rStyle w:val="238"/>
          <w:rFonts w:ascii="宋体" w:hAnsi="宋体" w:eastAsia="宋体"/>
          <w:color w:val="auto"/>
          <w:sz w:val="22"/>
          <w:highlight w:val="none"/>
          <w:u w:val="single"/>
        </w:rPr>
        <w:t>详见《项目专用合同条款数据表》</w:t>
      </w:r>
      <w:r>
        <w:rPr>
          <w:rStyle w:val="238"/>
          <w:rFonts w:ascii="宋体" w:hAnsi="宋体" w:eastAsia="宋体"/>
          <w:color w:val="auto"/>
          <w:sz w:val="22"/>
          <w:highlight w:val="none"/>
        </w:rPr>
        <w:t>。</w:t>
      </w:r>
    </w:p>
    <w:p>
      <w:pPr>
        <w:adjustRightInd w:val="0"/>
        <w:snapToGrid w:val="0"/>
        <w:spacing w:line="360" w:lineRule="auto"/>
        <w:ind w:firstLine="520"/>
        <w:rPr>
          <w:rStyle w:val="238"/>
          <w:rFonts w:ascii="宋体" w:hAnsi="宋体" w:eastAsia="宋体"/>
          <w:color w:val="auto"/>
          <w:sz w:val="22"/>
          <w:highlight w:val="none"/>
        </w:rPr>
      </w:pPr>
      <w:r>
        <w:rPr>
          <w:rStyle w:val="238"/>
          <w:rFonts w:ascii="宋体" w:hAnsi="宋体" w:eastAsia="宋体"/>
          <w:color w:val="auto"/>
          <w:sz w:val="22"/>
          <w:highlight w:val="none"/>
        </w:rPr>
        <w:t>本项补充第1.1.6.10目</w:t>
      </w:r>
      <w:r>
        <w:rPr>
          <w:rStyle w:val="238"/>
          <w:rFonts w:ascii="宋体" w:hAnsi="宋体" w:eastAsia="MS Mincho" w:cs="MS Mincho"/>
          <w:color w:val="auto"/>
          <w:sz w:val="22"/>
          <w:highlight w:val="none"/>
        </w:rPr>
        <w:t>〜</w:t>
      </w:r>
      <w:r>
        <w:rPr>
          <w:rStyle w:val="238"/>
          <w:rFonts w:ascii="宋体" w:hAnsi="宋体" w:eastAsia="宋体"/>
          <w:color w:val="auto"/>
          <w:sz w:val="22"/>
          <w:highlight w:val="none"/>
        </w:rPr>
        <w:t>第1.1.6.11目：</w:t>
      </w:r>
      <w:r>
        <w:rPr>
          <w:rStyle w:val="238"/>
          <w:rFonts w:ascii="宋体" w:hAnsi="宋体" w:eastAsia="宋体"/>
          <w:color w:val="auto"/>
          <w:sz w:val="22"/>
          <w:highlight w:val="none"/>
          <w:u w:val="single"/>
        </w:rPr>
        <w:t>详见《项目专用合同条款数据表》</w:t>
      </w:r>
      <w:r>
        <w:rPr>
          <w:rStyle w:val="238"/>
          <w:rFonts w:ascii="宋体" w:hAnsi="宋体" w:eastAsia="宋体"/>
          <w:color w:val="auto"/>
          <w:sz w:val="22"/>
          <w:highlight w:val="none"/>
        </w:rPr>
        <w:t>。</w:t>
      </w:r>
    </w:p>
    <w:p>
      <w:pPr>
        <w:rPr>
          <w:b/>
          <w:bCs/>
          <w:color w:val="auto"/>
          <w:highlight w:val="none"/>
        </w:rPr>
      </w:pPr>
      <w:bookmarkStart w:id="2949" w:name="_Toc3770"/>
      <w:bookmarkStart w:id="2950" w:name="_Toc31286"/>
      <w:bookmarkStart w:id="2951" w:name="_Toc14068"/>
      <w:bookmarkStart w:id="2952" w:name="_Toc11888"/>
      <w:bookmarkStart w:id="2953" w:name="_Toc13829"/>
      <w:bookmarkStart w:id="2954" w:name="_Toc30664"/>
      <w:bookmarkStart w:id="2955" w:name="_Toc15262"/>
      <w:bookmarkStart w:id="2956" w:name="_Toc24568"/>
      <w:bookmarkStart w:id="2957" w:name="_Toc30042"/>
      <w:bookmarkStart w:id="2958" w:name="_Toc8989"/>
      <w:bookmarkStart w:id="2959" w:name="_Toc22302"/>
      <w:bookmarkStart w:id="2960" w:name="bookmark4"/>
      <w:bookmarkStart w:id="2961" w:name="_Toc31368"/>
      <w:r>
        <w:rPr>
          <w:b/>
          <w:bCs/>
          <w:color w:val="auto"/>
          <w:highlight w:val="none"/>
        </w:rPr>
        <w:t>1.6</w:t>
      </w:r>
      <w:r>
        <w:rPr>
          <w:rFonts w:hint="eastAsia"/>
          <w:b/>
          <w:bCs/>
          <w:color w:val="auto"/>
          <w:highlight w:val="none"/>
          <w:lang w:val="en-US"/>
        </w:rPr>
        <w:t xml:space="preserve"> </w:t>
      </w:r>
      <w:r>
        <w:rPr>
          <w:rFonts w:hint="eastAsia"/>
          <w:b/>
          <w:bCs/>
          <w:color w:val="auto"/>
          <w:highlight w:val="none"/>
        </w:rPr>
        <w:t>图纸和承包人文件</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p>
    <w:p>
      <w:pPr>
        <w:pStyle w:val="245"/>
        <w:shd w:val="clear" w:color="auto" w:fill="auto"/>
        <w:adjustRightInd w:val="0"/>
        <w:snapToGrid w:val="0"/>
        <w:spacing w:line="360" w:lineRule="auto"/>
        <w:ind w:firstLine="520"/>
        <w:jc w:val="both"/>
        <w:rPr>
          <w:rFonts w:ascii="宋体" w:hAnsi="宋体" w:eastAsia="宋体"/>
          <w:color w:val="auto"/>
          <w:highlight w:val="none"/>
        </w:rPr>
      </w:pPr>
      <w:r>
        <w:rPr>
          <w:rStyle w:val="238"/>
          <w:rFonts w:ascii="宋体" w:hAnsi="宋体" w:eastAsia="宋体"/>
          <w:color w:val="auto"/>
          <w:highlight w:val="none"/>
        </w:rPr>
        <w:t>1.6.2</w:t>
      </w:r>
      <w:r>
        <w:rPr>
          <w:rFonts w:hint="eastAsia" w:ascii="宋体" w:hAnsi="宋体" w:eastAsia="宋体"/>
          <w:color w:val="auto"/>
          <w:highlight w:val="none"/>
        </w:rPr>
        <w:t>承包人提供的文件</w:t>
      </w:r>
    </w:p>
    <w:p>
      <w:pPr>
        <w:adjustRightInd w:val="0"/>
        <w:snapToGrid w:val="0"/>
        <w:spacing w:line="360" w:lineRule="auto"/>
        <w:ind w:firstLine="520"/>
        <w:rPr>
          <w:color w:val="auto"/>
          <w:highlight w:val="none"/>
        </w:rPr>
      </w:pPr>
      <w:r>
        <w:rPr>
          <w:rFonts w:hint="eastAsia"/>
          <w:color w:val="auto"/>
          <w:highlight w:val="none"/>
        </w:rPr>
        <w:t>本项补充：</w:t>
      </w:r>
    </w:p>
    <w:p>
      <w:pPr>
        <w:adjustRightInd w:val="0"/>
        <w:snapToGrid w:val="0"/>
        <w:spacing w:line="360" w:lineRule="auto"/>
        <w:ind w:firstLine="520"/>
        <w:rPr>
          <w:color w:val="auto"/>
          <w:highlight w:val="none"/>
        </w:rPr>
      </w:pPr>
      <w:r>
        <w:rPr>
          <w:color w:val="auto"/>
          <w:highlight w:val="none"/>
        </w:rPr>
        <w:t>承包人应按监理人的要求并在规定的时间内提交由具备相应资质的单位出具的临时工程、预留预埋件工程的设计图纸，供监理人审查批准后方可实施，大型临时工程的设计图纸还应由承包人委托监理人认可的第三方进行审查。承包人由此增加的费用应认为已含入其他支付项中，出资人不另行支付</w:t>
      </w:r>
      <w:r>
        <w:rPr>
          <w:rFonts w:hint="eastAsia"/>
          <w:color w:val="auto"/>
          <w:highlight w:val="none"/>
        </w:rPr>
        <w:t>。</w:t>
      </w:r>
    </w:p>
    <w:p>
      <w:pPr>
        <w:pStyle w:val="245"/>
        <w:shd w:val="clear" w:color="auto" w:fill="auto"/>
        <w:adjustRightInd w:val="0"/>
        <w:snapToGrid w:val="0"/>
        <w:spacing w:line="360" w:lineRule="auto"/>
        <w:ind w:firstLine="520"/>
        <w:jc w:val="both"/>
        <w:rPr>
          <w:rFonts w:ascii="宋体" w:hAnsi="宋体" w:eastAsia="宋体"/>
          <w:color w:val="auto"/>
          <w:highlight w:val="none"/>
          <w:lang w:bidi="en-US"/>
        </w:rPr>
      </w:pPr>
    </w:p>
    <w:p>
      <w:pPr>
        <w:pStyle w:val="245"/>
        <w:shd w:val="clear" w:color="auto" w:fill="auto"/>
        <w:adjustRightInd w:val="0"/>
        <w:snapToGrid w:val="0"/>
        <w:spacing w:line="360" w:lineRule="auto"/>
        <w:ind w:firstLine="520"/>
        <w:jc w:val="both"/>
        <w:rPr>
          <w:rFonts w:ascii="宋体" w:hAnsi="宋体" w:eastAsia="宋体"/>
          <w:color w:val="auto"/>
          <w:highlight w:val="none"/>
          <w:lang w:bidi="en-US"/>
        </w:rPr>
      </w:pPr>
    </w:p>
    <w:p>
      <w:pPr>
        <w:pStyle w:val="245"/>
        <w:shd w:val="clear" w:color="auto" w:fill="auto"/>
        <w:adjustRightInd w:val="0"/>
        <w:snapToGrid w:val="0"/>
        <w:spacing w:line="360" w:lineRule="auto"/>
        <w:ind w:firstLine="520"/>
        <w:jc w:val="both"/>
        <w:rPr>
          <w:rFonts w:ascii="宋体" w:hAnsi="宋体" w:eastAsia="宋体"/>
          <w:color w:val="auto"/>
          <w:highlight w:val="none"/>
        </w:rPr>
      </w:pPr>
      <w:r>
        <w:rPr>
          <w:rFonts w:hint="eastAsia" w:ascii="宋体" w:hAnsi="宋体" w:eastAsia="宋体"/>
          <w:color w:val="auto"/>
          <w:highlight w:val="none"/>
          <w:lang w:bidi="en-US"/>
        </w:rPr>
        <w:t>1.6.3</w:t>
      </w:r>
      <w:r>
        <w:rPr>
          <w:rFonts w:hint="eastAsia" w:ascii="宋体" w:hAnsi="宋体" w:eastAsia="宋体"/>
          <w:color w:val="auto"/>
          <w:highlight w:val="none"/>
        </w:rPr>
        <w:t>图纸的修改</w:t>
      </w:r>
    </w:p>
    <w:p>
      <w:pPr>
        <w:adjustRightInd w:val="0"/>
        <w:snapToGrid w:val="0"/>
        <w:spacing w:line="360" w:lineRule="auto"/>
        <w:ind w:firstLine="520"/>
        <w:rPr>
          <w:color w:val="auto"/>
          <w:highlight w:val="none"/>
        </w:rPr>
      </w:pPr>
      <w:r>
        <w:rPr>
          <w:rFonts w:hint="eastAsia"/>
          <w:color w:val="auto"/>
          <w:highlight w:val="none"/>
        </w:rPr>
        <w:t>本项细化为：</w:t>
      </w:r>
      <w:r>
        <w:rPr>
          <w:color w:val="auto"/>
          <w:highlight w:val="none"/>
          <w:u w:val="single"/>
        </w:rPr>
        <w:t>详见《项目专用合同条款数据表》</w:t>
      </w:r>
    </w:p>
    <w:p>
      <w:pPr>
        <w:pStyle w:val="241"/>
        <w:keepNext/>
        <w:keepLines/>
        <w:shd w:val="clear" w:color="auto" w:fill="auto"/>
        <w:adjustRightInd w:val="0"/>
        <w:snapToGrid w:val="0"/>
        <w:spacing w:before="0" w:line="360" w:lineRule="auto"/>
        <w:ind w:left="700"/>
        <w:outlineLvl w:val="2"/>
        <w:rPr>
          <w:rFonts w:ascii="宋体" w:hAnsi="宋体" w:eastAsia="宋体"/>
          <w:b/>
          <w:bCs/>
          <w:color w:val="auto"/>
          <w:sz w:val="22"/>
          <w:szCs w:val="22"/>
          <w:highlight w:val="none"/>
          <w:lang w:bidi="en-US"/>
        </w:rPr>
      </w:pPr>
      <w:bookmarkStart w:id="2962" w:name="bookmark5"/>
    </w:p>
    <w:p>
      <w:pPr>
        <w:adjustRightInd w:val="0"/>
        <w:snapToGrid w:val="0"/>
        <w:spacing w:line="360" w:lineRule="auto"/>
        <w:outlineLvl w:val="2"/>
        <w:rPr>
          <w:b/>
          <w:bCs/>
          <w:color w:val="auto"/>
          <w:highlight w:val="none"/>
        </w:rPr>
      </w:pPr>
      <w:bookmarkStart w:id="2963" w:name="_Toc8113"/>
      <w:bookmarkStart w:id="2964" w:name="_Toc24935"/>
      <w:bookmarkStart w:id="2965" w:name="_Toc18540"/>
      <w:bookmarkStart w:id="2966" w:name="_Toc22135"/>
      <w:bookmarkStart w:id="2967" w:name="_Toc13111"/>
      <w:bookmarkStart w:id="2968" w:name="_Toc19440"/>
      <w:bookmarkStart w:id="2969" w:name="_Toc2010"/>
      <w:bookmarkStart w:id="2970" w:name="_Toc20508"/>
      <w:bookmarkStart w:id="2971" w:name="_Toc28036"/>
      <w:bookmarkStart w:id="2972" w:name="_Toc21139"/>
      <w:bookmarkStart w:id="2973" w:name="_Toc9383"/>
      <w:bookmarkStart w:id="2974" w:name="_Toc24160"/>
      <w:bookmarkStart w:id="2975" w:name="_Toc24250"/>
      <w:bookmarkStart w:id="2976" w:name="_Toc2796"/>
      <w:bookmarkStart w:id="2977" w:name="_Toc30746"/>
      <w:bookmarkStart w:id="2978" w:name="_Toc20795"/>
      <w:bookmarkStart w:id="2979" w:name="_Toc23493"/>
      <w:bookmarkStart w:id="2980" w:name="_Toc29747"/>
      <w:bookmarkStart w:id="2981" w:name="_Toc26866"/>
      <w:bookmarkStart w:id="2982" w:name="_Toc27019"/>
      <w:bookmarkStart w:id="2983" w:name="_Toc7825"/>
      <w:r>
        <w:rPr>
          <w:rFonts w:hint="eastAsia"/>
          <w:b/>
          <w:bCs/>
          <w:color w:val="auto"/>
          <w:highlight w:val="none"/>
          <w:lang w:val="en-US"/>
        </w:rPr>
        <w:t>2.</w:t>
      </w:r>
      <w:r>
        <w:rPr>
          <w:rFonts w:hint="eastAsia"/>
          <w:b/>
          <w:bCs/>
          <w:color w:val="auto"/>
          <w:highlight w:val="none"/>
        </w:rPr>
        <w:t>发包人</w:t>
      </w:r>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pPr>
        <w:pStyle w:val="264"/>
        <w:adjustRightInd w:val="0"/>
        <w:snapToGrid w:val="0"/>
        <w:spacing w:line="360" w:lineRule="auto"/>
        <w:rPr>
          <w:rFonts w:cs="PMingLiU"/>
          <w:b/>
          <w:bCs/>
          <w:color w:val="auto"/>
          <w:spacing w:val="10"/>
          <w:sz w:val="22"/>
          <w:szCs w:val="22"/>
          <w:highlight w:val="none"/>
          <w:lang w:val="en-US" w:eastAsia="zh-CN" w:bidi="ar-SA"/>
        </w:rPr>
      </w:pPr>
      <w:bookmarkStart w:id="2984" w:name="_Toc27164"/>
      <w:bookmarkStart w:id="2985" w:name="_Toc7755"/>
      <w:bookmarkStart w:id="2986" w:name="_Toc3366"/>
      <w:bookmarkStart w:id="2987" w:name="_Toc501"/>
      <w:bookmarkStart w:id="2988" w:name="_Toc20117"/>
      <w:bookmarkStart w:id="2989" w:name="_Toc14995"/>
      <w:bookmarkStart w:id="2990" w:name="_Toc6361"/>
      <w:bookmarkStart w:id="2991" w:name="_Toc17229"/>
      <w:bookmarkStart w:id="2992" w:name="_Toc32196"/>
      <w:r>
        <w:rPr>
          <w:rFonts w:hint="eastAsia" w:cs="PMingLiU"/>
          <w:b/>
          <w:bCs/>
          <w:color w:val="auto"/>
          <w:spacing w:val="10"/>
          <w:sz w:val="22"/>
          <w:szCs w:val="22"/>
          <w:highlight w:val="none"/>
          <w:lang w:val="en-US" w:eastAsia="zh-CN" w:bidi="ar-SA"/>
        </w:rPr>
        <w:t>2.6支付合同价款</w:t>
      </w:r>
      <w:bookmarkEnd w:id="2984"/>
      <w:bookmarkEnd w:id="2985"/>
      <w:bookmarkEnd w:id="2986"/>
      <w:bookmarkEnd w:id="2987"/>
      <w:bookmarkEnd w:id="2988"/>
      <w:bookmarkEnd w:id="2989"/>
      <w:bookmarkEnd w:id="2990"/>
      <w:bookmarkEnd w:id="2991"/>
      <w:bookmarkEnd w:id="2992"/>
    </w:p>
    <w:p>
      <w:pPr>
        <w:adjustRightInd w:val="0"/>
        <w:snapToGrid w:val="0"/>
        <w:spacing w:line="360" w:lineRule="auto"/>
        <w:ind w:firstLine="440" w:firstLineChars="200"/>
        <w:rPr>
          <w:color w:val="auto"/>
          <w:highlight w:val="none"/>
        </w:rPr>
      </w:pPr>
      <w:bookmarkStart w:id="2993" w:name="_Toc4941"/>
      <w:bookmarkStart w:id="2994" w:name="_Toc25577"/>
      <w:bookmarkStart w:id="2995" w:name="_Toc29325"/>
      <w:bookmarkStart w:id="2996" w:name="_Toc10437"/>
      <w:bookmarkStart w:id="2997" w:name="_Toc16354"/>
      <w:r>
        <w:rPr>
          <w:rFonts w:hint="eastAsia"/>
          <w:color w:val="auto"/>
          <w:highlight w:val="none"/>
        </w:rPr>
        <w:t>本项细化为： 详见《项目专用合同条款数据表》。</w:t>
      </w:r>
      <w:bookmarkEnd w:id="2993"/>
      <w:bookmarkEnd w:id="2994"/>
      <w:bookmarkEnd w:id="2995"/>
      <w:bookmarkEnd w:id="2996"/>
      <w:bookmarkEnd w:id="2997"/>
    </w:p>
    <w:p>
      <w:pPr>
        <w:pStyle w:val="241"/>
        <w:keepNext/>
        <w:keepLines/>
        <w:shd w:val="clear" w:color="auto" w:fill="auto"/>
        <w:adjustRightInd w:val="0"/>
        <w:snapToGrid w:val="0"/>
        <w:spacing w:before="0" w:line="360" w:lineRule="auto"/>
        <w:ind w:firstLine="0"/>
        <w:jc w:val="left"/>
        <w:outlineLvl w:val="9"/>
        <w:rPr>
          <w:rFonts w:ascii="宋体" w:hAnsi="宋体" w:eastAsia="宋体"/>
          <w:color w:val="auto"/>
          <w:sz w:val="22"/>
          <w:szCs w:val="22"/>
          <w:highlight w:val="none"/>
          <w:lang w:bidi="en-US"/>
        </w:rPr>
      </w:pPr>
    </w:p>
    <w:p>
      <w:pPr>
        <w:adjustRightInd w:val="0"/>
        <w:snapToGrid w:val="0"/>
        <w:spacing w:line="360" w:lineRule="auto"/>
        <w:outlineLvl w:val="2"/>
        <w:rPr>
          <w:b/>
          <w:bCs/>
          <w:color w:val="auto"/>
          <w:highlight w:val="none"/>
        </w:rPr>
      </w:pPr>
      <w:bookmarkStart w:id="2998" w:name="_Toc18402"/>
      <w:bookmarkStart w:id="2999" w:name="_Toc16135"/>
      <w:bookmarkStart w:id="3000" w:name="_Toc22511"/>
      <w:bookmarkStart w:id="3001" w:name="_Toc27865"/>
      <w:bookmarkStart w:id="3002" w:name="_Toc1012"/>
      <w:bookmarkStart w:id="3003" w:name="_Toc21616"/>
      <w:bookmarkStart w:id="3004" w:name="_Toc24464"/>
      <w:bookmarkStart w:id="3005" w:name="_Toc25871"/>
      <w:bookmarkStart w:id="3006" w:name="_Toc25990"/>
      <w:bookmarkStart w:id="3007" w:name="_Toc9020"/>
      <w:bookmarkStart w:id="3008" w:name="_Toc573"/>
      <w:bookmarkStart w:id="3009" w:name="_Toc16795"/>
      <w:bookmarkStart w:id="3010" w:name="_Toc29585"/>
      <w:bookmarkStart w:id="3011" w:name="_Toc22409"/>
      <w:bookmarkStart w:id="3012" w:name="_Toc29172"/>
      <w:bookmarkStart w:id="3013" w:name="_Toc17668"/>
      <w:bookmarkStart w:id="3014" w:name="_Toc2022"/>
      <w:bookmarkStart w:id="3015" w:name="_Toc13989"/>
      <w:bookmarkStart w:id="3016" w:name="_Toc3163"/>
      <w:bookmarkStart w:id="3017" w:name="_Toc849"/>
      <w:bookmarkStart w:id="3018" w:name="_Toc15151"/>
      <w:r>
        <w:rPr>
          <w:rFonts w:hint="eastAsia"/>
          <w:b/>
          <w:bCs/>
          <w:color w:val="auto"/>
          <w:highlight w:val="none"/>
        </w:rPr>
        <w:t>4.承包人</w:t>
      </w:r>
      <w:bookmarkEnd w:id="2962"/>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p>
      <w:pPr>
        <w:adjustRightInd w:val="0"/>
        <w:snapToGrid w:val="0"/>
        <w:spacing w:line="360" w:lineRule="auto"/>
        <w:ind w:firstLine="520"/>
        <w:rPr>
          <w:rFonts w:cs="PMingLiU"/>
          <w:b/>
          <w:bCs/>
          <w:color w:val="auto"/>
          <w:spacing w:val="10"/>
          <w:highlight w:val="none"/>
          <w:lang w:val="en-US" w:bidi="ar-SA"/>
        </w:rPr>
      </w:pPr>
      <w:bookmarkStart w:id="3019" w:name="_Toc29721"/>
      <w:bookmarkStart w:id="3020" w:name="_Toc32717"/>
      <w:bookmarkStart w:id="3021" w:name="_Toc26212"/>
      <w:bookmarkStart w:id="3022" w:name="_Toc5490"/>
      <w:bookmarkStart w:id="3023" w:name="_Toc27334"/>
      <w:bookmarkStart w:id="3024" w:name="_Toc19650"/>
      <w:bookmarkStart w:id="3025" w:name="_Toc18093"/>
      <w:bookmarkStart w:id="3026" w:name="_Toc10221"/>
      <w:bookmarkStart w:id="3027" w:name="_Toc28261"/>
      <w:bookmarkStart w:id="3028" w:name="bookmark6"/>
      <w:bookmarkStart w:id="3029" w:name="_Toc2597"/>
      <w:bookmarkStart w:id="3030" w:name="_Toc16042"/>
      <w:r>
        <w:rPr>
          <w:rFonts w:cs="PMingLiU"/>
          <w:b/>
          <w:bCs/>
          <w:color w:val="auto"/>
          <w:spacing w:val="10"/>
          <w:highlight w:val="none"/>
          <w:lang w:val="en-US" w:bidi="ar-SA"/>
        </w:rPr>
        <w:t>4.1</w:t>
      </w:r>
      <w:r>
        <w:rPr>
          <w:rFonts w:hint="eastAsia" w:cs="PMingLiU"/>
          <w:b/>
          <w:bCs/>
          <w:color w:val="auto"/>
          <w:spacing w:val="10"/>
          <w:highlight w:val="none"/>
          <w:lang w:val="en-US" w:bidi="ar-SA"/>
        </w:rPr>
        <w:t>承包人的一般义务</w:t>
      </w:r>
      <w:bookmarkEnd w:id="3019"/>
      <w:bookmarkEnd w:id="3020"/>
      <w:bookmarkEnd w:id="3021"/>
      <w:bookmarkEnd w:id="3022"/>
      <w:bookmarkEnd w:id="3023"/>
      <w:bookmarkEnd w:id="3024"/>
      <w:bookmarkEnd w:id="3025"/>
      <w:bookmarkEnd w:id="3026"/>
      <w:bookmarkEnd w:id="3027"/>
      <w:bookmarkEnd w:id="3028"/>
      <w:bookmarkEnd w:id="3029"/>
      <w:bookmarkEnd w:id="3030"/>
    </w:p>
    <w:p>
      <w:pPr>
        <w:adjustRightInd w:val="0"/>
        <w:snapToGrid w:val="0"/>
        <w:spacing w:line="360" w:lineRule="auto"/>
        <w:ind w:firstLine="520"/>
        <w:rPr>
          <w:rFonts w:cs="PMingLiU"/>
          <w:b/>
          <w:bCs/>
          <w:color w:val="auto"/>
          <w:spacing w:val="10"/>
          <w:highlight w:val="none"/>
          <w:lang w:val="en-US" w:bidi="ar-SA"/>
        </w:rPr>
      </w:pPr>
      <w:r>
        <w:rPr>
          <w:rFonts w:hint="eastAsia" w:cs="PMingLiU"/>
          <w:b/>
          <w:bCs/>
          <w:color w:val="auto"/>
          <w:spacing w:val="10"/>
          <w:highlight w:val="none"/>
          <w:lang w:val="en-US" w:bidi="ar-SA"/>
        </w:rPr>
        <w:t>4.1.2</w:t>
      </w:r>
      <w:r>
        <w:rPr>
          <w:rFonts w:cs="PMingLiU"/>
          <w:b/>
          <w:bCs/>
          <w:color w:val="auto"/>
          <w:spacing w:val="10"/>
          <w:highlight w:val="none"/>
          <w:lang w:val="en-US" w:bidi="ar-SA"/>
        </w:rPr>
        <w:t>依法纳税</w:t>
      </w:r>
    </w:p>
    <w:p>
      <w:pPr>
        <w:adjustRightInd w:val="0"/>
        <w:snapToGrid w:val="0"/>
        <w:spacing w:line="360" w:lineRule="auto"/>
        <w:ind w:firstLine="520"/>
        <w:rPr>
          <w:color w:val="auto"/>
          <w:highlight w:val="none"/>
        </w:rPr>
      </w:pPr>
      <w:r>
        <w:rPr>
          <w:rFonts w:hint="eastAsia"/>
          <w:color w:val="auto"/>
          <w:highlight w:val="none"/>
        </w:rPr>
        <w:t>本项补充：</w:t>
      </w:r>
    </w:p>
    <w:p>
      <w:pPr>
        <w:adjustRightInd w:val="0"/>
        <w:snapToGrid w:val="0"/>
        <w:spacing w:line="360" w:lineRule="auto"/>
        <w:ind w:firstLine="520"/>
        <w:rPr>
          <w:color w:val="auto"/>
          <w:highlight w:val="none"/>
        </w:rPr>
      </w:pPr>
      <w:r>
        <w:rPr>
          <w:rFonts w:hint="eastAsia"/>
          <w:color w:val="auto"/>
          <w:highlight w:val="none"/>
        </w:rPr>
        <w:t xml:space="preserve">根据国家和辽宁省有关的法律、法规的规定，以承包人作为征收对象的所有税费， 包括因国家实行营业税改增值税征收税费而引起的费用的变化，均己含入其他支付项中， </w:t>
      </w:r>
      <w:r>
        <w:rPr>
          <w:color w:val="auto"/>
          <w:highlight w:val="none"/>
        </w:rPr>
        <w:t>出资人</w:t>
      </w:r>
      <w:r>
        <w:rPr>
          <w:rFonts w:hint="eastAsia"/>
          <w:color w:val="auto"/>
          <w:highlight w:val="none"/>
        </w:rPr>
        <w:t>不予增加或扣减，不再另行支付或抵扣。</w:t>
      </w:r>
    </w:p>
    <w:p>
      <w:pPr>
        <w:pStyle w:val="243"/>
        <w:keepNext/>
        <w:keepLines/>
        <w:shd w:val="clear" w:color="auto" w:fill="auto"/>
        <w:adjustRightInd w:val="0"/>
        <w:snapToGrid w:val="0"/>
        <w:spacing w:line="360" w:lineRule="auto"/>
        <w:ind w:firstLine="520"/>
        <w:jc w:val="left"/>
        <w:outlineLvl w:val="9"/>
        <w:rPr>
          <w:rFonts w:ascii="宋体" w:hAnsi="宋体" w:eastAsia="宋体"/>
          <w:color w:val="auto"/>
          <w:highlight w:val="none"/>
        </w:rPr>
      </w:pPr>
      <w:bookmarkStart w:id="3031" w:name="bookmark7"/>
    </w:p>
    <w:p>
      <w:pPr>
        <w:adjustRightInd w:val="0"/>
        <w:snapToGrid w:val="0"/>
        <w:spacing w:line="360" w:lineRule="auto"/>
        <w:ind w:firstLine="520"/>
        <w:rPr>
          <w:rFonts w:cs="PMingLiU"/>
          <w:b/>
          <w:bCs/>
          <w:color w:val="auto"/>
          <w:spacing w:val="10"/>
          <w:highlight w:val="none"/>
          <w:lang w:val="en-US" w:bidi="ar-SA"/>
        </w:rPr>
      </w:pPr>
      <w:bookmarkStart w:id="3032" w:name="_Toc3765"/>
      <w:bookmarkStart w:id="3033" w:name="_Toc5290"/>
      <w:bookmarkStart w:id="3034" w:name="_Toc29511"/>
      <w:bookmarkStart w:id="3035" w:name="_Toc1617"/>
      <w:r>
        <w:rPr>
          <w:rFonts w:cs="PMingLiU"/>
          <w:b/>
          <w:bCs/>
          <w:color w:val="auto"/>
          <w:spacing w:val="10"/>
          <w:highlight w:val="none"/>
          <w:lang w:val="en-US" w:bidi="ar-SA"/>
        </w:rPr>
        <w:t>4.1.7</w:t>
      </w:r>
      <w:r>
        <w:rPr>
          <w:rFonts w:hint="eastAsia" w:cs="PMingLiU"/>
          <w:b/>
          <w:bCs/>
          <w:color w:val="auto"/>
          <w:spacing w:val="10"/>
          <w:highlight w:val="none"/>
          <w:lang w:val="en-US" w:bidi="ar-SA"/>
        </w:rPr>
        <w:t>避免施工对公众与他人的利益造成损害</w:t>
      </w:r>
      <w:bookmarkEnd w:id="3031"/>
      <w:bookmarkEnd w:id="3032"/>
      <w:bookmarkEnd w:id="3033"/>
      <w:bookmarkEnd w:id="3034"/>
      <w:bookmarkEnd w:id="3035"/>
    </w:p>
    <w:p>
      <w:pPr>
        <w:adjustRightInd w:val="0"/>
        <w:snapToGrid w:val="0"/>
        <w:spacing w:line="360" w:lineRule="auto"/>
        <w:ind w:firstLine="520"/>
        <w:rPr>
          <w:color w:val="auto"/>
          <w:highlight w:val="none"/>
        </w:rPr>
      </w:pPr>
      <w:r>
        <w:rPr>
          <w:rFonts w:hint="eastAsia"/>
          <w:color w:val="auto"/>
          <w:highlight w:val="none"/>
        </w:rPr>
        <w:t>本项补充：</w:t>
      </w:r>
    </w:p>
    <w:p>
      <w:pPr>
        <w:tabs>
          <w:tab w:val="left" w:pos="1102"/>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针对本项目施工地点的水文、地质、气象等情况，承包人应针对各种可能出现的情况制定预案，这些预案包括防汛、水上抢险、工程防护、避潮汛等，该预案应符合有关部门的规定，并在执行前取得有关部门的同意。承包人在合同履行期间执行此预案所发生的费用应认为己含入其他支付项中，</w:t>
      </w:r>
      <w:r>
        <w:rPr>
          <w:color w:val="auto"/>
          <w:highlight w:val="none"/>
        </w:rPr>
        <w:t>出资人不另行支付</w:t>
      </w:r>
      <w:r>
        <w:rPr>
          <w:rFonts w:hint="eastAsia"/>
          <w:color w:val="auto"/>
          <w:highlight w:val="none"/>
        </w:rPr>
        <w:t>。</w:t>
      </w:r>
    </w:p>
    <w:p>
      <w:pPr>
        <w:tabs>
          <w:tab w:val="left" w:pos="1102"/>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承包人对实施和完成本合同工程及缺陷修复工程中的一切施工作业(尤其是爆破作业、钻孔桩施工、路基路面碾压等存在震动的施工作业以及需要临时改变当地交通、灌溉、排水现状的施工作业)，有責任采取足够的预防措施，以保证不影响临近建筑物、构造物的安全与正常使用，不对群众的财产造成损失，也不干扰群众的生产、生活和通行方便(难以避免的一定程度的干扰除外)，如发生上述情况，并由此导致索赔、 赔偿、诉讼费用及其他开支时，应由承包人承担一切责任及费用。承包人在报价和组织 施工时应充分考虑这一因素。</w:t>
      </w:r>
    </w:p>
    <w:p>
      <w:pPr>
        <w:tabs>
          <w:tab w:val="left" w:pos="1102"/>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凡是合同段内与己建公路、通讯缆线、供水、输油、输气管道、现有航道等有交叉、干扰的地段，承包人应在不干扰公路、航道正常运营以及注意保护地下管线的前提下合理安排施工组织，采取有效措施保证施工安全，在现场设置施工和安全标志； 凡是合同段内与其他在建工程有互扰的地段，承包人应做好与其它施工单位的协调工作；承包人采取上述措施而可能发生的全部费用应认为己己含入其他支付项中，</w:t>
      </w:r>
      <w:r>
        <w:rPr>
          <w:color w:val="auto"/>
          <w:highlight w:val="none"/>
        </w:rPr>
        <w:t>出资人</w:t>
      </w:r>
      <w:r>
        <w:rPr>
          <w:rFonts w:hint="eastAsia"/>
          <w:color w:val="auto"/>
          <w:highlight w:val="none"/>
        </w:rPr>
        <w:t>不另行支付。如因承包人采取的措施不力，造成河道阻塞或者影响公路、通讯缆线、供水、 输油、输气管道、航道等正常安全运营而给其它部门或个人造成的一切损失，或由上述原因造成本工程工期的拖延或施工费用的增加，均应由承包人承担一切责任及费用。</w:t>
      </w:r>
    </w:p>
    <w:p>
      <w:pPr>
        <w:tabs>
          <w:tab w:val="left" w:pos="1087"/>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承包人实施和完成本合同工程及缺陷修复工程中的一切施工作业，应不影响当地道路的使用或其他交通设施的使用，如果发生上述情况(如交通阻塞等)，并由此导致索赔、赔偿、诉讼费用及其他开支时，应由承包人承担一切责任及费用。</w:t>
      </w:r>
    </w:p>
    <w:p>
      <w:pPr>
        <w:adjustRightInd w:val="0"/>
        <w:snapToGrid w:val="0"/>
        <w:spacing w:line="360" w:lineRule="auto"/>
        <w:ind w:firstLine="500"/>
        <w:rPr>
          <w:color w:val="auto"/>
          <w:highlight w:val="none"/>
        </w:rPr>
      </w:pPr>
      <w:r>
        <w:rPr>
          <w:rFonts w:hint="eastAsia"/>
          <w:color w:val="auto"/>
          <w:highlight w:val="none"/>
        </w:rPr>
        <w:t>承包人应按交警、公路、铁路、路政和道路、航道、海事等管理部门的规定办理有关使用手续，手续应</w:t>
      </w:r>
      <w:r>
        <w:rPr>
          <w:rFonts w:hint="eastAsia"/>
          <w:color w:val="auto"/>
          <w:highlight w:val="none"/>
          <w:lang w:val="en-US"/>
        </w:rPr>
        <w:t>符合</w:t>
      </w:r>
      <w:r>
        <w:rPr>
          <w:rFonts w:hint="eastAsia"/>
          <w:color w:val="auto"/>
          <w:highlight w:val="none"/>
        </w:rPr>
        <w:t>相关规定，并按规定交纳有关费用，费用由承包人承担。</w:t>
      </w:r>
    </w:p>
    <w:p>
      <w:pPr>
        <w:pStyle w:val="245"/>
        <w:shd w:val="clear" w:color="auto" w:fill="auto"/>
        <w:adjustRightInd w:val="0"/>
        <w:snapToGrid w:val="0"/>
        <w:spacing w:line="360" w:lineRule="auto"/>
        <w:ind w:firstLine="500"/>
        <w:jc w:val="left"/>
        <w:rPr>
          <w:rStyle w:val="238"/>
          <w:rFonts w:ascii="宋体" w:hAnsi="宋体" w:eastAsia="宋体"/>
          <w:color w:val="auto"/>
          <w:highlight w:val="none"/>
        </w:rPr>
      </w:pPr>
    </w:p>
    <w:p>
      <w:pPr>
        <w:adjustRightInd w:val="0"/>
        <w:snapToGrid w:val="0"/>
        <w:spacing w:line="360" w:lineRule="auto"/>
        <w:ind w:firstLine="520"/>
        <w:rPr>
          <w:rFonts w:cs="PMingLiU"/>
          <w:b/>
          <w:bCs/>
          <w:color w:val="auto"/>
          <w:spacing w:val="10"/>
          <w:highlight w:val="none"/>
          <w:lang w:val="en-US" w:bidi="ar-SA"/>
        </w:rPr>
      </w:pPr>
      <w:r>
        <w:rPr>
          <w:rFonts w:cs="PMingLiU"/>
          <w:b/>
          <w:bCs/>
          <w:color w:val="auto"/>
          <w:spacing w:val="10"/>
          <w:highlight w:val="none"/>
          <w:lang w:val="en-US" w:bidi="ar-SA"/>
        </w:rPr>
        <w:t>4.1.8</w:t>
      </w:r>
      <w:r>
        <w:rPr>
          <w:rFonts w:hint="eastAsia" w:cs="PMingLiU"/>
          <w:b/>
          <w:bCs/>
          <w:color w:val="auto"/>
          <w:spacing w:val="10"/>
          <w:highlight w:val="none"/>
          <w:lang w:val="en-US" w:bidi="ar-SA"/>
        </w:rPr>
        <w:t>为他人提供方便</w:t>
      </w:r>
    </w:p>
    <w:p>
      <w:pPr>
        <w:adjustRightInd w:val="0"/>
        <w:snapToGrid w:val="0"/>
        <w:spacing w:line="360" w:lineRule="auto"/>
        <w:ind w:firstLine="500"/>
        <w:rPr>
          <w:color w:val="auto"/>
          <w:highlight w:val="none"/>
        </w:rPr>
      </w:pPr>
      <w:r>
        <w:rPr>
          <w:rFonts w:hint="eastAsia"/>
          <w:color w:val="auto"/>
          <w:highlight w:val="none"/>
        </w:rPr>
        <w:t>本项细化为：</w:t>
      </w:r>
    </w:p>
    <w:p>
      <w:pPr>
        <w:tabs>
          <w:tab w:val="left" w:pos="114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）如果监理人有书面要求，承包人应允许发包人或与发包人签订合同的其他承包人及其职工使用由承包人负责维护的临时道路、桥梁等，并承担相应的费用。</w:t>
      </w:r>
    </w:p>
    <w:p>
      <w:pPr>
        <w:adjustRightInd w:val="0"/>
        <w:snapToGrid w:val="0"/>
        <w:spacing w:line="360" w:lineRule="auto"/>
        <w:ind w:firstLine="500"/>
        <w:rPr>
          <w:color w:val="auto"/>
          <w:highlight w:val="none"/>
        </w:rPr>
      </w:pPr>
      <w:r>
        <w:rPr>
          <w:rFonts w:hint="eastAsia"/>
          <w:color w:val="auto"/>
          <w:highlight w:val="none"/>
        </w:rPr>
        <w:t>承包人应妥善处理好与其它工程承包人的关系，发生交叉施工时，应相互配合，友好协作，并无条件服从发包人统一协调。</w:t>
      </w:r>
    </w:p>
    <w:p>
      <w:pPr>
        <w:tabs>
          <w:tab w:val="left" w:pos="114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）多个承包人在同一区域施工时，监理人有权协调工程的实施并对工程的衔接提出指示，承包人应在监理人的统一协调下工作。承包人由此增加的费用应认为已含入其他支付项中，出资人不另行支付。</w:t>
      </w:r>
    </w:p>
    <w:p>
      <w:pPr>
        <w:tabs>
          <w:tab w:val="left" w:pos="114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）承包人应配合试验、检测单位完成相应的试验或检测工作，包括桩基检测、 地质钻孔等，所需配合费用己含入其他支付项中，出资人不另行支付(桩基静载、梁板 荷载试验除外)。</w:t>
      </w:r>
    </w:p>
    <w:p>
      <w:pPr>
        <w:adjustRightInd w:val="0"/>
        <w:snapToGrid w:val="0"/>
        <w:spacing w:line="360" w:lineRule="auto"/>
        <w:ind w:firstLine="500"/>
        <w:rPr>
          <w:b/>
          <w:bCs/>
          <w:color w:val="auto"/>
          <w:highlight w:val="none"/>
          <w:lang w:bidi="en-US"/>
        </w:rPr>
      </w:pPr>
    </w:p>
    <w:p>
      <w:pPr>
        <w:adjustRightInd w:val="0"/>
        <w:snapToGrid w:val="0"/>
        <w:spacing w:line="360" w:lineRule="auto"/>
        <w:ind w:firstLine="500"/>
        <w:rPr>
          <w:b/>
          <w:bCs/>
          <w:color w:val="auto"/>
          <w:highlight w:val="none"/>
        </w:rPr>
      </w:pPr>
      <w:r>
        <w:rPr>
          <w:rFonts w:hint="eastAsia"/>
          <w:b/>
          <w:bCs/>
          <w:color w:val="auto"/>
          <w:highlight w:val="none"/>
          <w:lang w:bidi="en-US"/>
        </w:rPr>
        <w:t>4.1.10</w:t>
      </w:r>
      <w:r>
        <w:rPr>
          <w:rStyle w:val="238"/>
          <w:rFonts w:ascii="宋体" w:hAnsi="宋体" w:eastAsia="宋体"/>
          <w:b/>
          <w:bCs/>
          <w:color w:val="auto"/>
          <w:sz w:val="22"/>
          <w:highlight w:val="none"/>
        </w:rPr>
        <w:t>其他义务</w:t>
      </w:r>
    </w:p>
    <w:p>
      <w:pPr>
        <w:adjustRightInd w:val="0"/>
        <w:snapToGrid w:val="0"/>
        <w:spacing w:line="360" w:lineRule="auto"/>
        <w:ind w:firstLine="500"/>
        <w:rPr>
          <w:color w:val="auto"/>
          <w:highlight w:val="none"/>
        </w:rPr>
      </w:pPr>
      <w:r>
        <w:rPr>
          <w:rFonts w:hint="eastAsia"/>
          <w:color w:val="auto"/>
          <w:highlight w:val="none"/>
        </w:rPr>
        <w:t>本项</w:t>
      </w:r>
      <w:r>
        <w:rPr>
          <w:rFonts w:hint="eastAsia"/>
          <w:color w:val="auto"/>
          <w:highlight w:val="none"/>
          <w:lang w:bidi="en-US"/>
        </w:rPr>
        <w:t>(1)</w:t>
      </w:r>
      <w:r>
        <w:rPr>
          <w:rFonts w:hint="eastAsia"/>
          <w:color w:val="auto"/>
          <w:highlight w:val="none"/>
        </w:rPr>
        <w:t>目补充：</w:t>
      </w:r>
    </w:p>
    <w:p>
      <w:pPr>
        <w:adjustRightInd w:val="0"/>
        <w:snapToGrid w:val="0"/>
        <w:spacing w:line="360" w:lineRule="auto"/>
        <w:ind w:firstLine="500"/>
        <w:rPr>
          <w:color w:val="auto"/>
          <w:highlight w:val="none"/>
          <w:lang w:val="en-US"/>
        </w:rPr>
      </w:pPr>
      <w:r>
        <w:rPr>
          <w:rFonts w:hint="eastAsia"/>
          <w:color w:val="auto"/>
          <w:highlight w:val="none"/>
        </w:rPr>
        <w:t>（</w:t>
      </w:r>
      <w:r>
        <w:rPr>
          <w:rFonts w:hint="eastAsia"/>
          <w:color w:val="auto"/>
          <w:highlight w:val="none"/>
          <w:lang w:val="en-US"/>
        </w:rPr>
        <w:t>1</w:t>
      </w:r>
      <w:r>
        <w:rPr>
          <w:rFonts w:hint="eastAsia"/>
          <w:color w:val="auto"/>
          <w:highlight w:val="none"/>
        </w:rPr>
        <w:t>）</w:t>
      </w:r>
      <w:r>
        <w:rPr>
          <w:color w:val="auto"/>
          <w:highlight w:val="none"/>
        </w:rPr>
        <w:t xml:space="preserve">承包人应根据工程实际情况确定临时占地最长使用期限，临时占地的租地费用 的计量和支付： </w:t>
      </w:r>
      <w:r>
        <w:rPr>
          <w:color w:val="auto"/>
          <w:highlight w:val="none"/>
          <w:u w:val="single"/>
        </w:rPr>
        <w:t>详见《项目专用合同条款数据表》</w:t>
      </w:r>
      <w:r>
        <w:rPr>
          <w:rFonts w:hint="eastAsia"/>
          <w:color w:val="auto"/>
          <w:highlight w:val="none"/>
          <w:u w:val="single"/>
        </w:rPr>
        <w:t>。</w:t>
      </w:r>
    </w:p>
    <w:p>
      <w:pPr>
        <w:adjustRightInd w:val="0"/>
        <w:snapToGrid w:val="0"/>
        <w:spacing w:line="360" w:lineRule="auto"/>
        <w:ind w:firstLine="500"/>
        <w:rPr>
          <w:color w:val="auto"/>
          <w:highlight w:val="none"/>
        </w:rPr>
      </w:pPr>
    </w:p>
    <w:p>
      <w:pPr>
        <w:adjustRightInd w:val="0"/>
        <w:snapToGrid w:val="0"/>
        <w:spacing w:line="360" w:lineRule="auto"/>
        <w:ind w:firstLine="500"/>
        <w:rPr>
          <w:color w:val="auto"/>
          <w:highlight w:val="none"/>
        </w:rPr>
      </w:pPr>
      <w:r>
        <w:rPr>
          <w:rFonts w:hint="eastAsia"/>
          <w:color w:val="auto"/>
          <w:highlight w:val="none"/>
        </w:rPr>
        <w:t>本项</w:t>
      </w:r>
      <w:r>
        <w:rPr>
          <w:rFonts w:hint="eastAsia"/>
          <w:color w:val="auto"/>
          <w:highlight w:val="none"/>
          <w:lang w:bidi="en-US"/>
        </w:rPr>
        <w:t>(3)</w:t>
      </w:r>
      <w:r>
        <w:rPr>
          <w:rFonts w:hint="eastAsia"/>
          <w:color w:val="auto"/>
          <w:highlight w:val="none"/>
        </w:rPr>
        <w:t>目补充：</w:t>
      </w:r>
    </w:p>
    <w:p>
      <w:pPr>
        <w:adjustRightInd w:val="0"/>
        <w:snapToGrid w:val="0"/>
        <w:spacing w:line="360" w:lineRule="auto"/>
        <w:ind w:firstLine="500"/>
        <w:rPr>
          <w:color w:val="auto"/>
          <w:highlight w:val="none"/>
        </w:rPr>
      </w:pPr>
      <w:r>
        <w:rPr>
          <w:rFonts w:hint="eastAsia"/>
          <w:color w:val="auto"/>
          <w:highlight w:val="none"/>
        </w:rPr>
        <w:t>承包人对于农民工工资的发放应严格遵守的规定：</w:t>
      </w:r>
      <w:r>
        <w:rPr>
          <w:rStyle w:val="248"/>
          <w:rFonts w:ascii="宋体" w:hAnsi="宋体" w:eastAsia="宋体"/>
          <w:color w:val="auto"/>
          <w:highlight w:val="none"/>
        </w:rPr>
        <w:t>详见《项目专用合同条款数据表》</w:t>
      </w:r>
      <w:r>
        <w:rPr>
          <w:rFonts w:hint="eastAsia"/>
          <w:color w:val="auto"/>
          <w:highlight w:val="none"/>
        </w:rPr>
        <w:t xml:space="preserve"> </w:t>
      </w:r>
      <w:r>
        <w:rPr>
          <w:rFonts w:hint="eastAsia"/>
          <w:color w:val="auto"/>
          <w:highlight w:val="none"/>
          <w:lang w:bidi="en-US"/>
        </w:rPr>
        <w:t>。</w:t>
      </w:r>
    </w:p>
    <w:p>
      <w:pPr>
        <w:adjustRightInd w:val="0"/>
        <w:snapToGrid w:val="0"/>
        <w:spacing w:line="360" w:lineRule="auto"/>
        <w:ind w:firstLine="500"/>
        <w:rPr>
          <w:color w:val="auto"/>
          <w:highlight w:val="none"/>
        </w:rPr>
      </w:pPr>
    </w:p>
    <w:p>
      <w:pPr>
        <w:adjustRightInd w:val="0"/>
        <w:snapToGrid w:val="0"/>
        <w:spacing w:line="360" w:lineRule="auto"/>
        <w:ind w:firstLine="500"/>
        <w:rPr>
          <w:color w:val="auto"/>
          <w:highlight w:val="none"/>
        </w:rPr>
      </w:pPr>
      <w:r>
        <w:rPr>
          <w:rFonts w:hint="eastAsia"/>
          <w:color w:val="auto"/>
          <w:highlight w:val="none"/>
        </w:rPr>
        <w:t>本项</w:t>
      </w:r>
      <w:r>
        <w:rPr>
          <w:rFonts w:hint="eastAsia"/>
          <w:color w:val="auto"/>
          <w:highlight w:val="none"/>
          <w:lang w:bidi="en-US"/>
        </w:rPr>
        <w:t>(6)</w:t>
      </w:r>
      <w:r>
        <w:rPr>
          <w:rFonts w:hint="eastAsia"/>
          <w:color w:val="auto"/>
          <w:highlight w:val="none"/>
        </w:rPr>
        <w:t>目约定为：</w:t>
      </w:r>
    </w:p>
    <w:p>
      <w:pPr>
        <w:adjustRightInd w:val="0"/>
        <w:snapToGrid w:val="0"/>
        <w:spacing w:line="360" w:lineRule="auto"/>
        <w:ind w:firstLine="640"/>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）承包人还应履行本目约定的义务，除另有约定外，承包人因履行如下义务所发生的费用应认为己含入其他支付项中，出资人不另行支付：</w:t>
      </w:r>
    </w:p>
    <w:p>
      <w:pPr>
        <w:adjustRightInd w:val="0"/>
        <w:snapToGrid w:val="0"/>
        <w:spacing w:line="360" w:lineRule="auto"/>
        <w:ind w:firstLine="440" w:firstLineChars="200"/>
        <w:rPr>
          <w:color w:val="auto"/>
          <w:highlight w:val="none"/>
        </w:rPr>
      </w:pPr>
      <w:r>
        <w:rPr>
          <w:rFonts w:hint="eastAsia"/>
          <w:color w:val="auto"/>
          <w:highlight w:val="none"/>
        </w:rPr>
        <w:t>a、承包人应接受质监机构对其工程施工质量的监督与检查，凡工程质量不合格的工程发包人将不验收、不支付，并由承包人自费拆除重建。</w:t>
      </w:r>
    </w:p>
    <w:p>
      <w:pPr>
        <w:adjustRightInd w:val="0"/>
        <w:snapToGrid w:val="0"/>
        <w:spacing w:line="360" w:lineRule="auto"/>
        <w:ind w:firstLine="440" w:firstLineChars="200"/>
        <w:rPr>
          <w:color w:val="auto"/>
          <w:highlight w:val="none"/>
        </w:rPr>
      </w:pPr>
      <w:r>
        <w:rPr>
          <w:rFonts w:hint="eastAsia"/>
          <w:color w:val="auto"/>
          <w:highlight w:val="none"/>
        </w:rPr>
        <w:t>b、如现场遇有重大问题或应发包人的要求，承包人的法定代表人和相关的技术、财务等主要人员应及时到达施工现场，协调、解决重大问题。</w:t>
      </w:r>
    </w:p>
    <w:p>
      <w:pPr>
        <w:adjustRightInd w:val="0"/>
        <w:snapToGrid w:val="0"/>
        <w:spacing w:line="360" w:lineRule="auto"/>
        <w:ind w:firstLine="440" w:firstLineChars="200"/>
        <w:rPr>
          <w:color w:val="auto"/>
          <w:highlight w:val="none"/>
        </w:rPr>
      </w:pPr>
      <w:r>
        <w:rPr>
          <w:rFonts w:hint="eastAsia"/>
          <w:color w:val="auto"/>
          <w:highlight w:val="none"/>
        </w:rPr>
        <w:t>c、承包人与本合同段的分包、雇用劳务、运输、供料等委托单位之间发生的经济纠纷，应由承包人承担一切经济和法律责任。承包人因承担实施其他项目工程引起的经济纠纷，应采取必要措施，不得牵连干扰本项目。</w:t>
      </w:r>
    </w:p>
    <w:p>
      <w:pPr>
        <w:adjustRightInd w:val="0"/>
        <w:snapToGrid w:val="0"/>
        <w:spacing w:line="360" w:lineRule="auto"/>
        <w:ind w:firstLine="440" w:firstLineChars="200"/>
        <w:rPr>
          <w:color w:val="auto"/>
          <w:highlight w:val="none"/>
        </w:rPr>
      </w:pPr>
      <w:r>
        <w:rPr>
          <w:rFonts w:hint="eastAsia"/>
          <w:color w:val="auto"/>
          <w:highlight w:val="none"/>
        </w:rPr>
        <w:t>d、承包人应负责处理好施工现场的邻里关系，确保人员、材料、设备的进出场，以及施工的顺利进行。如在施工过程中由于承包人与周边单位或个人的关系处理不当造成了阻工和停工，承包人应自行负责解决。发包人的配合协助协调工作并不免除承包人自行解决矛盾的责任。</w:t>
      </w:r>
    </w:p>
    <w:p>
      <w:pPr>
        <w:adjustRightInd w:val="0"/>
        <w:snapToGrid w:val="0"/>
        <w:spacing w:line="360" w:lineRule="auto"/>
        <w:ind w:firstLine="440" w:firstLineChars="200"/>
        <w:rPr>
          <w:color w:val="auto"/>
          <w:highlight w:val="none"/>
        </w:rPr>
      </w:pPr>
      <w:r>
        <w:rPr>
          <w:rFonts w:hint="eastAsia"/>
          <w:color w:val="auto"/>
          <w:highlight w:val="none"/>
        </w:rPr>
        <w:t>e、凡是合同段内与各种公共设施有交叉、干扰的地段，承包人应在不干扰相关设施运营的前提下合理安排施工组织计划，采取有效措施保证运营需求和施工安全。如因承包人采取的措施不力，而给其它部门或个人造成损失，或由上述原因造成本工程工期的拖延或施工费用的增加，均由承包人自行负责。</w:t>
      </w:r>
    </w:p>
    <w:p>
      <w:pPr>
        <w:adjustRightInd w:val="0"/>
        <w:snapToGrid w:val="0"/>
        <w:spacing w:line="360" w:lineRule="auto"/>
        <w:ind w:firstLine="440" w:firstLineChars="200"/>
        <w:rPr>
          <w:color w:val="auto"/>
          <w:highlight w:val="none"/>
        </w:rPr>
      </w:pPr>
      <w:r>
        <w:rPr>
          <w:rFonts w:hint="eastAsia"/>
          <w:color w:val="auto"/>
          <w:highlight w:val="none"/>
        </w:rPr>
        <w:t>f、多个施工单位在同一区域施工时，监理人有权协调工程的实施并对工程的衔接提出指示，承包人应在监理人的统一协调下工作。</w:t>
      </w:r>
    </w:p>
    <w:p>
      <w:pPr>
        <w:adjustRightInd w:val="0"/>
        <w:snapToGrid w:val="0"/>
        <w:spacing w:line="360" w:lineRule="auto"/>
        <w:ind w:firstLine="440" w:firstLineChars="200"/>
        <w:rPr>
          <w:color w:val="auto"/>
          <w:highlight w:val="none"/>
        </w:rPr>
      </w:pPr>
      <w:r>
        <w:rPr>
          <w:rFonts w:hint="eastAsia"/>
          <w:color w:val="auto"/>
          <w:highlight w:val="none"/>
        </w:rPr>
        <w:t>g、有关单位对本项目的各种检查和视察等活动，承包人有义务予以积极配合^</w:t>
      </w:r>
    </w:p>
    <w:p>
      <w:pPr>
        <w:adjustRightInd w:val="0"/>
        <w:snapToGrid w:val="0"/>
        <w:spacing w:line="360" w:lineRule="auto"/>
        <w:ind w:firstLine="440" w:firstLineChars="200"/>
        <w:rPr>
          <w:color w:val="auto"/>
          <w:highlight w:val="none"/>
        </w:rPr>
      </w:pPr>
      <w:r>
        <w:rPr>
          <w:rFonts w:hint="eastAsia"/>
          <w:color w:val="auto"/>
          <w:highlight w:val="none"/>
        </w:rPr>
        <w:t>h、承包人在购买工程施工所需地平材料时，因地平材料的采集、购买引起的一切经济、法律争端全部由承包人负责。</w:t>
      </w:r>
    </w:p>
    <w:p>
      <w:pPr>
        <w:adjustRightInd w:val="0"/>
        <w:snapToGrid w:val="0"/>
        <w:spacing w:line="360" w:lineRule="auto"/>
        <w:ind w:firstLine="440" w:firstLineChars="200"/>
        <w:rPr>
          <w:color w:val="auto"/>
          <w:highlight w:val="none"/>
        </w:rPr>
      </w:pPr>
      <w:r>
        <w:rPr>
          <w:rFonts w:hint="eastAsia"/>
          <w:color w:val="auto"/>
          <w:highlight w:val="none"/>
        </w:rPr>
        <w:t>i、承包人应对设计文件进行认真的审核和校对，及时发现设计图纸中常识性错误，否则由此造成的返工，承包人承担全部责任并承担返工费用。</w:t>
      </w:r>
    </w:p>
    <w:p>
      <w:pPr>
        <w:adjustRightInd w:val="0"/>
        <w:snapToGrid w:val="0"/>
        <w:spacing w:line="360" w:lineRule="auto"/>
        <w:ind w:firstLine="440" w:firstLineChars="200"/>
        <w:rPr>
          <w:color w:val="auto"/>
          <w:highlight w:val="none"/>
        </w:rPr>
      </w:pPr>
      <w:r>
        <w:rPr>
          <w:rFonts w:hint="eastAsia"/>
          <w:color w:val="auto"/>
          <w:highlight w:val="none"/>
        </w:rPr>
        <w:t>j、承包人在施工过程中必须采取有效措施保证临时排水畅通，由于承包人原因造成的水毁、水淹农田等一切经济损失由承包人承担。</w:t>
      </w:r>
    </w:p>
    <w:p>
      <w:pPr>
        <w:adjustRightInd w:val="0"/>
        <w:snapToGrid w:val="0"/>
        <w:spacing w:line="360" w:lineRule="auto"/>
        <w:ind w:firstLine="440" w:firstLineChars="200"/>
        <w:rPr>
          <w:color w:val="auto"/>
          <w:highlight w:val="none"/>
        </w:rPr>
      </w:pPr>
      <w:r>
        <w:rPr>
          <w:rFonts w:hint="eastAsia"/>
          <w:color w:val="auto"/>
          <w:highlight w:val="none"/>
        </w:rPr>
        <w:t>k、由于承包人原因引起的法律纠纷，由承包人自行解决；在法律纠纷中，承包人不得以质量保证金作为抵押；因承包人原因引起的法律纠纷影响发包人正常军作时，按承包人违约处理。</w:t>
      </w:r>
    </w:p>
    <w:p>
      <w:pPr>
        <w:adjustRightInd w:val="0"/>
        <w:snapToGrid w:val="0"/>
        <w:spacing w:line="360" w:lineRule="auto"/>
        <w:ind w:firstLine="440" w:firstLineChars="200"/>
        <w:rPr>
          <w:color w:val="auto"/>
          <w:highlight w:val="none"/>
        </w:rPr>
      </w:pPr>
      <w:r>
        <w:rPr>
          <w:rFonts w:hint="eastAsia"/>
          <w:color w:val="auto"/>
          <w:highlight w:val="none"/>
        </w:rPr>
        <w:t>l、承包人应做好施工期的环境保护、水土保持和文物保护，由此产生的费用以及引起的与外界的所有争端、索赔责任均由承包人承担。</w:t>
      </w:r>
    </w:p>
    <w:p>
      <w:pPr>
        <w:adjustRightInd w:val="0"/>
        <w:snapToGrid w:val="0"/>
        <w:spacing w:line="360" w:lineRule="auto"/>
        <w:ind w:firstLine="440" w:firstLineChars="200"/>
        <w:rPr>
          <w:color w:val="auto"/>
          <w:highlight w:val="none"/>
        </w:rPr>
      </w:pPr>
      <w:r>
        <w:rPr>
          <w:rFonts w:hint="eastAsia"/>
          <w:color w:val="auto"/>
          <w:highlight w:val="none"/>
        </w:rPr>
        <w:t>m、未经发包人同意，承包人不得将施工现场用于本工程施工以外的目的，不得将永久占地作为生产（办公）、生活等临时设施用地。</w:t>
      </w:r>
    </w:p>
    <w:p>
      <w:pPr>
        <w:adjustRightInd w:val="0"/>
        <w:snapToGrid w:val="0"/>
        <w:spacing w:line="360" w:lineRule="auto"/>
        <w:ind w:firstLine="440" w:firstLineChars="200"/>
        <w:rPr>
          <w:color w:val="auto"/>
          <w:highlight w:val="none"/>
        </w:rPr>
      </w:pPr>
      <w:r>
        <w:rPr>
          <w:rFonts w:hint="eastAsia"/>
          <w:color w:val="auto"/>
          <w:highlight w:val="none"/>
        </w:rPr>
        <w:t>n、本工程项目有关的各类统计报表和汇报材料包括项目后评价报告，承包人有义务配合发包人做好编制工作并提供相应的资料。</w:t>
      </w:r>
    </w:p>
    <w:p>
      <w:pPr>
        <w:adjustRightInd w:val="0"/>
        <w:snapToGrid w:val="0"/>
        <w:spacing w:line="360" w:lineRule="auto"/>
        <w:ind w:firstLine="440" w:firstLineChars="200"/>
        <w:rPr>
          <w:color w:val="auto"/>
          <w:highlight w:val="none"/>
        </w:rPr>
      </w:pPr>
      <w:r>
        <w:rPr>
          <w:rFonts w:hint="eastAsia"/>
          <w:color w:val="auto"/>
          <w:highlight w:val="none"/>
        </w:rPr>
        <w:t>0.承包人应按发包人和有关文件要求，建立相应的计量、支付和变更台帐，同时承包人应配合发包人建立相应的台帐，发包人、承包人、监理人三方各自的台帐应相应保持一致并保持其持续有效直至工程结算完成。</w:t>
      </w:r>
    </w:p>
    <w:p>
      <w:pPr>
        <w:adjustRightInd w:val="0"/>
        <w:snapToGrid w:val="0"/>
        <w:spacing w:line="360" w:lineRule="auto"/>
        <w:ind w:firstLine="440" w:firstLineChars="200"/>
        <w:rPr>
          <w:color w:val="auto"/>
          <w:highlight w:val="none"/>
        </w:rPr>
      </w:pPr>
      <w:r>
        <w:rPr>
          <w:rFonts w:hint="eastAsia"/>
          <w:color w:val="auto"/>
          <w:highlight w:val="none"/>
        </w:rPr>
        <w:t>p.施工工艺要求</w:t>
      </w:r>
    </w:p>
    <w:p>
      <w:pPr>
        <w:adjustRightInd w:val="0"/>
        <w:snapToGrid w:val="0"/>
        <w:spacing w:line="360" w:lineRule="auto"/>
        <w:ind w:firstLine="440" w:firstLineChars="200"/>
        <w:rPr>
          <w:color w:val="auto"/>
          <w:highlight w:val="none"/>
        </w:rPr>
      </w:pPr>
      <w:r>
        <w:rPr>
          <w:rFonts w:hint="eastAsia"/>
          <w:color w:val="auto"/>
          <w:highlight w:val="none"/>
        </w:rPr>
        <w:t>承包人应采取一切必要的措施，严格执行施工过程中发包人下发的施工技术指导意见和技术规范的各项规定，以保证达到合同规定的质量要求。</w:t>
      </w:r>
    </w:p>
    <w:p>
      <w:pPr>
        <w:adjustRightInd w:val="0"/>
        <w:snapToGrid w:val="0"/>
        <w:spacing w:line="360" w:lineRule="auto"/>
        <w:ind w:firstLine="440" w:firstLineChars="200"/>
        <w:rPr>
          <w:color w:val="auto"/>
          <w:highlight w:val="none"/>
        </w:rPr>
      </w:pPr>
      <w:r>
        <w:rPr>
          <w:rFonts w:hint="eastAsia"/>
          <w:color w:val="auto"/>
          <w:highlight w:val="none"/>
        </w:rPr>
        <w:t>q.承包人应按发包人的要求配合发包人进行的科研和试验课题研究，提供必要的试验场地、设备及人员等，并将其详细成果资料报发包人备案。承包人的工地试验室的试验检测必须遵守各级交通运输主管部门的相关规定，监理人在必要时可以无偿使用承包人的试验检测设备。</w:t>
      </w:r>
    </w:p>
    <w:p>
      <w:pPr>
        <w:adjustRightInd w:val="0"/>
        <w:snapToGrid w:val="0"/>
        <w:spacing w:line="360" w:lineRule="auto"/>
        <w:ind w:firstLine="440" w:firstLineChars="200"/>
        <w:rPr>
          <w:color w:val="auto"/>
          <w:highlight w:val="none"/>
        </w:rPr>
      </w:pPr>
      <w:r>
        <w:rPr>
          <w:rFonts w:hint="eastAsia"/>
          <w:color w:val="auto"/>
          <w:highlight w:val="none"/>
        </w:rPr>
        <w:t>r.承包人应对发包人的机密资料以及完成的阶段性、成果性文件承担保密义务，并自愿承担泄密的法律责任，如因承包人违反上述约定给发包人造成损失的，承包人应承担相关的法律及经济责任。</w:t>
      </w:r>
    </w:p>
    <w:p>
      <w:pPr>
        <w:adjustRightInd w:val="0"/>
        <w:snapToGrid w:val="0"/>
        <w:spacing w:line="360" w:lineRule="auto"/>
        <w:ind w:firstLine="440" w:firstLineChars="200"/>
        <w:rPr>
          <w:color w:val="auto"/>
          <w:highlight w:val="none"/>
        </w:rPr>
      </w:pPr>
      <w:r>
        <w:rPr>
          <w:rFonts w:hint="eastAsia"/>
          <w:color w:val="auto"/>
          <w:highlight w:val="none"/>
        </w:rPr>
        <w:t>s.承包人应严格遵守国家及项目所在地相关的法律法规及各项规定，因承包人自身原因违规所产生的一切直接或间接责任、经济纠纷均由承包人自行承担。</w:t>
      </w:r>
    </w:p>
    <w:p>
      <w:pPr>
        <w:adjustRightInd w:val="0"/>
        <w:snapToGrid w:val="0"/>
        <w:spacing w:line="360" w:lineRule="auto"/>
        <w:ind w:firstLine="440" w:firstLineChars="200"/>
        <w:rPr>
          <w:color w:val="auto"/>
          <w:highlight w:val="none"/>
        </w:rPr>
      </w:pPr>
      <w:r>
        <w:rPr>
          <w:rFonts w:hint="eastAsia"/>
          <w:color w:val="auto"/>
          <w:highlight w:val="none"/>
        </w:rPr>
        <w:t>t.项目审计、检查、管理等的配合</w:t>
      </w:r>
    </w:p>
    <w:p>
      <w:pPr>
        <w:numPr>
          <w:ilvl w:val="0"/>
          <w:numId w:val="37"/>
        </w:numPr>
        <w:tabs>
          <w:tab w:val="left" w:pos="1117"/>
        </w:tabs>
        <w:adjustRightInd w:val="0"/>
        <w:snapToGrid w:val="0"/>
        <w:spacing w:line="360" w:lineRule="auto"/>
        <w:ind w:firstLine="640"/>
        <w:rPr>
          <w:color w:val="auto"/>
          <w:highlight w:val="none"/>
        </w:rPr>
      </w:pPr>
      <w:r>
        <w:rPr>
          <w:rFonts w:hint="eastAsia"/>
          <w:color w:val="auto"/>
          <w:highlight w:val="none"/>
        </w:rPr>
        <w:t>与本工程项目相关的审计和检查，承包人应委派专人积极予以配合，对审计和检查提出的有关意见及时整改。</w:t>
      </w:r>
    </w:p>
    <w:p>
      <w:pPr>
        <w:numPr>
          <w:ilvl w:val="0"/>
          <w:numId w:val="37"/>
        </w:numPr>
        <w:tabs>
          <w:tab w:val="left" w:pos="1136"/>
        </w:tabs>
        <w:adjustRightInd w:val="0"/>
        <w:snapToGrid w:val="0"/>
        <w:spacing w:line="360" w:lineRule="auto"/>
        <w:ind w:firstLine="640"/>
        <w:rPr>
          <w:color w:val="auto"/>
          <w:highlight w:val="none"/>
        </w:rPr>
      </w:pPr>
      <w:r>
        <w:rPr>
          <w:rFonts w:hint="eastAsia"/>
          <w:color w:val="auto"/>
          <w:highlight w:val="none"/>
        </w:rPr>
        <w:t>与本工程项目有关的各类统计报表、管理台账、总结报告等，承包人应配合发包人做好编制工作并提供相应的资料。</w:t>
      </w:r>
    </w:p>
    <w:p>
      <w:pPr>
        <w:adjustRightInd w:val="0"/>
        <w:snapToGrid w:val="0"/>
        <w:spacing w:line="360" w:lineRule="auto"/>
        <w:rPr>
          <w:rFonts w:cs="PMingLiU"/>
          <w:b/>
          <w:bCs/>
          <w:color w:val="auto"/>
          <w:spacing w:val="10"/>
          <w:highlight w:val="none"/>
          <w:lang w:val="en-US" w:bidi="en-US"/>
        </w:rPr>
      </w:pPr>
      <w:r>
        <w:rPr>
          <w:rFonts w:hint="eastAsia" w:cs="PMingLiU"/>
          <w:b/>
          <w:bCs/>
          <w:color w:val="auto"/>
          <w:spacing w:val="10"/>
          <w:highlight w:val="none"/>
          <w:lang w:val="en-US" w:bidi="en-US"/>
        </w:rPr>
        <w:t>4.2履约保证金</w:t>
      </w:r>
    </w:p>
    <w:p>
      <w:pPr>
        <w:tabs>
          <w:tab w:val="left" w:pos="1136"/>
        </w:tabs>
        <w:adjustRightInd w:val="0"/>
        <w:snapToGrid w:val="0"/>
        <w:spacing w:line="360" w:lineRule="auto"/>
        <w:rPr>
          <w:color w:val="auto"/>
          <w:highlight w:val="none"/>
        </w:rPr>
      </w:pPr>
      <w:r>
        <w:rPr>
          <w:color w:val="auto"/>
          <w:highlight w:val="none"/>
        </w:rPr>
        <w:t>本款细化为：</w:t>
      </w:r>
      <w:r>
        <w:rPr>
          <w:color w:val="auto"/>
          <w:highlight w:val="none"/>
          <w:u w:val="single"/>
        </w:rPr>
        <w:t>详见《项目专用合同条款数据表》</w:t>
      </w:r>
      <w:r>
        <w:rPr>
          <w:color w:val="auto"/>
          <w:highlight w:val="none"/>
        </w:rPr>
        <w:t>。</w:t>
      </w:r>
    </w:p>
    <w:p>
      <w:pPr>
        <w:tabs>
          <w:tab w:val="left" w:pos="1136"/>
        </w:tabs>
        <w:adjustRightInd w:val="0"/>
        <w:snapToGrid w:val="0"/>
        <w:spacing w:line="360" w:lineRule="auto"/>
        <w:rPr>
          <w:color w:val="auto"/>
          <w:highlight w:val="none"/>
        </w:rPr>
      </w:pPr>
    </w:p>
    <w:p>
      <w:pPr>
        <w:adjustRightInd w:val="0"/>
        <w:snapToGrid w:val="0"/>
        <w:spacing w:line="360" w:lineRule="auto"/>
        <w:rPr>
          <w:color w:val="auto"/>
          <w:highlight w:val="none"/>
        </w:rPr>
      </w:pPr>
      <w:bookmarkStart w:id="3036" w:name="_Toc27786"/>
      <w:bookmarkStart w:id="3037" w:name="_Toc24167"/>
      <w:bookmarkStart w:id="3038" w:name="bookmark8"/>
      <w:bookmarkStart w:id="3039" w:name="_Toc4969"/>
      <w:bookmarkStart w:id="3040" w:name="_Toc8483"/>
      <w:bookmarkStart w:id="3041" w:name="_Toc21629"/>
      <w:bookmarkStart w:id="3042" w:name="_Toc12790"/>
      <w:bookmarkStart w:id="3043" w:name="_Toc29389"/>
      <w:bookmarkStart w:id="3044" w:name="_Toc542"/>
      <w:bookmarkStart w:id="3045" w:name="_Toc24342"/>
      <w:bookmarkStart w:id="3046" w:name="_Toc10096"/>
      <w:bookmarkStart w:id="3047" w:name="_Toc29191"/>
      <w:r>
        <w:rPr>
          <w:rFonts w:hint="eastAsia"/>
          <w:b/>
          <w:bCs/>
          <w:color w:val="auto"/>
          <w:highlight w:val="none"/>
          <w:lang w:bidi="en-US"/>
        </w:rPr>
        <w:t>4.3</w:t>
      </w:r>
      <w:r>
        <w:rPr>
          <w:rStyle w:val="239"/>
          <w:rFonts w:hint="eastAsia" w:ascii="宋体" w:hAnsi="宋体" w:eastAsia="宋体"/>
          <w:b/>
          <w:bCs/>
          <w:color w:val="auto"/>
          <w:sz w:val="22"/>
          <w:szCs w:val="22"/>
          <w:highlight w:val="none"/>
          <w:lang w:eastAsia="zh-CN"/>
        </w:rPr>
        <w:t>分包</w:t>
      </w:r>
      <w:bookmarkEnd w:id="3036"/>
      <w:bookmarkEnd w:id="3037"/>
      <w:bookmarkEnd w:id="3038"/>
      <w:bookmarkEnd w:id="3039"/>
      <w:bookmarkEnd w:id="3040"/>
      <w:bookmarkEnd w:id="3041"/>
      <w:bookmarkEnd w:id="3042"/>
      <w:bookmarkEnd w:id="3043"/>
      <w:bookmarkEnd w:id="3044"/>
      <w:bookmarkEnd w:id="3045"/>
      <w:bookmarkEnd w:id="3046"/>
      <w:bookmarkEnd w:id="3047"/>
    </w:p>
    <w:p>
      <w:pPr>
        <w:adjustRightInd w:val="0"/>
        <w:snapToGrid w:val="0"/>
        <w:spacing w:line="360" w:lineRule="auto"/>
        <w:ind w:left="499"/>
        <w:rPr>
          <w:color w:val="auto"/>
          <w:highlight w:val="none"/>
        </w:rPr>
      </w:pPr>
      <w:r>
        <w:rPr>
          <w:rStyle w:val="238"/>
          <w:rFonts w:ascii="宋体" w:hAnsi="宋体" w:eastAsia="宋体"/>
          <w:color w:val="auto"/>
          <w:sz w:val="22"/>
          <w:highlight w:val="none"/>
        </w:rPr>
        <w:t>4.3.4</w:t>
      </w:r>
      <w:r>
        <w:rPr>
          <w:rFonts w:hint="eastAsia"/>
          <w:color w:val="auto"/>
          <w:highlight w:val="none"/>
        </w:rPr>
        <w:t>劳务分包 本顶补充以下内容：</w:t>
      </w:r>
    </w:p>
    <w:p>
      <w:pPr>
        <w:pStyle w:val="264"/>
        <w:adjustRightInd w:val="0"/>
        <w:snapToGrid w:val="0"/>
        <w:spacing w:line="360" w:lineRule="auto"/>
        <w:ind w:firstLine="440" w:firstLineChars="200"/>
        <w:jc w:val="both"/>
        <w:rPr>
          <w:color w:val="auto"/>
          <w:highlight w:val="none"/>
        </w:rPr>
      </w:pPr>
      <w:r>
        <w:rPr>
          <w:color w:val="auto"/>
          <w:sz w:val="22"/>
          <w:szCs w:val="22"/>
          <w:highlight w:val="none"/>
          <w:lang w:val="zh-CN" w:eastAsia="zh-CN" w:bidi="zh-CN"/>
        </w:rPr>
        <w:t>本项补充以下内容：</w:t>
      </w:r>
      <w:r>
        <w:rPr>
          <w:color w:val="auto"/>
          <w:sz w:val="22"/>
          <w:szCs w:val="22"/>
          <w:highlight w:val="none"/>
          <w:u w:val="single"/>
          <w:lang w:val="zh-CN" w:eastAsia="zh-CN" w:bidi="zh-CN"/>
        </w:rPr>
        <w:t>详见《项目专用合同条款数据表》。</w:t>
      </w:r>
    </w:p>
    <w:p>
      <w:pPr>
        <w:adjustRightInd w:val="0"/>
        <w:snapToGrid w:val="0"/>
        <w:spacing w:line="360" w:lineRule="auto"/>
        <w:ind w:firstLine="440" w:firstLineChars="200"/>
        <w:rPr>
          <w:color w:val="auto"/>
          <w:highlight w:val="none"/>
        </w:rPr>
      </w:pPr>
      <w:r>
        <w:rPr>
          <w:color w:val="auto"/>
          <w:highlight w:val="none"/>
        </w:rPr>
        <w:t>本款补充第</w:t>
      </w:r>
      <w:r>
        <w:rPr>
          <w:color w:val="auto"/>
          <w:highlight w:val="none"/>
          <w:lang w:val="en-US"/>
        </w:rPr>
        <w:t>4.3.8</w:t>
      </w:r>
      <w:r>
        <w:rPr>
          <w:color w:val="auto"/>
          <w:highlight w:val="none"/>
        </w:rPr>
        <w:t>〜</w:t>
      </w:r>
      <w:r>
        <w:rPr>
          <w:color w:val="auto"/>
          <w:highlight w:val="none"/>
          <w:lang w:val="en-US"/>
        </w:rPr>
        <w:t>4.3.10</w:t>
      </w:r>
      <w:r>
        <w:rPr>
          <w:color w:val="auto"/>
          <w:highlight w:val="none"/>
        </w:rPr>
        <w:t xml:space="preserve">项： </w:t>
      </w:r>
      <w:r>
        <w:rPr>
          <w:color w:val="auto"/>
          <w:highlight w:val="none"/>
          <w:u w:val="single"/>
        </w:rPr>
        <w:t>详见《项目专用合同条款数据表》</w:t>
      </w:r>
      <w:r>
        <w:rPr>
          <w:rFonts w:hint="eastAsia"/>
          <w:color w:val="auto"/>
          <w:highlight w:val="none"/>
          <w:u w:val="single"/>
        </w:rPr>
        <w:t>。</w:t>
      </w:r>
    </w:p>
    <w:p>
      <w:pPr>
        <w:pStyle w:val="243"/>
        <w:keepNext/>
        <w:keepLines/>
        <w:shd w:val="clear" w:color="auto" w:fill="auto"/>
        <w:adjustRightInd w:val="0"/>
        <w:snapToGrid w:val="0"/>
        <w:spacing w:line="360" w:lineRule="auto"/>
        <w:ind w:firstLine="0"/>
        <w:outlineLvl w:val="9"/>
        <w:rPr>
          <w:rStyle w:val="238"/>
          <w:rFonts w:ascii="宋体" w:hAnsi="宋体" w:eastAsia="宋体"/>
          <w:color w:val="auto"/>
          <w:highlight w:val="none"/>
        </w:rPr>
      </w:pPr>
      <w:bookmarkStart w:id="3048" w:name="bookmark9"/>
    </w:p>
    <w:p>
      <w:pPr>
        <w:adjustRightInd w:val="0"/>
        <w:snapToGrid w:val="0"/>
        <w:spacing w:line="360" w:lineRule="auto"/>
        <w:rPr>
          <w:rFonts w:cs="PMingLiU"/>
          <w:b/>
          <w:bCs/>
          <w:color w:val="auto"/>
          <w:spacing w:val="10"/>
          <w:highlight w:val="none"/>
          <w:lang w:val="en-US" w:bidi="en-US"/>
        </w:rPr>
      </w:pPr>
      <w:bookmarkStart w:id="3049" w:name="_Toc6956"/>
      <w:bookmarkStart w:id="3050" w:name="_Toc19793"/>
      <w:bookmarkStart w:id="3051" w:name="_Toc17510"/>
      <w:bookmarkStart w:id="3052" w:name="_Toc5396"/>
      <w:bookmarkStart w:id="3053" w:name="_Toc1340"/>
      <w:bookmarkStart w:id="3054" w:name="_Toc16828"/>
      <w:bookmarkStart w:id="3055" w:name="_Toc15485"/>
      <w:bookmarkStart w:id="3056" w:name="_Toc23083"/>
      <w:bookmarkStart w:id="3057" w:name="_Toc16259"/>
      <w:bookmarkStart w:id="3058" w:name="_Toc17952"/>
      <w:bookmarkStart w:id="3059" w:name="_Toc13978"/>
      <w:r>
        <w:rPr>
          <w:rFonts w:cs="PMingLiU"/>
          <w:b/>
          <w:bCs/>
          <w:color w:val="auto"/>
          <w:spacing w:val="10"/>
          <w:highlight w:val="none"/>
          <w:lang w:val="en-US" w:bidi="en-US"/>
        </w:rPr>
        <w:t>4.6</w:t>
      </w:r>
      <w:r>
        <w:rPr>
          <w:rFonts w:hint="eastAsia" w:cs="PMingLiU"/>
          <w:b/>
          <w:bCs/>
          <w:color w:val="auto"/>
          <w:spacing w:val="10"/>
          <w:highlight w:val="none"/>
          <w:lang w:val="en-US" w:bidi="en-US"/>
        </w:rPr>
        <w:t>承包人人员的管理</w:t>
      </w:r>
      <w:bookmarkEnd w:id="3048"/>
      <w:bookmarkEnd w:id="3049"/>
      <w:bookmarkEnd w:id="3050"/>
      <w:bookmarkEnd w:id="3051"/>
      <w:bookmarkEnd w:id="3052"/>
      <w:bookmarkEnd w:id="3053"/>
      <w:bookmarkEnd w:id="3054"/>
      <w:bookmarkEnd w:id="3055"/>
      <w:bookmarkEnd w:id="3056"/>
      <w:bookmarkEnd w:id="3057"/>
      <w:bookmarkEnd w:id="3058"/>
      <w:bookmarkEnd w:id="3059"/>
    </w:p>
    <w:p>
      <w:pPr>
        <w:adjustRightInd w:val="0"/>
        <w:snapToGrid w:val="0"/>
        <w:spacing w:line="360" w:lineRule="auto"/>
        <w:ind w:left="500"/>
        <w:rPr>
          <w:color w:val="auto"/>
          <w:highlight w:val="none"/>
        </w:rPr>
      </w:pPr>
      <w:r>
        <w:rPr>
          <w:rFonts w:hint="eastAsia"/>
          <w:color w:val="auto"/>
          <w:highlight w:val="none"/>
        </w:rPr>
        <w:t>第</w:t>
      </w:r>
      <w:r>
        <w:rPr>
          <w:rStyle w:val="238"/>
          <w:rFonts w:ascii="宋体" w:hAnsi="宋体" w:eastAsia="宋体"/>
          <w:color w:val="auto"/>
          <w:sz w:val="22"/>
          <w:highlight w:val="none"/>
        </w:rPr>
        <w:t>4.6.3</w:t>
      </w:r>
      <w:r>
        <w:rPr>
          <w:rFonts w:hint="eastAsia"/>
          <w:color w:val="auto"/>
          <w:highlight w:val="none"/>
        </w:rPr>
        <w:t>项细化为：</w:t>
      </w:r>
    </w:p>
    <w:p>
      <w:pPr>
        <w:adjustRightInd w:val="0"/>
        <w:snapToGrid w:val="0"/>
        <w:spacing w:line="360" w:lineRule="auto"/>
        <w:ind w:firstLine="440" w:firstLineChars="200"/>
        <w:rPr>
          <w:color w:val="auto"/>
          <w:highlight w:val="none"/>
        </w:rPr>
      </w:pPr>
      <w:r>
        <w:rPr>
          <w:rFonts w:hint="eastAsia"/>
          <w:color w:val="auto"/>
          <w:highlight w:val="none"/>
        </w:rPr>
        <w:t>承包人安排在施工场地的项目经理、项目总工、其他主要人员应是承包人填报的人员以及合同谈判期间承诺的人员，并保持相对稳定。未经监理人批准，上述人员不应无故不到位或被替换；若确实无法到位或需替换，需经监理人审核并报发包人批准后，用同等资质和经历的人员替换。即使发包人同意替换，发包人亦有权按合同条款</w:t>
      </w:r>
      <w:r>
        <w:rPr>
          <w:rStyle w:val="239"/>
          <w:rFonts w:hint="eastAsia" w:ascii="宋体" w:hAnsi="宋体" w:eastAsia="宋体"/>
          <w:color w:val="auto"/>
          <w:sz w:val="22"/>
          <w:szCs w:val="22"/>
          <w:highlight w:val="none"/>
          <w:lang w:eastAsia="zh-CN"/>
        </w:rPr>
        <w:t>22.1.2</w:t>
      </w:r>
      <w:r>
        <w:rPr>
          <w:rFonts w:hint="eastAsia"/>
          <w:color w:val="auto"/>
          <w:highlight w:val="none"/>
        </w:rPr>
        <w:t>项的规定进行处理。</w:t>
      </w:r>
    </w:p>
    <w:p>
      <w:pPr>
        <w:adjustRightInd w:val="0"/>
        <w:snapToGrid w:val="0"/>
        <w:spacing w:line="360" w:lineRule="auto"/>
        <w:ind w:firstLine="600"/>
        <w:rPr>
          <w:color w:val="auto"/>
          <w:highlight w:val="none"/>
        </w:rPr>
      </w:pPr>
    </w:p>
    <w:p>
      <w:pPr>
        <w:adjustRightInd w:val="0"/>
        <w:snapToGrid w:val="0"/>
        <w:spacing w:line="360" w:lineRule="auto"/>
        <w:ind w:firstLine="440" w:firstLineChars="200"/>
        <w:rPr>
          <w:color w:val="auto"/>
          <w:highlight w:val="none"/>
        </w:rPr>
      </w:pPr>
      <w:r>
        <w:rPr>
          <w:rFonts w:hint="eastAsia"/>
          <w:color w:val="auto"/>
          <w:highlight w:val="none"/>
        </w:rPr>
        <w:t>本款补充第</w:t>
      </w:r>
      <w:r>
        <w:rPr>
          <w:rStyle w:val="238"/>
          <w:rFonts w:ascii="宋体" w:hAnsi="宋体" w:eastAsia="宋体"/>
          <w:color w:val="auto"/>
          <w:sz w:val="22"/>
          <w:highlight w:val="none"/>
        </w:rPr>
        <w:t>4.6.6</w:t>
      </w:r>
      <w:r>
        <w:rPr>
          <w:rFonts w:hint="eastAsia"/>
          <w:color w:val="auto"/>
          <w:highlight w:val="none"/>
        </w:rPr>
        <w:t>项：</w:t>
      </w:r>
    </w:p>
    <w:p>
      <w:pPr>
        <w:adjustRightInd w:val="0"/>
        <w:snapToGrid w:val="0"/>
        <w:spacing w:line="360" w:lineRule="auto"/>
        <w:ind w:firstLine="480" w:firstLineChars="200"/>
        <w:rPr>
          <w:color w:val="auto"/>
          <w:highlight w:val="none"/>
        </w:rPr>
      </w:pPr>
      <w:r>
        <w:rPr>
          <w:rStyle w:val="238"/>
          <w:rFonts w:ascii="宋体" w:hAnsi="宋体" w:eastAsia="宋体"/>
          <w:color w:val="auto"/>
          <w:sz w:val="22"/>
          <w:highlight w:val="none"/>
        </w:rPr>
        <w:t>4.6.6</w:t>
      </w:r>
      <w:r>
        <w:rPr>
          <w:rFonts w:hint="eastAsia"/>
          <w:color w:val="auto"/>
          <w:highlight w:val="none"/>
        </w:rPr>
        <w:t>施工员登记制度</w:t>
      </w:r>
    </w:p>
    <w:p>
      <w:pPr>
        <w:adjustRightInd w:val="0"/>
        <w:snapToGrid w:val="0"/>
        <w:spacing w:line="360" w:lineRule="auto"/>
        <w:ind w:firstLine="440" w:firstLineChars="200"/>
        <w:rPr>
          <w:color w:val="auto"/>
          <w:highlight w:val="none"/>
        </w:rPr>
      </w:pPr>
      <w:r>
        <w:rPr>
          <w:rFonts w:hint="eastAsia"/>
          <w:color w:val="auto"/>
          <w:highlight w:val="none"/>
        </w:rPr>
        <w:t>签订合同后，承包人应向监理人提供一份拟在本合同工程进行现场管理的施工员名单，包括监理人要求的有关证明材料。监理人将对符合资格要求的施工员进行造册登记，并发给项目施工员证。</w:t>
      </w:r>
    </w:p>
    <w:p>
      <w:pPr>
        <w:adjustRightInd w:val="0"/>
        <w:snapToGrid w:val="0"/>
        <w:spacing w:line="360" w:lineRule="auto"/>
        <w:ind w:firstLine="440" w:firstLineChars="200"/>
        <w:rPr>
          <w:color w:val="auto"/>
          <w:highlight w:val="none"/>
        </w:rPr>
      </w:pPr>
      <w:r>
        <w:rPr>
          <w:rFonts w:hint="eastAsia"/>
          <w:color w:val="auto"/>
          <w:highlight w:val="none"/>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w:t>
      </w:r>
      <w:r>
        <w:rPr>
          <w:rFonts w:hint="eastAsia"/>
          <w:color w:val="auto"/>
          <w:highlight w:val="none"/>
          <w:lang w:val="en-US"/>
        </w:rPr>
        <w:t>。</w:t>
      </w:r>
      <w:r>
        <w:rPr>
          <w:rFonts w:hint="eastAsia"/>
          <w:color w:val="auto"/>
          <w:highlight w:val="none"/>
        </w:rPr>
        <w:t>施工员必须佩带项目施工员证上岗。</w:t>
      </w:r>
    </w:p>
    <w:p>
      <w:pPr>
        <w:adjustRightInd w:val="0"/>
        <w:snapToGrid w:val="0"/>
        <w:spacing w:line="360" w:lineRule="auto"/>
        <w:ind w:firstLine="550" w:firstLineChars="250"/>
        <w:rPr>
          <w:rFonts w:cs="PMingLiU"/>
          <w:color w:val="auto"/>
          <w:highlight w:val="none"/>
        </w:rPr>
      </w:pPr>
      <w:r>
        <w:rPr>
          <w:rFonts w:hint="eastAsia" w:cs="PMingLiU"/>
          <w:color w:val="auto"/>
          <w:highlight w:val="none"/>
        </w:rPr>
        <w:t>在施工过程中，监理人只要有充分的理由，可以随时取消不能令其满意的施工员的</w:t>
      </w:r>
      <w:r>
        <w:rPr>
          <w:rFonts w:hint="eastAsia" w:cs="PMingLiU"/>
          <w:color w:val="auto"/>
          <w:highlight w:val="none"/>
          <w:lang w:val="en-US"/>
        </w:rPr>
        <w:t>资格，</w:t>
      </w:r>
      <w:r>
        <w:rPr>
          <w:rFonts w:hint="eastAsia" w:cs="PMingLiU"/>
          <w:color w:val="auto"/>
          <w:highlight w:val="none"/>
        </w:rPr>
        <w:t>收回项目施工员证。</w:t>
      </w:r>
    </w:p>
    <w:p>
      <w:pPr>
        <w:pStyle w:val="243"/>
        <w:keepNext/>
        <w:keepLines/>
        <w:shd w:val="clear" w:color="auto" w:fill="auto"/>
        <w:adjustRightInd w:val="0"/>
        <w:snapToGrid w:val="0"/>
        <w:spacing w:line="360" w:lineRule="auto"/>
        <w:ind w:firstLine="0"/>
        <w:outlineLvl w:val="9"/>
        <w:rPr>
          <w:rStyle w:val="238"/>
          <w:rFonts w:ascii="宋体" w:hAnsi="宋体" w:eastAsia="宋体"/>
          <w:color w:val="auto"/>
          <w:highlight w:val="none"/>
        </w:rPr>
      </w:pPr>
      <w:bookmarkStart w:id="3060" w:name="bookmark10"/>
    </w:p>
    <w:p>
      <w:pPr>
        <w:adjustRightInd w:val="0"/>
        <w:snapToGrid w:val="0"/>
        <w:spacing w:line="360" w:lineRule="auto"/>
        <w:rPr>
          <w:rFonts w:cs="PMingLiU"/>
          <w:b/>
          <w:bCs/>
          <w:color w:val="auto"/>
          <w:spacing w:val="10"/>
          <w:highlight w:val="none"/>
          <w:lang w:val="en-US" w:bidi="en-US"/>
        </w:rPr>
      </w:pPr>
      <w:bookmarkStart w:id="3061" w:name="_Toc5861"/>
      <w:bookmarkStart w:id="3062" w:name="_Toc26970"/>
      <w:bookmarkStart w:id="3063" w:name="_Toc13965"/>
      <w:bookmarkStart w:id="3064" w:name="_Toc14473"/>
      <w:bookmarkStart w:id="3065" w:name="_Toc28567"/>
      <w:bookmarkStart w:id="3066" w:name="_Toc2431"/>
      <w:bookmarkStart w:id="3067" w:name="_Toc16489"/>
      <w:bookmarkStart w:id="3068" w:name="_Toc28596"/>
      <w:bookmarkStart w:id="3069" w:name="_Toc1988"/>
      <w:bookmarkStart w:id="3070" w:name="_Toc26471"/>
      <w:bookmarkStart w:id="3071" w:name="_Toc17275"/>
      <w:r>
        <w:rPr>
          <w:rFonts w:cs="PMingLiU"/>
          <w:b/>
          <w:bCs/>
          <w:color w:val="auto"/>
          <w:spacing w:val="10"/>
          <w:highlight w:val="none"/>
          <w:lang w:val="en-US" w:bidi="en-US"/>
        </w:rPr>
        <w:t>4.8</w:t>
      </w:r>
      <w:r>
        <w:rPr>
          <w:rFonts w:hint="eastAsia" w:cs="PMingLiU"/>
          <w:b/>
          <w:bCs/>
          <w:color w:val="auto"/>
          <w:spacing w:val="10"/>
          <w:highlight w:val="none"/>
          <w:lang w:val="en-US" w:bidi="en-US"/>
        </w:rPr>
        <w:t>保障承包人人员的合法权益</w:t>
      </w:r>
      <w:bookmarkEnd w:id="3060"/>
      <w:bookmarkEnd w:id="3061"/>
      <w:bookmarkEnd w:id="3062"/>
      <w:bookmarkEnd w:id="3063"/>
      <w:bookmarkEnd w:id="3064"/>
      <w:bookmarkEnd w:id="3065"/>
      <w:bookmarkEnd w:id="3066"/>
      <w:bookmarkEnd w:id="3067"/>
      <w:bookmarkEnd w:id="3068"/>
      <w:bookmarkEnd w:id="3069"/>
      <w:bookmarkEnd w:id="3070"/>
      <w:bookmarkEnd w:id="3071"/>
    </w:p>
    <w:p>
      <w:pPr>
        <w:adjustRightInd w:val="0"/>
        <w:snapToGrid w:val="0"/>
        <w:spacing w:line="360" w:lineRule="auto"/>
        <w:ind w:firstLine="600"/>
        <w:rPr>
          <w:color w:val="auto"/>
          <w:highlight w:val="none"/>
        </w:rPr>
      </w:pPr>
      <w:r>
        <w:rPr>
          <w:rFonts w:hint="eastAsia"/>
          <w:color w:val="auto"/>
          <w:highlight w:val="none"/>
        </w:rPr>
        <w:t>第</w:t>
      </w:r>
      <w:r>
        <w:rPr>
          <w:rStyle w:val="238"/>
          <w:rFonts w:ascii="宋体" w:hAnsi="宋体" w:eastAsia="宋体"/>
          <w:color w:val="auto"/>
          <w:sz w:val="22"/>
          <w:highlight w:val="none"/>
        </w:rPr>
        <w:t>4.8.1</w:t>
      </w:r>
      <w:r>
        <w:rPr>
          <w:rFonts w:hint="eastAsia"/>
          <w:color w:val="auto"/>
          <w:highlight w:val="none"/>
        </w:rPr>
        <w:t>项细化为：</w:t>
      </w:r>
    </w:p>
    <w:p>
      <w:pPr>
        <w:adjustRightInd w:val="0"/>
        <w:snapToGrid w:val="0"/>
        <w:spacing w:line="360" w:lineRule="auto"/>
        <w:ind w:firstLine="600"/>
        <w:rPr>
          <w:color w:val="auto"/>
          <w:highlight w:val="none"/>
        </w:rPr>
      </w:pPr>
      <w:r>
        <w:rPr>
          <w:rFonts w:hint="eastAsia"/>
          <w:color w:val="auto"/>
          <w:highlight w:val="none"/>
        </w:rPr>
        <w:t>承包人应与其雇佣的人员签订劳动合同，并按时发放工资。承包人应严格遵守国家有关解决拖欠工程款和劳务用工工资的法律、法规和规定，及时支付工程中的材料、设备货款及劳务用工工资等费用，且应签订合同。承包人不得以任何借口拖欠材料、设备货款及劳务用工工资，如果出现此种现象，一经查实后，一律通报并责令承包人自行组织资金迅速偿还欠款。对恶意拖欠和拒不按计划偿付的并且由此而影响了工程进度、质量、合同执行的承包人，发包人将依法追究其法律责任。</w:t>
      </w:r>
    </w:p>
    <w:p>
      <w:pPr>
        <w:tabs>
          <w:tab w:val="left" w:pos="117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）承包人应要求其派驻现场的项目经理部及分包人(本条款中简称“项目经理部及分包人”</w:t>
      </w:r>
      <w:r>
        <w:rPr>
          <w:rFonts w:hint="eastAsia"/>
          <w:color w:val="auto"/>
          <w:highlight w:val="none"/>
          <w:lang w:bidi="en-US"/>
        </w:rPr>
        <w:t>)</w:t>
      </w:r>
      <w:r>
        <w:rPr>
          <w:rFonts w:hint="eastAsia"/>
          <w:color w:val="auto"/>
          <w:highlight w:val="none"/>
        </w:rPr>
        <w:t>将按本合同第</w:t>
      </w:r>
      <w:r>
        <w:rPr>
          <w:rStyle w:val="238"/>
          <w:rFonts w:ascii="宋体" w:hAnsi="宋体" w:eastAsia="宋体"/>
          <w:color w:val="auto"/>
          <w:sz w:val="22"/>
          <w:highlight w:val="none"/>
        </w:rPr>
        <w:t>4.6.2</w:t>
      </w:r>
      <w:r>
        <w:rPr>
          <w:rFonts w:hint="eastAsia"/>
          <w:color w:val="auto"/>
          <w:highlight w:val="none"/>
        </w:rPr>
        <w:t>项向本项目直接派遣的人员报发包人及监理人备案，并应按《劳动合同法》与雇佣的本合同第</w:t>
      </w:r>
      <w:r>
        <w:rPr>
          <w:rStyle w:val="238"/>
          <w:rFonts w:ascii="宋体" w:hAnsi="宋体" w:eastAsia="宋体"/>
          <w:color w:val="auto"/>
          <w:sz w:val="22"/>
          <w:highlight w:val="none"/>
        </w:rPr>
        <w:t>4.6.2</w:t>
      </w:r>
      <w:r>
        <w:rPr>
          <w:rFonts w:hint="eastAsia"/>
          <w:color w:val="auto"/>
          <w:highlight w:val="none"/>
        </w:rPr>
        <w:t>项所列管理人员、技术人员及专业技工签订劳动合同。</w:t>
      </w:r>
    </w:p>
    <w:p>
      <w:pPr>
        <w:tabs>
          <w:tab w:val="left" w:pos="117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）项目经理部及分包人应按《劳动合同法》与其所雇佣且工作期限在1个月以上的本合同第</w:t>
      </w:r>
    </w:p>
    <w:p>
      <w:pPr>
        <w:tabs>
          <w:tab w:val="left" w:pos="1176"/>
        </w:tabs>
        <w:adjustRightInd w:val="0"/>
        <w:snapToGrid w:val="0"/>
        <w:spacing w:line="360" w:lineRule="auto"/>
        <w:rPr>
          <w:color w:val="auto"/>
          <w:highlight w:val="none"/>
        </w:rPr>
      </w:pPr>
      <w:r>
        <w:rPr>
          <w:rStyle w:val="238"/>
          <w:rFonts w:ascii="宋体" w:hAnsi="宋体" w:eastAsia="宋体"/>
          <w:color w:val="auto"/>
          <w:sz w:val="22"/>
          <w:highlight w:val="none"/>
        </w:rPr>
        <w:t>4.6.2</w:t>
      </w:r>
      <w:r>
        <w:rPr>
          <w:rFonts w:hint="eastAsia"/>
          <w:color w:val="auto"/>
          <w:highlight w:val="none"/>
        </w:rPr>
        <w:t>项所列普工(含劳务工)签订如下格式的集体劳动合同。</w:t>
      </w:r>
    </w:p>
    <w:p>
      <w:pPr>
        <w:pStyle w:val="255"/>
        <w:framePr w:w="9302" w:h="308" w:hRule="exact" w:wrap="notBeside" w:vAnchor="text" w:hAnchor="page" w:x="1380" w:y="17"/>
        <w:shd w:val="clear" w:color="auto" w:fill="auto"/>
        <w:adjustRightInd w:val="0"/>
        <w:snapToGrid w:val="0"/>
        <w:spacing w:line="360" w:lineRule="auto"/>
        <w:jc w:val="center"/>
        <w:rPr>
          <w:rFonts w:ascii="宋体" w:hAnsi="宋体" w:eastAsia="宋体"/>
          <w:color w:val="auto"/>
          <w:highlight w:val="none"/>
        </w:rPr>
      </w:pPr>
      <w:r>
        <w:rPr>
          <w:rStyle w:val="239"/>
          <w:rFonts w:hint="eastAsia" w:ascii="宋体" w:hAnsi="宋体" w:eastAsia="宋体"/>
          <w:color w:val="auto"/>
          <w:sz w:val="22"/>
          <w:szCs w:val="22"/>
          <w:highlight w:val="none"/>
        </w:rPr>
        <w:t>XX</w:t>
      </w:r>
      <w:r>
        <w:rPr>
          <w:rFonts w:hint="eastAsia" w:ascii="宋体" w:hAnsi="宋体" w:eastAsia="宋体"/>
          <w:color w:val="auto"/>
          <w:highlight w:val="none"/>
        </w:rPr>
        <w:t>项目集体劳动合同</w:t>
      </w:r>
    </w:p>
    <w:tbl>
      <w:tblPr>
        <w:tblStyle w:val="47"/>
        <w:tblpPr w:leftFromText="180" w:rightFromText="180" w:vertAnchor="text" w:tblpY="1"/>
        <w:tblOverlap w:val="never"/>
        <w:tblW w:w="8484" w:type="dxa"/>
        <w:tblInd w:w="0" w:type="dxa"/>
        <w:tblLayout w:type="fixed"/>
        <w:tblCellMar>
          <w:top w:w="0" w:type="dxa"/>
          <w:left w:w="10" w:type="dxa"/>
          <w:bottom w:w="0" w:type="dxa"/>
          <w:right w:w="10" w:type="dxa"/>
        </w:tblCellMar>
      </w:tblPr>
      <w:tblGrid>
        <w:gridCol w:w="852"/>
        <w:gridCol w:w="993"/>
        <w:gridCol w:w="1134"/>
        <w:gridCol w:w="709"/>
        <w:gridCol w:w="708"/>
        <w:gridCol w:w="851"/>
        <w:gridCol w:w="850"/>
        <w:gridCol w:w="567"/>
        <w:gridCol w:w="567"/>
        <w:gridCol w:w="740"/>
        <w:gridCol w:w="513"/>
      </w:tblGrid>
      <w:tr>
        <w:trPr>
          <w:trHeight w:val="557" w:hRule="exact"/>
        </w:trPr>
        <w:tc>
          <w:tcPr>
            <w:tcW w:w="852" w:type="dxa"/>
            <w:tcBorders>
              <w:top w:val="single" w:color="auto" w:sz="4" w:space="0"/>
              <w:left w:val="single" w:color="auto" w:sz="4" w:space="0"/>
              <w:bottom w:val="nil"/>
              <w:right w:val="nil"/>
            </w:tcBorders>
            <w:shd w:val="clear" w:color="auto" w:fill="FFFFFF"/>
            <w:vAlign w:val="center"/>
          </w:tcPr>
          <w:p>
            <w:pPr>
              <w:ind w:left="260"/>
              <w:rPr>
                <w:color w:val="auto"/>
                <w:highlight w:val="none"/>
              </w:rPr>
            </w:pPr>
            <w:r>
              <w:rPr>
                <w:rStyle w:val="238"/>
                <w:rFonts w:ascii="宋体" w:hAnsi="宋体" w:eastAsia="宋体"/>
                <w:color w:val="auto"/>
                <w:highlight w:val="none"/>
              </w:rPr>
              <w:t>工号</w:t>
            </w:r>
          </w:p>
        </w:tc>
        <w:tc>
          <w:tcPr>
            <w:tcW w:w="993" w:type="dxa"/>
            <w:tcBorders>
              <w:top w:val="single" w:color="auto" w:sz="4" w:space="0"/>
              <w:left w:val="single" w:color="auto" w:sz="4" w:space="0"/>
              <w:bottom w:val="nil"/>
              <w:right w:val="nil"/>
            </w:tcBorders>
            <w:shd w:val="clear" w:color="auto" w:fill="FFFFFF"/>
            <w:vAlign w:val="center"/>
          </w:tcPr>
          <w:p>
            <w:pPr>
              <w:ind w:left="160"/>
              <w:rPr>
                <w:color w:val="auto"/>
                <w:highlight w:val="none"/>
              </w:rPr>
            </w:pPr>
            <w:r>
              <w:rPr>
                <w:rStyle w:val="238"/>
                <w:rFonts w:ascii="宋体" w:hAnsi="宋体" w:eastAsia="宋体"/>
                <w:color w:val="auto"/>
                <w:highlight w:val="none"/>
              </w:rPr>
              <w:t>居住地</w:t>
            </w:r>
          </w:p>
        </w:tc>
        <w:tc>
          <w:tcPr>
            <w:tcW w:w="1134" w:type="dxa"/>
            <w:tcBorders>
              <w:top w:val="single" w:color="auto" w:sz="4" w:space="0"/>
              <w:left w:val="single" w:color="auto" w:sz="4" w:space="0"/>
              <w:bottom w:val="nil"/>
              <w:right w:val="nil"/>
            </w:tcBorders>
            <w:shd w:val="clear" w:color="auto" w:fill="FFFFFF"/>
            <w:vAlign w:val="center"/>
          </w:tcPr>
          <w:p>
            <w:pPr>
              <w:ind w:left="180"/>
              <w:rPr>
                <w:color w:val="auto"/>
                <w:highlight w:val="none"/>
              </w:rPr>
            </w:pPr>
            <w:r>
              <w:rPr>
                <w:rStyle w:val="238"/>
                <w:rFonts w:ascii="宋体" w:hAnsi="宋体" w:eastAsia="宋体"/>
                <w:color w:val="auto"/>
                <w:highlight w:val="none"/>
              </w:rPr>
              <w:t>身份证号</w:t>
            </w:r>
          </w:p>
        </w:tc>
        <w:tc>
          <w:tcPr>
            <w:tcW w:w="709" w:type="dxa"/>
            <w:tcBorders>
              <w:top w:val="single" w:color="auto" w:sz="4" w:space="0"/>
              <w:left w:val="single" w:color="auto" w:sz="4" w:space="0"/>
              <w:bottom w:val="nil"/>
              <w:right w:val="nil"/>
            </w:tcBorders>
            <w:shd w:val="clear" w:color="auto" w:fill="FFFFFF"/>
            <w:vAlign w:val="center"/>
          </w:tcPr>
          <w:p>
            <w:pPr>
              <w:ind w:left="160"/>
              <w:rPr>
                <w:color w:val="auto"/>
                <w:highlight w:val="none"/>
              </w:rPr>
            </w:pPr>
            <w:r>
              <w:rPr>
                <w:rStyle w:val="238"/>
                <w:rFonts w:ascii="宋体" w:hAnsi="宋体" w:eastAsia="宋体"/>
                <w:color w:val="auto"/>
                <w:highlight w:val="none"/>
              </w:rPr>
              <w:t>工种</w:t>
            </w:r>
          </w:p>
        </w:tc>
        <w:tc>
          <w:tcPr>
            <w:tcW w:w="708" w:type="dxa"/>
            <w:tcBorders>
              <w:top w:val="single" w:color="auto" w:sz="4" w:space="0"/>
              <w:left w:val="single" w:color="auto" w:sz="4" w:space="0"/>
              <w:bottom w:val="nil"/>
              <w:right w:val="nil"/>
            </w:tcBorders>
            <w:shd w:val="clear" w:color="auto" w:fill="FFFFFF"/>
            <w:vAlign w:val="bottom"/>
          </w:tcPr>
          <w:p>
            <w:pPr>
              <w:spacing w:after="80"/>
              <w:ind w:left="160"/>
              <w:rPr>
                <w:color w:val="auto"/>
                <w:highlight w:val="none"/>
              </w:rPr>
            </w:pPr>
            <w:r>
              <w:rPr>
                <w:rStyle w:val="238"/>
                <w:rFonts w:ascii="宋体" w:hAnsi="宋体" w:eastAsia="宋体"/>
                <w:color w:val="auto"/>
                <w:highlight w:val="none"/>
              </w:rPr>
              <w:t>合同期限</w:t>
            </w:r>
          </w:p>
        </w:tc>
        <w:tc>
          <w:tcPr>
            <w:tcW w:w="851" w:type="dxa"/>
            <w:tcBorders>
              <w:top w:val="single" w:color="auto" w:sz="4" w:space="0"/>
              <w:left w:val="single" w:color="auto" w:sz="4" w:space="0"/>
              <w:bottom w:val="nil"/>
              <w:right w:val="nil"/>
            </w:tcBorders>
            <w:shd w:val="clear" w:color="auto" w:fill="FFFFFF"/>
            <w:vAlign w:val="bottom"/>
          </w:tcPr>
          <w:p>
            <w:pPr>
              <w:spacing w:after="80"/>
              <w:ind w:left="160"/>
              <w:rPr>
                <w:color w:val="auto"/>
                <w:highlight w:val="none"/>
              </w:rPr>
            </w:pPr>
            <w:r>
              <w:rPr>
                <w:rStyle w:val="238"/>
                <w:rFonts w:ascii="宋体" w:hAnsi="宋体" w:eastAsia="宋体"/>
                <w:color w:val="auto"/>
                <w:highlight w:val="none"/>
              </w:rPr>
              <w:t>休息及</w:t>
            </w:r>
          </w:p>
          <w:p>
            <w:pPr>
              <w:spacing w:before="80"/>
              <w:ind w:left="260"/>
              <w:rPr>
                <w:color w:val="auto"/>
                <w:highlight w:val="none"/>
              </w:rPr>
            </w:pPr>
            <w:r>
              <w:rPr>
                <w:rStyle w:val="238"/>
                <w:rFonts w:ascii="宋体" w:hAnsi="宋体" w:eastAsia="宋体"/>
                <w:color w:val="auto"/>
                <w:highlight w:val="none"/>
              </w:rPr>
              <w:t>休假</w:t>
            </w:r>
          </w:p>
        </w:tc>
        <w:tc>
          <w:tcPr>
            <w:tcW w:w="850" w:type="dxa"/>
            <w:tcBorders>
              <w:top w:val="single" w:color="auto" w:sz="4" w:space="0"/>
              <w:left w:val="single" w:color="auto" w:sz="4" w:space="0"/>
              <w:bottom w:val="nil"/>
              <w:right w:val="nil"/>
            </w:tcBorders>
            <w:shd w:val="clear" w:color="auto" w:fill="FFFFFF"/>
            <w:vAlign w:val="bottom"/>
          </w:tcPr>
          <w:p>
            <w:pPr>
              <w:jc w:val="center"/>
              <w:rPr>
                <w:color w:val="auto"/>
                <w:highlight w:val="none"/>
              </w:rPr>
            </w:pPr>
            <w:r>
              <w:rPr>
                <w:rStyle w:val="238"/>
                <w:rFonts w:ascii="宋体" w:hAnsi="宋体" w:eastAsia="宋体"/>
                <w:color w:val="auto"/>
                <w:highlight w:val="none"/>
              </w:rPr>
              <w:t>报酬及发放方式</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rPr>
                <w:rStyle w:val="238"/>
                <w:rFonts w:ascii="宋体" w:hAnsi="宋体" w:eastAsia="宋体"/>
                <w:color w:val="auto"/>
                <w:highlight w:val="none"/>
              </w:rPr>
            </w:pPr>
            <w:r>
              <w:rPr>
                <w:rStyle w:val="238"/>
                <w:rFonts w:ascii="宋体" w:hAnsi="宋体" w:eastAsia="宋体"/>
                <w:color w:val="auto"/>
                <w:highlight w:val="none"/>
              </w:rPr>
              <w:t>社保</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ind w:left="10"/>
              <w:rPr>
                <w:rStyle w:val="238"/>
                <w:rFonts w:ascii="宋体" w:hAnsi="宋体" w:eastAsia="宋体"/>
                <w:color w:val="auto"/>
                <w:highlight w:val="none"/>
              </w:rPr>
            </w:pPr>
            <w:r>
              <w:rPr>
                <w:rStyle w:val="238"/>
                <w:rFonts w:ascii="宋体" w:hAnsi="宋体" w:eastAsia="宋体"/>
                <w:color w:val="auto"/>
                <w:highlight w:val="none"/>
              </w:rPr>
              <w:t>劳保</w:t>
            </w:r>
          </w:p>
        </w:tc>
        <w:tc>
          <w:tcPr>
            <w:tcW w:w="740" w:type="dxa"/>
            <w:tcBorders>
              <w:top w:val="single" w:color="auto" w:sz="4" w:space="0"/>
              <w:left w:val="nil"/>
              <w:bottom w:val="single" w:color="auto" w:sz="4" w:space="0"/>
              <w:right w:val="single" w:color="auto" w:sz="4" w:space="0"/>
            </w:tcBorders>
          </w:tcPr>
          <w:p>
            <w:pPr>
              <w:spacing w:after="80"/>
              <w:ind w:left="160"/>
              <w:rPr>
                <w:rStyle w:val="238"/>
                <w:rFonts w:ascii="宋体" w:hAnsi="宋体" w:eastAsia="宋体"/>
                <w:color w:val="auto"/>
                <w:highlight w:val="none"/>
              </w:rPr>
            </w:pPr>
            <w:r>
              <w:rPr>
                <w:rStyle w:val="238"/>
                <w:rFonts w:ascii="宋体" w:hAnsi="宋体" w:eastAsia="宋体"/>
                <w:color w:val="auto"/>
                <w:highlight w:val="none"/>
              </w:rPr>
              <w:t>联系电话</w:t>
            </w:r>
          </w:p>
        </w:tc>
        <w:tc>
          <w:tcPr>
            <w:tcW w:w="513" w:type="dxa"/>
            <w:tcBorders>
              <w:top w:val="single" w:color="auto" w:sz="4" w:space="0"/>
              <w:left w:val="nil"/>
              <w:bottom w:val="single" w:color="auto" w:sz="4" w:space="0"/>
              <w:right w:val="single" w:color="auto" w:sz="4" w:space="0"/>
            </w:tcBorders>
          </w:tcPr>
          <w:p>
            <w:pPr>
              <w:spacing w:after="80"/>
              <w:ind w:left="160"/>
              <w:rPr>
                <w:rStyle w:val="238"/>
                <w:rFonts w:ascii="宋体" w:hAnsi="宋体" w:eastAsia="宋体"/>
                <w:color w:val="auto"/>
                <w:highlight w:val="none"/>
              </w:rPr>
            </w:pPr>
            <w:r>
              <w:rPr>
                <w:rStyle w:val="238"/>
                <w:rFonts w:ascii="宋体" w:hAnsi="宋体" w:eastAsia="宋体"/>
                <w:color w:val="auto"/>
                <w:highlight w:val="none"/>
              </w:rPr>
              <w:t>签名</w:t>
            </w:r>
          </w:p>
        </w:tc>
      </w:tr>
      <w:tr>
        <w:tblPrEx>
          <w:tblCellMar>
            <w:top w:w="0" w:type="dxa"/>
            <w:left w:w="10" w:type="dxa"/>
            <w:bottom w:w="0" w:type="dxa"/>
            <w:right w:w="10" w:type="dxa"/>
          </w:tblCellMar>
        </w:tblPrEx>
        <w:trPr>
          <w:trHeight w:val="254" w:hRule="exact"/>
        </w:trPr>
        <w:tc>
          <w:tcPr>
            <w:tcW w:w="852"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93"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709"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708"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851"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850"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567" w:type="dxa"/>
            <w:tcBorders>
              <w:top w:val="single" w:color="auto" w:sz="4" w:space="0"/>
              <w:left w:val="single" w:color="auto" w:sz="4" w:space="0"/>
              <w:bottom w:val="nil"/>
              <w:right w:val="single" w:color="auto" w:sz="4" w:space="0"/>
            </w:tcBorders>
            <w:shd w:val="clear" w:color="auto" w:fill="FFFFFF"/>
          </w:tcPr>
          <w:p>
            <w:pPr>
              <w:rPr>
                <w:color w:val="auto"/>
                <w:sz w:val="10"/>
                <w:szCs w:val="10"/>
                <w:highlight w:val="none"/>
              </w:rPr>
            </w:pPr>
          </w:p>
        </w:tc>
        <w:tc>
          <w:tcPr>
            <w:tcW w:w="567" w:type="dxa"/>
            <w:tcBorders>
              <w:top w:val="single" w:color="auto" w:sz="4" w:space="0"/>
              <w:left w:val="single" w:color="auto" w:sz="4" w:space="0"/>
              <w:bottom w:val="nil"/>
              <w:right w:val="single" w:color="auto" w:sz="4" w:space="0"/>
            </w:tcBorders>
            <w:shd w:val="clear" w:color="auto" w:fill="FFFFFF"/>
          </w:tcPr>
          <w:p>
            <w:pPr>
              <w:rPr>
                <w:color w:val="auto"/>
                <w:sz w:val="10"/>
                <w:szCs w:val="10"/>
                <w:highlight w:val="none"/>
              </w:rPr>
            </w:pPr>
          </w:p>
        </w:tc>
        <w:tc>
          <w:tcPr>
            <w:tcW w:w="740" w:type="dxa"/>
            <w:tcBorders>
              <w:top w:val="single" w:color="auto" w:sz="4" w:space="0"/>
              <w:left w:val="nil"/>
              <w:bottom w:val="single" w:color="auto" w:sz="4" w:space="0"/>
              <w:right w:val="single" w:color="auto" w:sz="4" w:space="0"/>
            </w:tcBorders>
          </w:tcPr>
          <w:p>
            <w:pPr>
              <w:rPr>
                <w:color w:val="auto"/>
                <w:highlight w:val="none"/>
              </w:rPr>
            </w:pPr>
          </w:p>
        </w:tc>
        <w:tc>
          <w:tcPr>
            <w:tcW w:w="513" w:type="dxa"/>
            <w:tcBorders>
              <w:top w:val="single" w:color="auto" w:sz="4" w:space="0"/>
              <w:left w:val="nil"/>
              <w:bottom w:val="single" w:color="auto" w:sz="4" w:space="0"/>
              <w:right w:val="single" w:color="auto" w:sz="4" w:space="0"/>
            </w:tcBorders>
          </w:tcPr>
          <w:p>
            <w:pPr>
              <w:rPr>
                <w:color w:val="auto"/>
                <w:highlight w:val="none"/>
              </w:rPr>
            </w:pPr>
          </w:p>
        </w:tc>
      </w:tr>
      <w:tr>
        <w:tblPrEx>
          <w:tblCellMar>
            <w:top w:w="0" w:type="dxa"/>
            <w:left w:w="10" w:type="dxa"/>
            <w:bottom w:w="0" w:type="dxa"/>
            <w:right w:w="10" w:type="dxa"/>
          </w:tblCellMar>
        </w:tblPrEx>
        <w:trPr>
          <w:trHeight w:val="259" w:hRule="exact"/>
        </w:trPr>
        <w:tc>
          <w:tcPr>
            <w:tcW w:w="852"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93"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709"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708"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851"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850"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highlight w:val="none"/>
              </w:rPr>
            </w:pPr>
          </w:p>
        </w:tc>
        <w:tc>
          <w:tcPr>
            <w:tcW w:w="740" w:type="dxa"/>
            <w:tcBorders>
              <w:top w:val="single" w:color="auto" w:sz="4" w:space="0"/>
              <w:left w:val="nil"/>
              <w:bottom w:val="single" w:color="auto" w:sz="4" w:space="0"/>
              <w:right w:val="single" w:color="auto" w:sz="4" w:space="0"/>
            </w:tcBorders>
          </w:tcPr>
          <w:p>
            <w:pPr>
              <w:rPr>
                <w:color w:val="auto"/>
                <w:highlight w:val="none"/>
              </w:rPr>
            </w:pPr>
          </w:p>
        </w:tc>
        <w:tc>
          <w:tcPr>
            <w:tcW w:w="513" w:type="dxa"/>
            <w:tcBorders>
              <w:top w:val="single" w:color="auto" w:sz="4" w:space="0"/>
              <w:left w:val="nil"/>
              <w:bottom w:val="single" w:color="auto" w:sz="4" w:space="0"/>
              <w:right w:val="single" w:color="auto" w:sz="4" w:space="0"/>
            </w:tcBorders>
          </w:tcPr>
          <w:p>
            <w:pPr>
              <w:rPr>
                <w:color w:val="auto"/>
                <w:highlight w:val="none"/>
              </w:rPr>
            </w:pPr>
          </w:p>
        </w:tc>
      </w:tr>
    </w:tbl>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ind w:left="159"/>
        <w:rPr>
          <w:rStyle w:val="238"/>
          <w:rFonts w:ascii="宋体" w:hAnsi="宋体" w:eastAsia="宋体"/>
          <w:color w:val="auto"/>
          <w:highlight w:val="none"/>
          <w:lang w:val="en-US" w:bidi="ar-SA"/>
        </w:rPr>
      </w:pPr>
      <w:r>
        <w:rPr>
          <w:rStyle w:val="238"/>
          <w:rFonts w:ascii="宋体" w:hAnsi="宋体" w:eastAsia="宋体"/>
          <w:color w:val="auto"/>
          <w:highlight w:val="none"/>
        </w:rPr>
        <w:t>雇主名称：</w:t>
      </w:r>
      <w:r>
        <w:rPr>
          <w:rStyle w:val="238"/>
          <w:rFonts w:ascii="宋体" w:hAnsi="宋体" w:eastAsia="宋体"/>
          <w:color w:val="auto"/>
          <w:highlight w:val="none"/>
        </w:rPr>
        <w:tab/>
      </w:r>
      <w:r>
        <w:rPr>
          <w:rStyle w:val="238"/>
          <w:rFonts w:ascii="宋体" w:hAnsi="宋体" w:eastAsia="宋体"/>
          <w:color w:val="auto"/>
          <w:highlight w:val="none"/>
        </w:rPr>
        <w:t>（公章）   雇主责任人：（签名）</w:t>
      </w:r>
      <w:r>
        <w:rPr>
          <w:rStyle w:val="238"/>
          <w:rFonts w:ascii="宋体" w:hAnsi="宋体" w:eastAsia="宋体"/>
          <w:color w:val="auto"/>
          <w:highlight w:val="none"/>
        </w:rPr>
        <w:tab/>
      </w:r>
      <w:r>
        <w:rPr>
          <w:rStyle w:val="238"/>
          <w:rFonts w:ascii="宋体" w:hAnsi="宋体" w:eastAsia="宋体"/>
          <w:color w:val="auto"/>
          <w:highlight w:val="none"/>
        </w:rPr>
        <w:t xml:space="preserve">  雇主联系人：</w:t>
      </w:r>
      <w:r>
        <w:rPr>
          <w:rStyle w:val="238"/>
          <w:rFonts w:ascii="宋体" w:hAnsi="宋体" w:eastAsia="宋体"/>
          <w:color w:val="auto"/>
          <w:highlight w:val="none"/>
        </w:rPr>
        <w:tab/>
      </w:r>
      <w:r>
        <w:rPr>
          <w:rStyle w:val="238"/>
          <w:rFonts w:ascii="宋体" w:hAnsi="宋体" w:eastAsia="宋体"/>
          <w:color w:val="auto"/>
          <w:highlight w:val="none"/>
        </w:rPr>
        <w:t xml:space="preserve">   联系电话：</w:t>
      </w:r>
    </w:p>
    <w:p>
      <w:pPr>
        <w:adjustRightInd w:val="0"/>
        <w:snapToGrid w:val="0"/>
        <w:spacing w:line="360" w:lineRule="auto"/>
        <w:ind w:firstLine="330" w:firstLineChars="150"/>
        <w:rPr>
          <w:color w:val="auto"/>
          <w:highlight w:val="none"/>
          <w:lang w:bidi="en-US"/>
        </w:rPr>
      </w:pPr>
    </w:p>
    <w:p>
      <w:pPr>
        <w:adjustRightInd w:val="0"/>
        <w:snapToGrid w:val="0"/>
        <w:spacing w:line="360" w:lineRule="auto"/>
        <w:ind w:firstLine="330" w:firstLineChars="150"/>
        <w:rPr>
          <w:color w:val="auto"/>
          <w:highlight w:val="none"/>
        </w:rPr>
      </w:pPr>
      <w:r>
        <w:rPr>
          <w:rFonts w:hint="eastAsia"/>
          <w:color w:val="auto"/>
          <w:highlight w:val="none"/>
          <w:lang w:bidi="en-US"/>
        </w:rPr>
        <w:t>（3）</w:t>
      </w:r>
      <w:r>
        <w:rPr>
          <w:rFonts w:hint="eastAsia"/>
          <w:color w:val="auto"/>
          <w:highlight w:val="none"/>
        </w:rPr>
        <w:t>项目经理部及分包人在与劳务队伍签订劳务合同时，应在劳务合同中要求劳务队伍将派遣至本顶目的人员报承包人备案，并与为完成本项目劳务任务而雇用的劳务工按以下格式签订集体劳务合同报承包人备案。</w:t>
      </w:r>
    </w:p>
    <w:p>
      <w:pPr>
        <w:adjustRightInd w:val="0"/>
        <w:snapToGrid w:val="0"/>
        <w:spacing w:line="360" w:lineRule="auto"/>
        <w:ind w:firstLine="330" w:firstLineChars="150"/>
        <w:rPr>
          <w:color w:val="auto"/>
          <w:highlight w:val="none"/>
        </w:rPr>
      </w:pPr>
    </w:p>
    <w:tbl>
      <w:tblPr>
        <w:tblStyle w:val="47"/>
        <w:tblpPr w:vertAnchor="page" w:horzAnchor="page" w:tblpXSpec="center" w:tblpY="2116"/>
        <w:tblOverlap w:val="never"/>
        <w:tblW w:w="0" w:type="auto"/>
        <w:jc w:val="center"/>
        <w:tblLayout w:type="fixed"/>
        <w:tblCellMar>
          <w:top w:w="0" w:type="dxa"/>
          <w:left w:w="10" w:type="dxa"/>
          <w:bottom w:w="0" w:type="dxa"/>
          <w:right w:w="10" w:type="dxa"/>
        </w:tblCellMar>
      </w:tblPr>
      <w:tblGrid>
        <w:gridCol w:w="931"/>
        <w:gridCol w:w="926"/>
        <w:gridCol w:w="931"/>
        <w:gridCol w:w="1152"/>
        <w:gridCol w:w="706"/>
        <w:gridCol w:w="936"/>
        <w:gridCol w:w="926"/>
        <w:gridCol w:w="1118"/>
        <w:gridCol w:w="739"/>
        <w:gridCol w:w="936"/>
      </w:tblGrid>
      <w:tr>
        <w:trPr>
          <w:trHeight w:val="557" w:hRule="exact"/>
          <w:jc w:val="center"/>
        </w:trPr>
        <w:tc>
          <w:tcPr>
            <w:tcW w:w="931" w:type="dxa"/>
            <w:tcBorders>
              <w:top w:val="single" w:color="auto" w:sz="4" w:space="0"/>
              <w:left w:val="single" w:color="auto" w:sz="4" w:space="0"/>
              <w:bottom w:val="nil"/>
              <w:right w:val="nil"/>
            </w:tcBorders>
            <w:shd w:val="clear" w:color="auto" w:fill="FFFFFF"/>
            <w:vAlign w:val="center"/>
          </w:tcPr>
          <w:p>
            <w:pPr>
              <w:ind w:left="260"/>
              <w:rPr>
                <w:color w:val="auto"/>
                <w:highlight w:val="none"/>
              </w:rPr>
            </w:pPr>
            <w:r>
              <w:rPr>
                <w:rStyle w:val="238"/>
                <w:rFonts w:ascii="宋体" w:hAnsi="宋体" w:eastAsia="宋体"/>
                <w:color w:val="auto"/>
                <w:highlight w:val="none"/>
              </w:rPr>
              <w:t>姓名</w:t>
            </w:r>
          </w:p>
        </w:tc>
        <w:tc>
          <w:tcPr>
            <w:tcW w:w="926" w:type="dxa"/>
            <w:tcBorders>
              <w:top w:val="single" w:color="auto" w:sz="4" w:space="0"/>
              <w:left w:val="single" w:color="auto" w:sz="4" w:space="0"/>
              <w:bottom w:val="nil"/>
              <w:right w:val="nil"/>
            </w:tcBorders>
            <w:shd w:val="clear" w:color="auto" w:fill="FFFFFF"/>
            <w:vAlign w:val="center"/>
          </w:tcPr>
          <w:p>
            <w:pPr>
              <w:ind w:left="260"/>
              <w:rPr>
                <w:color w:val="auto"/>
                <w:highlight w:val="none"/>
              </w:rPr>
            </w:pPr>
            <w:r>
              <w:rPr>
                <w:rStyle w:val="238"/>
                <w:rFonts w:ascii="宋体" w:hAnsi="宋体" w:eastAsia="宋体"/>
                <w:color w:val="auto"/>
                <w:highlight w:val="none"/>
              </w:rPr>
              <w:t>工号</w:t>
            </w:r>
          </w:p>
        </w:tc>
        <w:tc>
          <w:tcPr>
            <w:tcW w:w="931" w:type="dxa"/>
            <w:tcBorders>
              <w:top w:val="single" w:color="auto" w:sz="4" w:space="0"/>
              <w:left w:val="single" w:color="auto" w:sz="4" w:space="0"/>
              <w:bottom w:val="nil"/>
              <w:right w:val="nil"/>
            </w:tcBorders>
            <w:shd w:val="clear" w:color="auto" w:fill="FFFFFF"/>
            <w:vAlign w:val="center"/>
          </w:tcPr>
          <w:p>
            <w:pPr>
              <w:ind w:left="160"/>
              <w:rPr>
                <w:color w:val="auto"/>
                <w:highlight w:val="none"/>
              </w:rPr>
            </w:pPr>
            <w:r>
              <w:rPr>
                <w:rStyle w:val="238"/>
                <w:rFonts w:ascii="宋体" w:hAnsi="宋体" w:eastAsia="宋体"/>
                <w:color w:val="auto"/>
                <w:highlight w:val="none"/>
              </w:rPr>
              <w:t>居住地</w:t>
            </w:r>
          </w:p>
        </w:tc>
        <w:tc>
          <w:tcPr>
            <w:tcW w:w="1152" w:type="dxa"/>
            <w:tcBorders>
              <w:top w:val="single" w:color="auto" w:sz="4" w:space="0"/>
              <w:left w:val="single" w:color="auto" w:sz="4" w:space="0"/>
              <w:bottom w:val="nil"/>
              <w:right w:val="nil"/>
            </w:tcBorders>
            <w:shd w:val="clear" w:color="auto" w:fill="FFFFFF"/>
            <w:vAlign w:val="center"/>
          </w:tcPr>
          <w:p>
            <w:pPr>
              <w:ind w:left="180"/>
              <w:rPr>
                <w:color w:val="auto"/>
                <w:highlight w:val="none"/>
              </w:rPr>
            </w:pPr>
            <w:r>
              <w:rPr>
                <w:rStyle w:val="238"/>
                <w:rFonts w:ascii="宋体" w:hAnsi="宋体" w:eastAsia="宋体"/>
                <w:color w:val="auto"/>
                <w:highlight w:val="none"/>
              </w:rPr>
              <w:t>身份证号</w:t>
            </w:r>
          </w:p>
        </w:tc>
        <w:tc>
          <w:tcPr>
            <w:tcW w:w="706" w:type="dxa"/>
            <w:tcBorders>
              <w:top w:val="single" w:color="auto" w:sz="4" w:space="0"/>
              <w:left w:val="single" w:color="auto" w:sz="4" w:space="0"/>
              <w:bottom w:val="nil"/>
              <w:right w:val="nil"/>
            </w:tcBorders>
            <w:shd w:val="clear" w:color="auto" w:fill="FFFFFF"/>
            <w:vAlign w:val="center"/>
          </w:tcPr>
          <w:p>
            <w:pPr>
              <w:ind w:left="160"/>
              <w:rPr>
                <w:color w:val="auto"/>
                <w:highlight w:val="none"/>
              </w:rPr>
            </w:pPr>
            <w:r>
              <w:rPr>
                <w:rStyle w:val="238"/>
                <w:rFonts w:ascii="宋体" w:hAnsi="宋体" w:eastAsia="宋体"/>
                <w:color w:val="auto"/>
                <w:highlight w:val="none"/>
              </w:rPr>
              <w:t>工种</w:t>
            </w:r>
          </w:p>
        </w:tc>
        <w:tc>
          <w:tcPr>
            <w:tcW w:w="936" w:type="dxa"/>
            <w:tcBorders>
              <w:top w:val="single" w:color="auto" w:sz="4" w:space="0"/>
              <w:left w:val="single" w:color="auto" w:sz="4" w:space="0"/>
              <w:bottom w:val="nil"/>
              <w:right w:val="nil"/>
            </w:tcBorders>
            <w:shd w:val="clear" w:color="auto" w:fill="FFFFFF"/>
            <w:vAlign w:val="bottom"/>
          </w:tcPr>
          <w:p>
            <w:pPr>
              <w:spacing w:after="80"/>
              <w:ind w:left="160"/>
              <w:rPr>
                <w:color w:val="auto"/>
                <w:highlight w:val="none"/>
              </w:rPr>
            </w:pPr>
            <w:r>
              <w:rPr>
                <w:rStyle w:val="238"/>
                <w:rFonts w:ascii="宋体" w:hAnsi="宋体" w:eastAsia="宋体"/>
                <w:color w:val="auto"/>
                <w:highlight w:val="none"/>
              </w:rPr>
              <w:t>合同期</w:t>
            </w:r>
          </w:p>
          <w:p>
            <w:pPr>
              <w:spacing w:before="80"/>
              <w:jc w:val="center"/>
              <w:rPr>
                <w:color w:val="auto"/>
                <w:highlight w:val="none"/>
              </w:rPr>
            </w:pPr>
            <w:r>
              <w:rPr>
                <w:rStyle w:val="238"/>
                <w:rFonts w:ascii="宋体" w:hAnsi="宋体" w:eastAsia="宋体"/>
                <w:color w:val="auto"/>
                <w:highlight w:val="none"/>
              </w:rPr>
              <w:t>限</w:t>
            </w:r>
          </w:p>
        </w:tc>
        <w:tc>
          <w:tcPr>
            <w:tcW w:w="926" w:type="dxa"/>
            <w:tcBorders>
              <w:top w:val="single" w:color="auto" w:sz="4" w:space="0"/>
              <w:left w:val="single" w:color="auto" w:sz="4" w:space="0"/>
              <w:bottom w:val="nil"/>
              <w:right w:val="nil"/>
            </w:tcBorders>
            <w:shd w:val="clear" w:color="auto" w:fill="FFFFFF"/>
            <w:vAlign w:val="bottom"/>
          </w:tcPr>
          <w:p>
            <w:pPr>
              <w:spacing w:after="80"/>
              <w:ind w:left="160"/>
              <w:rPr>
                <w:color w:val="auto"/>
                <w:highlight w:val="none"/>
              </w:rPr>
            </w:pPr>
            <w:r>
              <w:rPr>
                <w:rStyle w:val="238"/>
                <w:rFonts w:ascii="宋体" w:hAnsi="宋体" w:eastAsia="宋体"/>
                <w:color w:val="auto"/>
                <w:highlight w:val="none"/>
              </w:rPr>
              <w:t>休息及</w:t>
            </w:r>
          </w:p>
          <w:p>
            <w:pPr>
              <w:spacing w:before="80"/>
              <w:ind w:left="260"/>
              <w:rPr>
                <w:color w:val="auto"/>
                <w:highlight w:val="none"/>
              </w:rPr>
            </w:pPr>
            <w:r>
              <w:rPr>
                <w:rStyle w:val="238"/>
                <w:rFonts w:ascii="宋体" w:hAnsi="宋体" w:eastAsia="宋体"/>
                <w:color w:val="auto"/>
                <w:highlight w:val="none"/>
              </w:rPr>
              <w:t>休假</w:t>
            </w:r>
          </w:p>
        </w:tc>
        <w:tc>
          <w:tcPr>
            <w:tcW w:w="1118" w:type="dxa"/>
            <w:tcBorders>
              <w:top w:val="single" w:color="auto" w:sz="4" w:space="0"/>
              <w:left w:val="single" w:color="auto" w:sz="4" w:space="0"/>
              <w:bottom w:val="nil"/>
              <w:right w:val="nil"/>
            </w:tcBorders>
            <w:shd w:val="clear" w:color="auto" w:fill="FFFFFF"/>
            <w:vAlign w:val="bottom"/>
          </w:tcPr>
          <w:p>
            <w:pPr>
              <w:jc w:val="center"/>
              <w:rPr>
                <w:color w:val="auto"/>
                <w:highlight w:val="none"/>
              </w:rPr>
            </w:pPr>
            <w:r>
              <w:rPr>
                <w:rStyle w:val="238"/>
                <w:rFonts w:ascii="宋体" w:hAnsi="宋体" w:eastAsia="宋体"/>
                <w:color w:val="auto"/>
                <w:highlight w:val="none"/>
              </w:rPr>
              <w:t>报酬及发 放方式</w:t>
            </w:r>
          </w:p>
        </w:tc>
        <w:tc>
          <w:tcPr>
            <w:tcW w:w="739" w:type="dxa"/>
            <w:tcBorders>
              <w:top w:val="single" w:color="auto" w:sz="4" w:space="0"/>
              <w:left w:val="single" w:color="auto" w:sz="4" w:space="0"/>
              <w:bottom w:val="nil"/>
              <w:right w:val="nil"/>
            </w:tcBorders>
            <w:shd w:val="clear" w:color="auto" w:fill="FFFFFF"/>
            <w:textDirection w:val="tbRlV"/>
          </w:tcPr>
          <w:p>
            <w:pPr>
              <w:rPr>
                <w:color w:val="auto"/>
                <w:highlight w:val="none"/>
              </w:rPr>
            </w:pPr>
            <w:r>
              <w:rPr>
                <w:rStyle w:val="256"/>
                <w:rFonts w:ascii="宋体" w:hAnsi="宋体" w:eastAsia="宋体"/>
                <w:color w:val="auto"/>
                <w:highlight w:val="none"/>
              </w:rPr>
              <w:t>系话</w:t>
            </w:r>
          </w:p>
          <w:p>
            <w:pPr>
              <w:rPr>
                <w:color w:val="auto"/>
                <w:highlight w:val="none"/>
              </w:rPr>
            </w:pPr>
            <w:r>
              <w:rPr>
                <w:rStyle w:val="256"/>
                <w:rFonts w:ascii="宋体" w:hAnsi="宋体" w:eastAsia="宋体"/>
                <w:color w:val="auto"/>
                <w:highlight w:val="none"/>
              </w:rPr>
              <w:t>联电</w:t>
            </w:r>
          </w:p>
        </w:tc>
        <w:tc>
          <w:tcPr>
            <w:tcW w:w="936" w:type="dxa"/>
            <w:tcBorders>
              <w:top w:val="single" w:color="auto" w:sz="4" w:space="0"/>
              <w:left w:val="single" w:color="auto" w:sz="4" w:space="0"/>
              <w:bottom w:val="nil"/>
              <w:right w:val="single" w:color="auto" w:sz="4" w:space="0"/>
            </w:tcBorders>
            <w:shd w:val="clear" w:color="auto" w:fill="FFFFFF"/>
            <w:vAlign w:val="center"/>
          </w:tcPr>
          <w:p>
            <w:pPr>
              <w:ind w:left="260"/>
              <w:rPr>
                <w:color w:val="auto"/>
                <w:highlight w:val="none"/>
              </w:rPr>
            </w:pPr>
            <w:r>
              <w:rPr>
                <w:rStyle w:val="238"/>
                <w:rFonts w:ascii="宋体" w:hAnsi="宋体" w:eastAsia="宋体"/>
                <w:color w:val="auto"/>
                <w:highlight w:val="none"/>
              </w:rPr>
              <w:t>签名</w:t>
            </w:r>
          </w:p>
        </w:tc>
      </w:tr>
      <w:tr>
        <w:tblPrEx>
          <w:tblCellMar>
            <w:top w:w="0" w:type="dxa"/>
            <w:left w:w="10" w:type="dxa"/>
            <w:bottom w:w="0" w:type="dxa"/>
            <w:right w:w="10" w:type="dxa"/>
          </w:tblCellMar>
        </w:tblPrEx>
        <w:trPr>
          <w:trHeight w:val="254" w:hRule="exact"/>
          <w:jc w:val="center"/>
        </w:trPr>
        <w:tc>
          <w:tcPr>
            <w:tcW w:w="931"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26"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31"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1152"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706"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36"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26"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1118"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739"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36" w:type="dxa"/>
            <w:tcBorders>
              <w:top w:val="single" w:color="auto" w:sz="4" w:space="0"/>
              <w:left w:val="single" w:color="auto" w:sz="4" w:space="0"/>
              <w:bottom w:val="nil"/>
              <w:right w:val="single" w:color="auto" w:sz="4" w:space="0"/>
            </w:tcBorders>
            <w:shd w:val="clear" w:color="auto" w:fill="FFFFFF"/>
          </w:tcPr>
          <w:p>
            <w:pPr>
              <w:rPr>
                <w:color w:val="auto"/>
                <w:sz w:val="10"/>
                <w:szCs w:val="10"/>
                <w:highlight w:val="none"/>
              </w:rPr>
            </w:pPr>
          </w:p>
        </w:tc>
      </w:tr>
      <w:tr>
        <w:tblPrEx>
          <w:tblCellMar>
            <w:top w:w="0" w:type="dxa"/>
            <w:left w:w="10" w:type="dxa"/>
            <w:bottom w:w="0" w:type="dxa"/>
            <w:right w:w="10" w:type="dxa"/>
          </w:tblCellMar>
        </w:tblPrEx>
        <w:trPr>
          <w:trHeight w:val="259" w:hRule="exact"/>
          <w:jc w:val="center"/>
        </w:trPr>
        <w:tc>
          <w:tcPr>
            <w:tcW w:w="931"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26"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31"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1152"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706"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36"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26"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1118"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739"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highlight w:val="none"/>
              </w:rPr>
            </w:pPr>
          </w:p>
        </w:tc>
      </w:tr>
    </w:tbl>
    <w:p>
      <w:pPr>
        <w:pStyle w:val="255"/>
        <w:framePr w:w="9302" w:wrap="notBeside" w:vAnchor="text" w:hAnchor="page" w:x="1800" w:y="185"/>
        <w:shd w:val="clear" w:color="auto" w:fill="auto"/>
        <w:jc w:val="center"/>
        <w:rPr>
          <w:rFonts w:ascii="宋体" w:hAnsi="宋体" w:eastAsia="宋体"/>
          <w:color w:val="auto"/>
          <w:highlight w:val="none"/>
        </w:rPr>
      </w:pPr>
      <w:r>
        <w:rPr>
          <w:rStyle w:val="239"/>
          <w:rFonts w:hint="eastAsia" w:ascii="宋体" w:hAnsi="宋体" w:eastAsia="宋体"/>
          <w:color w:val="auto"/>
          <w:highlight w:val="none"/>
          <w:lang w:eastAsia="zh-CN"/>
        </w:rPr>
        <w:t>XX</w:t>
      </w:r>
      <w:r>
        <w:rPr>
          <w:rFonts w:hint="eastAsia" w:ascii="宋体" w:hAnsi="宋体" w:eastAsia="宋体"/>
          <w:color w:val="auto"/>
          <w:highlight w:val="none"/>
        </w:rPr>
        <w:t>项目</w:t>
      </w:r>
      <w:r>
        <w:rPr>
          <w:rStyle w:val="239"/>
          <w:rFonts w:hint="eastAsia" w:ascii="宋体" w:hAnsi="宋体" w:eastAsia="宋体"/>
          <w:color w:val="auto"/>
          <w:highlight w:val="none"/>
          <w:lang w:eastAsia="zh-CN"/>
        </w:rPr>
        <w:t>XX</w:t>
      </w:r>
      <w:r>
        <w:rPr>
          <w:rFonts w:hint="eastAsia" w:ascii="宋体" w:hAnsi="宋体" w:eastAsia="宋体"/>
          <w:color w:val="auto"/>
          <w:highlight w:val="none"/>
        </w:rPr>
        <w:t>劳务队伍集体劳动合同</w:t>
      </w:r>
    </w:p>
    <w:p>
      <w:pPr>
        <w:tabs>
          <w:tab w:val="left" w:pos="1190"/>
        </w:tabs>
        <w:adjustRightInd w:val="0"/>
        <w:snapToGrid w:val="0"/>
        <w:spacing w:line="360" w:lineRule="auto"/>
        <w:ind w:firstLine="440" w:firstLineChars="200"/>
        <w:rPr>
          <w:color w:val="auto"/>
          <w:highlight w:val="none"/>
          <w:lang w:bidi="en-US"/>
        </w:rPr>
      </w:pPr>
    </w:p>
    <w:p>
      <w:pPr>
        <w:pStyle w:val="259"/>
        <w:framePr w:w="9302" w:wrap="notBeside" w:vAnchor="text" w:hAnchor="page" w:x="1556" w:y="21"/>
        <w:shd w:val="clear" w:color="auto" w:fill="auto"/>
        <w:tabs>
          <w:tab w:val="left" w:pos="2347"/>
          <w:tab w:val="left" w:pos="4771"/>
          <w:tab w:val="left" w:pos="6365"/>
        </w:tabs>
        <w:spacing w:line="240" w:lineRule="auto"/>
        <w:jc w:val="left"/>
        <w:rPr>
          <w:rStyle w:val="238"/>
          <w:rFonts w:ascii="宋体" w:hAnsi="宋体" w:eastAsia="宋体"/>
          <w:color w:val="auto"/>
          <w:highlight w:val="none"/>
          <w:lang w:val="en-US" w:bidi="ar-SA"/>
        </w:rPr>
      </w:pPr>
      <w:r>
        <w:rPr>
          <w:rFonts w:hint="eastAsia" w:ascii="宋体" w:hAnsi="宋体" w:eastAsia="宋体"/>
          <w:color w:val="auto"/>
          <w:highlight w:val="none"/>
        </w:rPr>
        <w:t>劳务队伍名称：       责任人：（签名）</w:t>
      </w:r>
      <w:r>
        <w:rPr>
          <w:rFonts w:hint="eastAsia" w:ascii="宋体" w:hAnsi="宋体" w:eastAsia="宋体"/>
          <w:color w:val="auto"/>
          <w:highlight w:val="none"/>
        </w:rPr>
        <w:tab/>
      </w:r>
      <w:r>
        <w:rPr>
          <w:rFonts w:hint="eastAsia" w:ascii="宋体" w:hAnsi="宋体" w:eastAsia="宋体"/>
          <w:color w:val="auto"/>
          <w:highlight w:val="none"/>
        </w:rPr>
        <w:t xml:space="preserve">  联系人：         </w:t>
      </w:r>
      <w:r>
        <w:rPr>
          <w:rStyle w:val="238"/>
          <w:rFonts w:ascii="宋体" w:hAnsi="宋体" w:eastAsia="宋体"/>
          <w:color w:val="auto"/>
          <w:highlight w:val="none"/>
        </w:rPr>
        <w:t>联系电话:</w:t>
      </w:r>
    </w:p>
    <w:p>
      <w:pPr>
        <w:framePr w:w="9302" w:wrap="notBeside" w:vAnchor="text" w:hAnchor="page" w:x="1556" w:y="21"/>
        <w:rPr>
          <w:color w:val="auto"/>
          <w:sz w:val="2"/>
          <w:szCs w:val="2"/>
          <w:highlight w:val="none"/>
        </w:rPr>
      </w:pPr>
    </w:p>
    <w:p>
      <w:pPr>
        <w:tabs>
          <w:tab w:val="left" w:pos="1190"/>
        </w:tabs>
        <w:adjustRightInd w:val="0"/>
        <w:snapToGrid w:val="0"/>
        <w:spacing w:line="360" w:lineRule="auto"/>
        <w:ind w:firstLine="440" w:firstLineChars="200"/>
        <w:rPr>
          <w:color w:val="auto"/>
          <w:highlight w:val="none"/>
        </w:rPr>
      </w:pPr>
      <w:r>
        <w:rPr>
          <w:rFonts w:hint="eastAsia"/>
          <w:color w:val="auto"/>
          <w:highlight w:val="none"/>
          <w:lang w:bidi="en-US"/>
        </w:rPr>
        <w:t>（4）</w:t>
      </w:r>
      <w:r>
        <w:rPr>
          <w:rFonts w:hint="eastAsia"/>
          <w:color w:val="auto"/>
          <w:highlight w:val="none"/>
        </w:rPr>
        <w:t>按本合同第</w:t>
      </w:r>
      <w:r>
        <w:rPr>
          <w:rFonts w:hint="eastAsia"/>
          <w:color w:val="auto"/>
          <w:highlight w:val="none"/>
          <w:lang w:bidi="en-US"/>
        </w:rPr>
        <w:t>4.8.1 （1）</w:t>
      </w:r>
      <w:r>
        <w:rPr>
          <w:rFonts w:hint="eastAsia" w:ascii="MS Mincho" w:hAnsi="MS Mincho" w:eastAsia="MS Mincho" w:cs="MS Mincho"/>
          <w:color w:val="auto"/>
          <w:highlight w:val="none"/>
        </w:rPr>
        <w:t>〜</w:t>
      </w:r>
      <w:r>
        <w:rPr>
          <w:rFonts w:hint="eastAsia"/>
          <w:color w:val="auto"/>
          <w:highlight w:val="none"/>
          <w:lang w:bidi="en-US"/>
        </w:rPr>
        <w:t>（3）</w:t>
      </w:r>
      <w:r>
        <w:rPr>
          <w:rFonts w:hint="eastAsia"/>
          <w:color w:val="auto"/>
          <w:highlight w:val="none"/>
        </w:rPr>
        <w:t>目签订劳动合同后，承包人派驻项目现场的项目经理部应在三个工作日内将所签订合同报监理人、发包人备案，承包人应以书面型式对其项目经理部报送的合同予以确认。</w:t>
      </w:r>
    </w:p>
    <w:p>
      <w:pPr>
        <w:tabs>
          <w:tab w:val="left" w:pos="1190"/>
        </w:tabs>
        <w:adjustRightInd w:val="0"/>
        <w:snapToGrid w:val="0"/>
        <w:spacing w:line="360" w:lineRule="auto"/>
        <w:ind w:firstLine="330" w:firstLineChars="150"/>
        <w:rPr>
          <w:color w:val="auto"/>
          <w:highlight w:val="none"/>
        </w:rPr>
      </w:pPr>
      <w:r>
        <w:rPr>
          <w:rFonts w:hint="eastAsia"/>
          <w:color w:val="auto"/>
          <w:highlight w:val="none"/>
          <w:lang w:bidi="en-US"/>
        </w:rPr>
        <w:t>（5）</w:t>
      </w:r>
      <w:r>
        <w:rPr>
          <w:rFonts w:hint="eastAsia"/>
          <w:color w:val="auto"/>
          <w:highlight w:val="none"/>
        </w:rPr>
        <w:t>项目经理部及分包人应按劳动合同约定按时发放雇佣人员工资，并在每月的前3日按下表格式将上月雇佣人员（含合同到期离职人员或辞职（退）人员）工资发放情况报监理人、发包人。承包人应在其项目经理部每月工资的发放表上加盖公章予以确认，承包人拖欠的</w:t>
      </w:r>
      <w:r>
        <w:rPr>
          <w:rFonts w:hint="eastAsia"/>
          <w:color w:val="auto"/>
          <w:highlight w:val="none"/>
          <w:lang w:val="en-US"/>
        </w:rPr>
        <w:t>余款付清</w:t>
      </w:r>
      <w:r>
        <w:rPr>
          <w:rFonts w:hint="eastAsia"/>
          <w:color w:val="auto"/>
          <w:highlight w:val="none"/>
        </w:rPr>
        <w:t>时间不能超过27天，并在付清后3天内以书面形式向监理人和发包人报告，逾期未付清，</w:t>
      </w:r>
      <w:r>
        <w:rPr>
          <w:rFonts w:hint="eastAsia"/>
          <w:color w:val="auto"/>
          <w:highlight w:val="none"/>
          <w:lang w:val="en-US"/>
        </w:rPr>
        <w:t>出资人</w:t>
      </w:r>
      <w:r>
        <w:rPr>
          <w:rFonts w:hint="eastAsia"/>
          <w:color w:val="auto"/>
          <w:highlight w:val="none"/>
        </w:rPr>
        <w:t>将先行垫付，并在承包人工程进度款（或在履约保证金）中扣回。</w:t>
      </w:r>
    </w:p>
    <w:p>
      <w:pPr>
        <w:pStyle w:val="255"/>
        <w:framePr w:w="9302" w:wrap="notBeside" w:vAnchor="text" w:hAnchor="text" w:xAlign="center" w:y="1"/>
        <w:shd w:val="clear" w:color="auto" w:fill="auto"/>
        <w:adjustRightInd w:val="0"/>
        <w:snapToGrid w:val="0"/>
        <w:spacing w:line="360" w:lineRule="auto"/>
        <w:jc w:val="center"/>
        <w:rPr>
          <w:rFonts w:ascii="宋体" w:hAnsi="宋体" w:eastAsia="宋体"/>
          <w:color w:val="auto"/>
          <w:highlight w:val="none"/>
        </w:rPr>
      </w:pPr>
      <w:r>
        <w:rPr>
          <w:rStyle w:val="239"/>
          <w:rFonts w:hint="eastAsia" w:ascii="宋体" w:hAnsi="宋体" w:eastAsia="宋体"/>
          <w:color w:val="auto"/>
          <w:sz w:val="22"/>
          <w:szCs w:val="22"/>
          <w:highlight w:val="none"/>
          <w:lang w:eastAsia="zh-CN"/>
        </w:rPr>
        <w:t>X</w:t>
      </w:r>
      <w:r>
        <w:rPr>
          <w:rFonts w:hint="eastAsia" w:ascii="宋体" w:hAnsi="宋体" w:eastAsia="宋体"/>
          <w:color w:val="auto"/>
          <w:highlight w:val="none"/>
        </w:rPr>
        <w:t>月雇佣人员工资发放表</w:t>
      </w:r>
    </w:p>
    <w:tbl>
      <w:tblPr>
        <w:tblStyle w:val="47"/>
        <w:tblW w:w="9204" w:type="dxa"/>
        <w:tblInd w:w="0" w:type="dxa"/>
        <w:tblLayout w:type="fixed"/>
        <w:tblCellMar>
          <w:top w:w="0" w:type="dxa"/>
          <w:left w:w="10" w:type="dxa"/>
          <w:bottom w:w="0" w:type="dxa"/>
          <w:right w:w="10" w:type="dxa"/>
        </w:tblCellMar>
      </w:tblPr>
      <w:tblGrid>
        <w:gridCol w:w="720"/>
        <w:gridCol w:w="852"/>
        <w:gridCol w:w="993"/>
        <w:gridCol w:w="1134"/>
        <w:gridCol w:w="709"/>
        <w:gridCol w:w="567"/>
        <w:gridCol w:w="1134"/>
        <w:gridCol w:w="708"/>
        <w:gridCol w:w="567"/>
        <w:gridCol w:w="567"/>
        <w:gridCol w:w="740"/>
        <w:gridCol w:w="513"/>
      </w:tblGrid>
      <w:tr>
        <w:tblPrEx>
          <w:tblCellMar>
            <w:top w:w="0" w:type="dxa"/>
            <w:left w:w="10" w:type="dxa"/>
            <w:bottom w:w="0" w:type="dxa"/>
            <w:right w:w="10" w:type="dxa"/>
          </w:tblCellMar>
        </w:tblPrEx>
        <w:trPr>
          <w:trHeight w:val="557" w:hRule="exact"/>
        </w:trPr>
        <w:tc>
          <w:tcPr>
            <w:tcW w:w="719"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姓名</w:t>
            </w:r>
          </w:p>
        </w:tc>
        <w:tc>
          <w:tcPr>
            <w:tcW w:w="851"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工号</w:t>
            </w:r>
          </w:p>
        </w:tc>
        <w:tc>
          <w:tcPr>
            <w:tcW w:w="992"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身份证号</w:t>
            </w:r>
          </w:p>
        </w:tc>
        <w:tc>
          <w:tcPr>
            <w:tcW w:w="1134"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合同期限</w:t>
            </w:r>
          </w:p>
        </w:tc>
        <w:tc>
          <w:tcPr>
            <w:tcW w:w="709"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是否离职</w:t>
            </w:r>
          </w:p>
        </w:tc>
        <w:tc>
          <w:tcPr>
            <w:tcW w:w="567" w:type="dxa"/>
            <w:tcBorders>
              <w:top w:val="single" w:color="auto" w:sz="4" w:space="0"/>
              <w:left w:val="single" w:color="auto" w:sz="4" w:space="0"/>
              <w:bottom w:val="nil"/>
              <w:right w:val="nil"/>
            </w:tcBorders>
            <w:shd w:val="clear" w:color="auto" w:fill="FFFFFF"/>
            <w:vAlign w:val="bottom"/>
          </w:tcPr>
          <w:p>
            <w:pPr>
              <w:framePr w:w="9302" w:wrap="notBeside" w:vAnchor="text" w:hAnchor="text" w:xAlign="center" w:y="1"/>
              <w:spacing w:after="80"/>
              <w:rPr>
                <w:rStyle w:val="238"/>
                <w:rFonts w:ascii="宋体" w:hAnsi="宋体" w:eastAsia="宋体"/>
                <w:color w:val="auto"/>
                <w:highlight w:val="none"/>
              </w:rPr>
            </w:pPr>
            <w:r>
              <w:rPr>
                <w:rStyle w:val="238"/>
                <w:rFonts w:ascii="宋体" w:hAnsi="宋体" w:eastAsia="宋体"/>
                <w:color w:val="auto"/>
                <w:highlight w:val="none"/>
              </w:rPr>
              <w:t>离职原因</w:t>
            </w:r>
          </w:p>
        </w:tc>
        <w:tc>
          <w:tcPr>
            <w:tcW w:w="1134" w:type="dxa"/>
            <w:tcBorders>
              <w:top w:val="single" w:color="auto" w:sz="4" w:space="0"/>
              <w:left w:val="single" w:color="auto" w:sz="4" w:space="0"/>
              <w:bottom w:val="nil"/>
              <w:right w:val="nil"/>
            </w:tcBorders>
            <w:shd w:val="clear" w:color="auto" w:fill="FFFFFF"/>
            <w:vAlign w:val="bottom"/>
          </w:tcPr>
          <w:p>
            <w:pPr>
              <w:framePr w:w="9302" w:wrap="notBeside" w:vAnchor="text" w:hAnchor="text" w:xAlign="center" w:y="1"/>
              <w:spacing w:before="80"/>
              <w:rPr>
                <w:rStyle w:val="238"/>
                <w:rFonts w:ascii="宋体" w:hAnsi="宋体" w:eastAsia="宋体"/>
                <w:color w:val="auto"/>
                <w:highlight w:val="none"/>
              </w:rPr>
            </w:pPr>
            <w:r>
              <w:rPr>
                <w:rStyle w:val="238"/>
                <w:rFonts w:ascii="宋体" w:hAnsi="宋体" w:eastAsia="宋体"/>
                <w:color w:val="auto"/>
                <w:highlight w:val="none"/>
              </w:rPr>
              <w:t>合同报酬及发放方式</w:t>
            </w:r>
          </w:p>
        </w:tc>
        <w:tc>
          <w:tcPr>
            <w:tcW w:w="708" w:type="dxa"/>
            <w:tcBorders>
              <w:top w:val="single" w:color="auto" w:sz="4" w:space="0"/>
              <w:left w:val="single" w:color="auto" w:sz="4" w:space="0"/>
              <w:bottom w:val="nil"/>
              <w:right w:val="nil"/>
            </w:tcBorders>
            <w:shd w:val="clear" w:color="auto" w:fill="FFFFFF"/>
            <w:vAlign w:val="bottom"/>
          </w:tcPr>
          <w:p>
            <w:pPr>
              <w:framePr w:w="9302" w:wrap="notBeside" w:vAnchor="text" w:hAnchor="text" w:xAlign="center" w:y="1"/>
              <w:jc w:val="center"/>
              <w:rPr>
                <w:rStyle w:val="238"/>
                <w:rFonts w:ascii="宋体" w:hAnsi="宋体" w:eastAsia="宋体"/>
                <w:color w:val="auto"/>
                <w:highlight w:val="none"/>
              </w:rPr>
            </w:pPr>
            <w:r>
              <w:rPr>
                <w:rStyle w:val="238"/>
                <w:rFonts w:ascii="宋体" w:hAnsi="宋体" w:eastAsia="宋体"/>
                <w:color w:val="auto"/>
                <w:highlight w:val="none"/>
              </w:rPr>
              <w:t>应发工资</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实发工资</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拖欠数</w:t>
            </w:r>
          </w:p>
        </w:tc>
        <w:tc>
          <w:tcPr>
            <w:tcW w:w="740" w:type="dxa"/>
            <w:tcBorders>
              <w:top w:val="single" w:color="auto" w:sz="4" w:space="0"/>
              <w:left w:val="nil"/>
              <w:bottom w:val="single" w:color="auto" w:sz="4" w:space="0"/>
              <w:right w:val="single" w:color="auto" w:sz="4" w:space="0"/>
            </w:tcBorders>
          </w:tcPr>
          <w:p>
            <w:pPr>
              <w:framePr w:w="9302" w:wrap="notBeside" w:vAnchor="text" w:hAnchor="text" w:xAlign="center" w:y="1"/>
              <w:spacing w:after="80"/>
              <w:ind w:left="160"/>
              <w:rPr>
                <w:rStyle w:val="238"/>
                <w:rFonts w:ascii="宋体" w:hAnsi="宋体" w:eastAsia="宋体"/>
                <w:color w:val="auto"/>
                <w:highlight w:val="none"/>
              </w:rPr>
            </w:pPr>
            <w:r>
              <w:rPr>
                <w:rStyle w:val="238"/>
                <w:rFonts w:ascii="宋体" w:hAnsi="宋体" w:eastAsia="宋体"/>
                <w:color w:val="auto"/>
                <w:highlight w:val="none"/>
              </w:rPr>
              <w:t>余款付清时间</w:t>
            </w:r>
          </w:p>
        </w:tc>
        <w:tc>
          <w:tcPr>
            <w:tcW w:w="513" w:type="dxa"/>
            <w:tcBorders>
              <w:top w:val="single" w:color="auto" w:sz="4" w:space="0"/>
              <w:left w:val="nil"/>
              <w:bottom w:val="single" w:color="auto" w:sz="4" w:space="0"/>
              <w:right w:val="single" w:color="auto" w:sz="4" w:space="0"/>
            </w:tcBorders>
          </w:tcPr>
          <w:p>
            <w:pPr>
              <w:framePr w:w="9302" w:wrap="notBeside" w:vAnchor="text" w:hAnchor="text" w:xAlign="center" w:y="1"/>
              <w:spacing w:after="80"/>
              <w:ind w:left="160"/>
              <w:rPr>
                <w:rStyle w:val="238"/>
                <w:rFonts w:ascii="宋体" w:hAnsi="宋体" w:eastAsia="宋体"/>
                <w:color w:val="auto"/>
                <w:highlight w:val="none"/>
              </w:rPr>
            </w:pPr>
            <w:r>
              <w:rPr>
                <w:rStyle w:val="238"/>
                <w:rFonts w:ascii="宋体" w:hAnsi="宋体" w:eastAsia="宋体"/>
                <w:color w:val="auto"/>
                <w:highlight w:val="none"/>
              </w:rPr>
              <w:t>签名</w:t>
            </w:r>
          </w:p>
        </w:tc>
      </w:tr>
      <w:tr>
        <w:tblPrEx>
          <w:tblCellMar>
            <w:top w:w="0" w:type="dxa"/>
            <w:left w:w="10" w:type="dxa"/>
            <w:bottom w:w="0" w:type="dxa"/>
            <w:right w:w="10" w:type="dxa"/>
          </w:tblCellMar>
        </w:tblPrEx>
        <w:trPr>
          <w:trHeight w:val="254" w:hRule="exact"/>
        </w:trPr>
        <w:tc>
          <w:tcPr>
            <w:tcW w:w="719"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851"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992"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709"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708"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nil"/>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nil"/>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740"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c>
          <w:tcPr>
            <w:tcW w:w="513"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r>
      <w:tr>
        <w:tblPrEx>
          <w:tblCellMar>
            <w:top w:w="0" w:type="dxa"/>
            <w:left w:w="10" w:type="dxa"/>
            <w:bottom w:w="0" w:type="dxa"/>
            <w:right w:w="10" w:type="dxa"/>
          </w:tblCellMar>
        </w:tblPrEx>
        <w:trPr>
          <w:trHeight w:val="259" w:hRule="exact"/>
        </w:trPr>
        <w:tc>
          <w:tcPr>
            <w:tcW w:w="719"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851"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992"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709"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708"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740"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c>
          <w:tcPr>
            <w:tcW w:w="513"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r>
    </w:tbl>
    <w:p>
      <w:pPr>
        <w:framePr w:w="9302" w:wrap="notBeside" w:vAnchor="text" w:hAnchor="text" w:xAlign="center" w:y="1"/>
        <w:spacing w:line="190" w:lineRule="exact"/>
        <w:ind w:left="160"/>
        <w:rPr>
          <w:rStyle w:val="238"/>
          <w:rFonts w:ascii="宋体" w:hAnsi="宋体" w:eastAsia="宋体"/>
          <w:color w:val="auto"/>
          <w:highlight w:val="none"/>
        </w:rPr>
      </w:pPr>
    </w:p>
    <w:p>
      <w:pPr>
        <w:framePr w:w="9302" w:wrap="notBeside" w:vAnchor="text" w:hAnchor="text" w:xAlign="center" w:y="1"/>
        <w:ind w:left="159"/>
        <w:rPr>
          <w:rStyle w:val="238"/>
          <w:rFonts w:ascii="宋体" w:hAnsi="宋体" w:eastAsia="宋体"/>
          <w:color w:val="auto"/>
          <w:highlight w:val="none"/>
          <w:lang w:val="en-US" w:bidi="ar-SA"/>
        </w:rPr>
      </w:pPr>
      <w:r>
        <w:rPr>
          <w:rStyle w:val="238"/>
          <w:rFonts w:ascii="宋体" w:hAnsi="宋体" w:eastAsia="宋体"/>
          <w:color w:val="auto"/>
          <w:highlight w:val="none"/>
        </w:rPr>
        <w:t>雇主名称：</w:t>
      </w:r>
      <w:r>
        <w:rPr>
          <w:rStyle w:val="238"/>
          <w:rFonts w:ascii="宋体" w:hAnsi="宋体" w:eastAsia="宋体"/>
          <w:color w:val="auto"/>
          <w:highlight w:val="none"/>
        </w:rPr>
        <w:tab/>
      </w:r>
      <w:r>
        <w:rPr>
          <w:rStyle w:val="238"/>
          <w:rFonts w:ascii="宋体" w:hAnsi="宋体" w:eastAsia="宋体"/>
          <w:color w:val="auto"/>
          <w:highlight w:val="none"/>
        </w:rPr>
        <w:t>（公章）   雇主责任人：（签名）</w:t>
      </w:r>
      <w:r>
        <w:rPr>
          <w:rStyle w:val="238"/>
          <w:rFonts w:ascii="宋体" w:hAnsi="宋体" w:eastAsia="宋体"/>
          <w:color w:val="auto"/>
          <w:highlight w:val="none"/>
        </w:rPr>
        <w:tab/>
      </w:r>
      <w:r>
        <w:rPr>
          <w:rStyle w:val="238"/>
          <w:rFonts w:ascii="宋体" w:hAnsi="宋体" w:eastAsia="宋体"/>
          <w:color w:val="auto"/>
          <w:highlight w:val="none"/>
        </w:rPr>
        <w:t xml:space="preserve">  雇主联系人：</w:t>
      </w:r>
      <w:r>
        <w:rPr>
          <w:rStyle w:val="238"/>
          <w:rFonts w:ascii="宋体" w:hAnsi="宋体" w:eastAsia="宋体"/>
          <w:color w:val="auto"/>
          <w:highlight w:val="none"/>
        </w:rPr>
        <w:tab/>
      </w:r>
      <w:r>
        <w:rPr>
          <w:rStyle w:val="238"/>
          <w:rFonts w:ascii="宋体" w:hAnsi="宋体" w:eastAsia="宋体"/>
          <w:color w:val="auto"/>
          <w:highlight w:val="none"/>
        </w:rPr>
        <w:t xml:space="preserve">   联系电话：</w:t>
      </w:r>
    </w:p>
    <w:p>
      <w:pPr>
        <w:pStyle w:val="255"/>
        <w:framePr w:w="9302" w:wrap="notBeside" w:vAnchor="text" w:hAnchor="text" w:xAlign="center" w:y="1"/>
        <w:shd w:val="clear" w:color="auto" w:fill="auto"/>
        <w:rPr>
          <w:color w:val="auto"/>
          <w:highlight w:val="none"/>
        </w:rPr>
      </w:pPr>
    </w:p>
    <w:p>
      <w:pPr>
        <w:adjustRightInd w:val="0"/>
        <w:snapToGrid w:val="0"/>
        <w:spacing w:line="360" w:lineRule="auto"/>
        <w:ind w:firstLine="440" w:firstLineChars="200"/>
        <w:rPr>
          <w:color w:val="auto"/>
          <w:highlight w:val="none"/>
        </w:rPr>
      </w:pPr>
      <w:r>
        <w:rPr>
          <w:rFonts w:hint="eastAsia"/>
          <w:color w:val="auto"/>
          <w:highlight w:val="none"/>
          <w:lang w:bidi="en-US"/>
        </w:rPr>
        <w:t>（6）</w:t>
      </w:r>
      <w:r>
        <w:rPr>
          <w:rFonts w:hint="eastAsia"/>
          <w:color w:val="auto"/>
          <w:highlight w:val="none"/>
        </w:rPr>
        <w:t>项目经理部及分包人在与劳务队伍签订劳务合同时，应在劳务合同中规定劳务队伍应交纳劳务款总数的2%作为劳务工工资支付保证金，并在劳务合同中要求劳务队伍按时发放劳务工资，在每月的前3日按下表格式将上月雇佣劳务工（含合同到期离职人员或辞职（退）人员）工资发放情况报承包人。劳务合同中应规定劳务队伍拖欠劳务工的工资余款付清肘间不能超过27天，并在付清后3天内以书面形式向承包人报告，逾期未付清，由承包人将先行垫付，并在劳务队伍的劳务款（或劳务工资支付保证金）中扣回。</w:t>
      </w:r>
    </w:p>
    <w:p>
      <w:pPr>
        <w:pStyle w:val="255"/>
        <w:framePr w:w="9302" w:wrap="notBeside" w:vAnchor="text" w:hAnchor="text" w:xAlign="center" w:y="1"/>
        <w:shd w:val="clear" w:color="auto" w:fill="auto"/>
        <w:adjustRightInd w:val="0"/>
        <w:snapToGrid w:val="0"/>
        <w:spacing w:line="360" w:lineRule="auto"/>
        <w:jc w:val="center"/>
        <w:rPr>
          <w:rFonts w:ascii="宋体" w:hAnsi="宋体" w:eastAsia="宋体"/>
          <w:color w:val="auto"/>
          <w:highlight w:val="none"/>
        </w:rPr>
      </w:pPr>
      <w:r>
        <w:rPr>
          <w:rStyle w:val="239"/>
          <w:rFonts w:hint="eastAsia" w:ascii="宋体" w:hAnsi="宋体" w:eastAsia="宋体"/>
          <w:color w:val="auto"/>
          <w:sz w:val="22"/>
          <w:szCs w:val="22"/>
          <w:highlight w:val="none"/>
          <w:lang w:eastAsia="zh-CN"/>
        </w:rPr>
        <w:t>XX</w:t>
      </w:r>
      <w:r>
        <w:rPr>
          <w:rFonts w:hint="eastAsia" w:ascii="宋体" w:hAnsi="宋体" w:eastAsia="宋体"/>
          <w:color w:val="auto"/>
          <w:highlight w:val="none"/>
        </w:rPr>
        <w:t>劳务队伍</w:t>
      </w:r>
      <w:r>
        <w:rPr>
          <w:rStyle w:val="239"/>
          <w:rFonts w:hint="eastAsia" w:ascii="宋体" w:hAnsi="宋体" w:eastAsia="宋体"/>
          <w:color w:val="auto"/>
          <w:sz w:val="22"/>
          <w:szCs w:val="22"/>
          <w:highlight w:val="none"/>
          <w:lang w:eastAsia="zh-CN"/>
        </w:rPr>
        <w:t>X</w:t>
      </w:r>
      <w:r>
        <w:rPr>
          <w:rFonts w:hint="eastAsia" w:ascii="宋体" w:hAnsi="宋体" w:eastAsia="宋体"/>
          <w:color w:val="auto"/>
          <w:highlight w:val="none"/>
        </w:rPr>
        <w:t>月工资发放表</w:t>
      </w:r>
    </w:p>
    <w:tbl>
      <w:tblPr>
        <w:tblStyle w:val="47"/>
        <w:tblW w:w="9204" w:type="dxa"/>
        <w:tblInd w:w="0" w:type="dxa"/>
        <w:tblLayout w:type="fixed"/>
        <w:tblCellMar>
          <w:top w:w="0" w:type="dxa"/>
          <w:left w:w="10" w:type="dxa"/>
          <w:bottom w:w="0" w:type="dxa"/>
          <w:right w:w="10" w:type="dxa"/>
        </w:tblCellMar>
      </w:tblPr>
      <w:tblGrid>
        <w:gridCol w:w="720"/>
        <w:gridCol w:w="852"/>
        <w:gridCol w:w="993"/>
        <w:gridCol w:w="1134"/>
        <w:gridCol w:w="709"/>
        <w:gridCol w:w="567"/>
        <w:gridCol w:w="1134"/>
        <w:gridCol w:w="708"/>
        <w:gridCol w:w="567"/>
        <w:gridCol w:w="567"/>
        <w:gridCol w:w="837"/>
        <w:gridCol w:w="416"/>
      </w:tblGrid>
      <w:tr>
        <w:tblPrEx>
          <w:tblCellMar>
            <w:top w:w="0" w:type="dxa"/>
            <w:left w:w="10" w:type="dxa"/>
            <w:bottom w:w="0" w:type="dxa"/>
            <w:right w:w="10" w:type="dxa"/>
          </w:tblCellMar>
        </w:tblPrEx>
        <w:trPr>
          <w:trHeight w:val="557" w:hRule="exact"/>
        </w:trPr>
        <w:tc>
          <w:tcPr>
            <w:tcW w:w="720"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姓名</w:t>
            </w:r>
          </w:p>
        </w:tc>
        <w:tc>
          <w:tcPr>
            <w:tcW w:w="852"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工号</w:t>
            </w:r>
          </w:p>
        </w:tc>
        <w:tc>
          <w:tcPr>
            <w:tcW w:w="993"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身份证号</w:t>
            </w:r>
          </w:p>
        </w:tc>
        <w:tc>
          <w:tcPr>
            <w:tcW w:w="1134"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合同期限</w:t>
            </w:r>
          </w:p>
        </w:tc>
        <w:tc>
          <w:tcPr>
            <w:tcW w:w="709" w:type="dxa"/>
            <w:tcBorders>
              <w:top w:val="single" w:color="auto" w:sz="4" w:space="0"/>
              <w:left w:val="single" w:color="auto" w:sz="4" w:space="0"/>
              <w:bottom w:val="nil"/>
              <w:right w:val="nil"/>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是否离职</w:t>
            </w:r>
          </w:p>
        </w:tc>
        <w:tc>
          <w:tcPr>
            <w:tcW w:w="567" w:type="dxa"/>
            <w:tcBorders>
              <w:top w:val="single" w:color="auto" w:sz="4" w:space="0"/>
              <w:left w:val="single" w:color="auto" w:sz="4" w:space="0"/>
              <w:bottom w:val="nil"/>
              <w:right w:val="nil"/>
            </w:tcBorders>
            <w:shd w:val="clear" w:color="auto" w:fill="FFFFFF"/>
            <w:vAlign w:val="bottom"/>
          </w:tcPr>
          <w:p>
            <w:pPr>
              <w:framePr w:w="9302" w:wrap="notBeside" w:vAnchor="text" w:hAnchor="text" w:xAlign="center" w:y="1"/>
              <w:spacing w:after="80"/>
              <w:rPr>
                <w:rStyle w:val="238"/>
                <w:rFonts w:ascii="宋体" w:hAnsi="宋体" w:eastAsia="宋体"/>
                <w:color w:val="auto"/>
                <w:highlight w:val="none"/>
              </w:rPr>
            </w:pPr>
            <w:r>
              <w:rPr>
                <w:rStyle w:val="238"/>
                <w:rFonts w:ascii="宋体" w:hAnsi="宋体" w:eastAsia="宋体"/>
                <w:color w:val="auto"/>
                <w:highlight w:val="none"/>
              </w:rPr>
              <w:t>离职原因</w:t>
            </w:r>
          </w:p>
        </w:tc>
        <w:tc>
          <w:tcPr>
            <w:tcW w:w="1134" w:type="dxa"/>
            <w:tcBorders>
              <w:top w:val="single" w:color="auto" w:sz="4" w:space="0"/>
              <w:left w:val="single" w:color="auto" w:sz="4" w:space="0"/>
              <w:bottom w:val="nil"/>
              <w:right w:val="nil"/>
            </w:tcBorders>
            <w:shd w:val="clear" w:color="auto" w:fill="FFFFFF"/>
            <w:vAlign w:val="bottom"/>
          </w:tcPr>
          <w:p>
            <w:pPr>
              <w:framePr w:w="9302" w:wrap="notBeside" w:vAnchor="text" w:hAnchor="text" w:xAlign="center" w:y="1"/>
              <w:spacing w:before="80"/>
              <w:rPr>
                <w:rStyle w:val="238"/>
                <w:rFonts w:ascii="宋体" w:hAnsi="宋体" w:eastAsia="宋体"/>
                <w:color w:val="auto"/>
                <w:highlight w:val="none"/>
              </w:rPr>
            </w:pPr>
            <w:r>
              <w:rPr>
                <w:rStyle w:val="238"/>
                <w:rFonts w:ascii="宋体" w:hAnsi="宋体" w:eastAsia="宋体"/>
                <w:color w:val="auto"/>
                <w:highlight w:val="none"/>
              </w:rPr>
              <w:t>合同报酬及发放方式</w:t>
            </w:r>
          </w:p>
        </w:tc>
        <w:tc>
          <w:tcPr>
            <w:tcW w:w="708" w:type="dxa"/>
            <w:tcBorders>
              <w:top w:val="single" w:color="auto" w:sz="4" w:space="0"/>
              <w:left w:val="single" w:color="auto" w:sz="4" w:space="0"/>
              <w:bottom w:val="nil"/>
              <w:right w:val="nil"/>
            </w:tcBorders>
            <w:shd w:val="clear" w:color="auto" w:fill="FFFFFF"/>
            <w:vAlign w:val="bottom"/>
          </w:tcPr>
          <w:p>
            <w:pPr>
              <w:framePr w:w="9302" w:wrap="notBeside" w:vAnchor="text" w:hAnchor="text" w:xAlign="center" w:y="1"/>
              <w:jc w:val="center"/>
              <w:rPr>
                <w:rStyle w:val="238"/>
                <w:rFonts w:ascii="宋体" w:hAnsi="宋体" w:eastAsia="宋体"/>
                <w:color w:val="auto"/>
                <w:highlight w:val="none"/>
              </w:rPr>
            </w:pPr>
            <w:r>
              <w:rPr>
                <w:rStyle w:val="238"/>
                <w:rFonts w:ascii="宋体" w:hAnsi="宋体" w:eastAsia="宋体"/>
                <w:color w:val="auto"/>
                <w:highlight w:val="none"/>
              </w:rPr>
              <w:t>应发工资</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实发工资</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framePr w:w="9302" w:wrap="notBeside" w:vAnchor="text" w:hAnchor="text" w:xAlign="center" w:y="1"/>
              <w:rPr>
                <w:rStyle w:val="238"/>
                <w:rFonts w:ascii="宋体" w:hAnsi="宋体" w:eastAsia="宋体"/>
                <w:color w:val="auto"/>
                <w:highlight w:val="none"/>
              </w:rPr>
            </w:pPr>
            <w:r>
              <w:rPr>
                <w:rStyle w:val="238"/>
                <w:rFonts w:ascii="宋体" w:hAnsi="宋体" w:eastAsia="宋体"/>
                <w:color w:val="auto"/>
                <w:highlight w:val="none"/>
              </w:rPr>
              <w:t>拖欠数</w:t>
            </w:r>
          </w:p>
        </w:tc>
        <w:tc>
          <w:tcPr>
            <w:tcW w:w="837" w:type="dxa"/>
            <w:tcBorders>
              <w:top w:val="single" w:color="auto" w:sz="4" w:space="0"/>
              <w:left w:val="nil"/>
              <w:bottom w:val="single" w:color="auto" w:sz="4" w:space="0"/>
              <w:right w:val="single" w:color="auto" w:sz="4" w:space="0"/>
            </w:tcBorders>
          </w:tcPr>
          <w:p>
            <w:pPr>
              <w:framePr w:w="9302" w:wrap="notBeside" w:vAnchor="text" w:hAnchor="text" w:xAlign="center" w:y="1"/>
              <w:spacing w:after="80"/>
              <w:ind w:left="160"/>
              <w:rPr>
                <w:rStyle w:val="238"/>
                <w:rFonts w:ascii="宋体" w:hAnsi="宋体" w:eastAsia="宋体"/>
                <w:color w:val="auto"/>
                <w:highlight w:val="none"/>
              </w:rPr>
            </w:pPr>
            <w:r>
              <w:rPr>
                <w:rStyle w:val="238"/>
                <w:rFonts w:ascii="宋体" w:hAnsi="宋体" w:eastAsia="宋体"/>
                <w:color w:val="auto"/>
                <w:highlight w:val="none"/>
              </w:rPr>
              <w:t>余款付清时间</w:t>
            </w:r>
          </w:p>
        </w:tc>
        <w:tc>
          <w:tcPr>
            <w:tcW w:w="416" w:type="dxa"/>
            <w:tcBorders>
              <w:top w:val="single" w:color="auto" w:sz="4" w:space="0"/>
              <w:left w:val="nil"/>
              <w:bottom w:val="single" w:color="auto" w:sz="4" w:space="0"/>
              <w:right w:val="single" w:color="auto" w:sz="4" w:space="0"/>
            </w:tcBorders>
          </w:tcPr>
          <w:p>
            <w:pPr>
              <w:framePr w:w="9302" w:wrap="notBeside" w:vAnchor="text" w:hAnchor="text" w:xAlign="center" w:y="1"/>
              <w:spacing w:after="80"/>
              <w:ind w:left="160"/>
              <w:rPr>
                <w:rStyle w:val="238"/>
                <w:rFonts w:ascii="宋体" w:hAnsi="宋体" w:eastAsia="宋体"/>
                <w:color w:val="auto"/>
                <w:highlight w:val="none"/>
              </w:rPr>
            </w:pPr>
            <w:r>
              <w:rPr>
                <w:rStyle w:val="238"/>
                <w:rFonts w:ascii="宋体" w:hAnsi="宋体" w:eastAsia="宋体"/>
                <w:color w:val="auto"/>
                <w:highlight w:val="none"/>
              </w:rPr>
              <w:t>签名</w:t>
            </w:r>
          </w:p>
        </w:tc>
      </w:tr>
      <w:tr>
        <w:tblPrEx>
          <w:tblCellMar>
            <w:top w:w="0" w:type="dxa"/>
            <w:left w:w="10" w:type="dxa"/>
            <w:bottom w:w="0" w:type="dxa"/>
            <w:right w:w="10" w:type="dxa"/>
          </w:tblCellMar>
        </w:tblPrEx>
        <w:trPr>
          <w:trHeight w:val="254" w:hRule="exact"/>
        </w:trPr>
        <w:tc>
          <w:tcPr>
            <w:tcW w:w="720"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852"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993"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709"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708" w:type="dxa"/>
            <w:tcBorders>
              <w:top w:val="single" w:color="auto" w:sz="4" w:space="0"/>
              <w:left w:val="single" w:color="auto" w:sz="4" w:space="0"/>
              <w:bottom w:val="nil"/>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nil"/>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nil"/>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837"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c>
          <w:tcPr>
            <w:tcW w:w="416"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r>
      <w:tr>
        <w:tblPrEx>
          <w:tblCellMar>
            <w:top w:w="0" w:type="dxa"/>
            <w:left w:w="10" w:type="dxa"/>
            <w:bottom w:w="0" w:type="dxa"/>
            <w:right w:w="10" w:type="dxa"/>
          </w:tblCellMar>
        </w:tblPrEx>
        <w:trPr>
          <w:trHeight w:val="259" w:hRule="exact"/>
        </w:trPr>
        <w:tc>
          <w:tcPr>
            <w:tcW w:w="720"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852"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993"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709"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708" w:type="dxa"/>
            <w:tcBorders>
              <w:top w:val="single" w:color="auto" w:sz="4" w:space="0"/>
              <w:left w:val="single" w:color="auto" w:sz="4" w:space="0"/>
              <w:bottom w:val="single" w:color="auto" w:sz="4" w:space="0"/>
              <w:right w:val="nil"/>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pPr>
              <w:framePr w:w="9302" w:wrap="notBeside" w:vAnchor="text" w:hAnchor="text" w:xAlign="center" w:y="1"/>
              <w:rPr>
                <w:color w:val="auto"/>
                <w:sz w:val="10"/>
                <w:szCs w:val="10"/>
                <w:highlight w:val="none"/>
              </w:rPr>
            </w:pPr>
          </w:p>
        </w:tc>
        <w:tc>
          <w:tcPr>
            <w:tcW w:w="837"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c>
          <w:tcPr>
            <w:tcW w:w="416" w:type="dxa"/>
            <w:tcBorders>
              <w:top w:val="single" w:color="auto" w:sz="4" w:space="0"/>
              <w:left w:val="nil"/>
              <w:bottom w:val="single" w:color="auto" w:sz="4" w:space="0"/>
              <w:right w:val="single" w:color="auto" w:sz="4" w:space="0"/>
            </w:tcBorders>
          </w:tcPr>
          <w:p>
            <w:pPr>
              <w:framePr w:w="9302" w:wrap="notBeside" w:vAnchor="text" w:hAnchor="text" w:xAlign="center" w:y="1"/>
              <w:rPr>
                <w:color w:val="auto"/>
                <w:highlight w:val="none"/>
              </w:rPr>
            </w:pPr>
          </w:p>
        </w:tc>
      </w:tr>
    </w:tbl>
    <w:p>
      <w:pPr>
        <w:pStyle w:val="259"/>
        <w:framePr w:w="9302" w:wrap="notBeside" w:vAnchor="text" w:hAnchor="text" w:xAlign="center" w:y="1"/>
        <w:shd w:val="clear" w:color="auto" w:fill="auto"/>
        <w:tabs>
          <w:tab w:val="left" w:pos="2357"/>
          <w:tab w:val="left" w:pos="4862"/>
          <w:tab w:val="left" w:pos="6499"/>
        </w:tabs>
        <w:jc w:val="left"/>
        <w:rPr>
          <w:rFonts w:ascii="宋体" w:hAnsi="宋体" w:eastAsia="宋体"/>
          <w:color w:val="auto"/>
          <w:highlight w:val="none"/>
        </w:rPr>
      </w:pPr>
    </w:p>
    <w:p>
      <w:pPr>
        <w:pStyle w:val="259"/>
        <w:framePr w:w="9302" w:wrap="notBeside" w:vAnchor="text" w:hAnchor="text" w:xAlign="center" w:y="1"/>
        <w:shd w:val="clear" w:color="auto" w:fill="auto"/>
        <w:tabs>
          <w:tab w:val="left" w:pos="2357"/>
          <w:tab w:val="left" w:pos="4862"/>
          <w:tab w:val="left" w:pos="6499"/>
        </w:tabs>
        <w:spacing w:line="240" w:lineRule="auto"/>
        <w:jc w:val="left"/>
        <w:rPr>
          <w:rFonts w:ascii="宋体" w:hAnsi="宋体" w:eastAsia="宋体"/>
          <w:color w:val="auto"/>
          <w:highlight w:val="none"/>
        </w:rPr>
      </w:pPr>
      <w:r>
        <w:rPr>
          <w:rFonts w:hint="eastAsia" w:ascii="宋体" w:hAnsi="宋体" w:eastAsia="宋体"/>
          <w:color w:val="auto"/>
          <w:highlight w:val="none"/>
        </w:rPr>
        <w:t>劳务队伍名称：</w:t>
      </w:r>
      <w:r>
        <w:rPr>
          <w:rFonts w:hint="eastAsia" w:ascii="宋体" w:hAnsi="宋体" w:eastAsia="宋体"/>
          <w:color w:val="auto"/>
          <w:highlight w:val="none"/>
        </w:rPr>
        <w:tab/>
      </w:r>
      <w:r>
        <w:rPr>
          <w:rFonts w:hint="eastAsia" w:ascii="宋体" w:hAnsi="宋体" w:eastAsia="宋体"/>
          <w:color w:val="auto"/>
          <w:highlight w:val="none"/>
        </w:rPr>
        <w:t>责任人：（签名）</w:t>
      </w:r>
      <w:r>
        <w:rPr>
          <w:rFonts w:hint="eastAsia" w:ascii="宋体" w:hAnsi="宋体" w:eastAsia="宋体"/>
          <w:color w:val="auto"/>
          <w:highlight w:val="none"/>
        </w:rPr>
        <w:tab/>
      </w:r>
      <w:r>
        <w:rPr>
          <w:rFonts w:hint="eastAsia" w:ascii="宋体" w:hAnsi="宋体" w:eastAsia="宋体"/>
          <w:color w:val="auto"/>
          <w:highlight w:val="none"/>
        </w:rPr>
        <w:t>联系人：</w:t>
      </w:r>
      <w:r>
        <w:rPr>
          <w:rFonts w:hint="eastAsia" w:ascii="宋体" w:hAnsi="宋体" w:eastAsia="宋体"/>
          <w:color w:val="auto"/>
          <w:highlight w:val="none"/>
        </w:rPr>
        <w:tab/>
      </w:r>
      <w:r>
        <w:rPr>
          <w:rFonts w:hint="eastAsia" w:ascii="宋体" w:hAnsi="宋体" w:eastAsia="宋体"/>
          <w:color w:val="auto"/>
          <w:highlight w:val="none"/>
        </w:rPr>
        <w:t>联系电话:</w:t>
      </w:r>
    </w:p>
    <w:p>
      <w:pPr>
        <w:pStyle w:val="247"/>
        <w:shd w:val="clear" w:color="auto" w:fill="auto"/>
        <w:spacing w:line="240" w:lineRule="auto"/>
        <w:ind w:firstLine="210" w:firstLineChars="100"/>
        <w:jc w:val="left"/>
        <w:rPr>
          <w:rFonts w:ascii="宋体" w:hAnsi="宋体" w:eastAsia="宋体"/>
          <w:color w:val="auto"/>
          <w:highlight w:val="none"/>
        </w:rPr>
      </w:pPr>
      <w:r>
        <w:rPr>
          <w:rFonts w:hint="eastAsia" w:ascii="宋体" w:hAnsi="宋体" w:eastAsia="宋体"/>
          <w:color w:val="auto"/>
          <w:highlight w:val="none"/>
        </w:rPr>
        <w:t>承包人（公章）          标段监理：              驻地监理：</w:t>
      </w:r>
    </w:p>
    <w:p>
      <w:pPr>
        <w:tabs>
          <w:tab w:val="left" w:pos="1194"/>
        </w:tabs>
        <w:adjustRightInd w:val="0"/>
        <w:snapToGrid w:val="0"/>
        <w:spacing w:line="360" w:lineRule="auto"/>
        <w:ind w:firstLine="440" w:firstLineChars="200"/>
        <w:rPr>
          <w:color w:val="auto"/>
          <w:highlight w:val="none"/>
          <w:lang w:bidi="en-US"/>
        </w:rPr>
      </w:pPr>
      <w:r>
        <w:rPr>
          <w:rFonts w:hint="eastAsia"/>
          <w:color w:val="auto"/>
          <w:highlight w:val="none"/>
        </w:rPr>
        <w:t>（7）</w:t>
      </w:r>
      <w:r>
        <w:rPr>
          <w:rFonts w:hint="eastAsia"/>
          <w:color w:val="auto"/>
          <w:highlight w:val="none"/>
          <w:lang w:bidi="en-US"/>
        </w:rPr>
        <w:t>承包人派驻现场的项目经理部应在每月的前6日将上月标段劳务队伍上报的工资发放原始表报发包人和监理人备案，并对上月劳务队伍工资拖欠及再前一月的拖欠余款支付情况进行说明，承包人应对其项目经理部的上报资料进行书面确认。对拖欠劳务工工资超过1个月且承包人未进行垫付的，由</w:t>
      </w:r>
      <w:r>
        <w:rPr>
          <w:rFonts w:hint="eastAsia"/>
          <w:color w:val="auto"/>
          <w:highlight w:val="none"/>
          <w:lang w:val="en-US" w:bidi="en-US"/>
        </w:rPr>
        <w:t>出资人</w:t>
      </w:r>
      <w:r>
        <w:rPr>
          <w:rFonts w:hint="eastAsia"/>
          <w:color w:val="auto"/>
          <w:highlight w:val="none"/>
          <w:lang w:bidi="en-US"/>
        </w:rPr>
        <w:t>先行垫付，并在</w:t>
      </w:r>
      <w:r>
        <w:rPr>
          <w:rFonts w:hint="eastAsia"/>
          <w:color w:val="auto"/>
          <w:highlight w:val="none"/>
          <w:lang w:val="en-US" w:bidi="en-US"/>
        </w:rPr>
        <w:t>承包人</w:t>
      </w:r>
      <w:r>
        <w:rPr>
          <w:rFonts w:hint="eastAsia"/>
          <w:color w:val="auto"/>
          <w:highlight w:val="none"/>
          <w:lang w:bidi="en-US"/>
        </w:rPr>
        <w:t>工程进度款（或在履约保证金）中扣回。</w:t>
      </w:r>
    </w:p>
    <w:p>
      <w:pPr>
        <w:tabs>
          <w:tab w:val="left" w:pos="1194"/>
        </w:tabs>
        <w:adjustRightInd w:val="0"/>
        <w:snapToGrid w:val="0"/>
        <w:spacing w:line="360" w:lineRule="auto"/>
        <w:ind w:firstLine="440" w:firstLineChars="200"/>
        <w:rPr>
          <w:color w:val="auto"/>
          <w:highlight w:val="none"/>
          <w:lang w:bidi="en-US"/>
        </w:rPr>
      </w:pPr>
      <w:r>
        <w:rPr>
          <w:rFonts w:hint="eastAsia"/>
          <w:color w:val="auto"/>
          <w:highlight w:val="none"/>
          <w:lang w:bidi="en-US"/>
        </w:rPr>
        <w:t>（8）承包人派驻现场的项目经理部在申请最后一次计量支付前，应付清所有雇佣人员工资，并按下表格式将雇佣人员工资支付汇总报发包人和监理人备案，承包人应报表上加盖公章确认。如承包人存在拖欠雇佣人员</w:t>
      </w:r>
      <w:r>
        <w:rPr>
          <w:rFonts w:hint="eastAsia"/>
          <w:color w:val="auto"/>
          <w:highlight w:val="none"/>
          <w:lang w:val="en-US" w:bidi="en-US"/>
        </w:rPr>
        <w:t>工资</w:t>
      </w:r>
      <w:r>
        <w:rPr>
          <w:rFonts w:hint="eastAsia"/>
          <w:color w:val="auto"/>
          <w:highlight w:val="none"/>
          <w:lang w:bidi="en-US"/>
        </w:rPr>
        <w:t>情况，出资人将先行垫付，并在承包人最后一次计暈款（或履约保证金）中扣回。</w:t>
      </w:r>
    </w:p>
    <w:p>
      <w:pPr>
        <w:tabs>
          <w:tab w:val="left" w:pos="1194"/>
        </w:tabs>
        <w:adjustRightInd w:val="0"/>
        <w:snapToGrid w:val="0"/>
        <w:spacing w:line="360" w:lineRule="auto"/>
        <w:ind w:firstLine="440" w:firstLineChars="200"/>
        <w:rPr>
          <w:color w:val="auto"/>
          <w:highlight w:val="none"/>
          <w:lang w:bidi="en-US"/>
        </w:rPr>
      </w:pPr>
    </w:p>
    <w:p>
      <w:pPr>
        <w:pStyle w:val="255"/>
        <w:framePr w:w="9302" w:wrap="notBeside" w:vAnchor="text" w:hAnchor="text" w:xAlign="center" w:y="1"/>
        <w:shd w:val="clear" w:color="auto" w:fill="auto"/>
        <w:adjustRightInd w:val="0"/>
        <w:snapToGrid w:val="0"/>
        <w:spacing w:line="360" w:lineRule="auto"/>
        <w:jc w:val="center"/>
        <w:rPr>
          <w:rFonts w:ascii="宋体" w:hAnsi="宋体" w:eastAsia="宋体"/>
          <w:color w:val="auto"/>
          <w:highlight w:val="none"/>
        </w:rPr>
      </w:pPr>
      <w:r>
        <w:rPr>
          <w:rFonts w:hint="eastAsia" w:ascii="宋体" w:hAnsi="宋体" w:eastAsia="宋体"/>
          <w:color w:val="auto"/>
          <w:highlight w:val="none"/>
        </w:rPr>
        <w:t>雇佣人员工资发放汇总表</w:t>
      </w:r>
    </w:p>
    <w:tbl>
      <w:tblPr>
        <w:tblStyle w:val="47"/>
        <w:tblpPr w:leftFromText="180" w:rightFromText="180" w:vertAnchor="text" w:tblpY="1"/>
        <w:tblOverlap w:val="never"/>
        <w:tblW w:w="8940" w:type="dxa"/>
        <w:tblInd w:w="0" w:type="dxa"/>
        <w:tblLayout w:type="fixed"/>
        <w:tblCellMar>
          <w:top w:w="0" w:type="dxa"/>
          <w:left w:w="10" w:type="dxa"/>
          <w:bottom w:w="0" w:type="dxa"/>
          <w:right w:w="10" w:type="dxa"/>
        </w:tblCellMar>
      </w:tblPr>
      <w:tblGrid>
        <w:gridCol w:w="718"/>
        <w:gridCol w:w="851"/>
        <w:gridCol w:w="992"/>
        <w:gridCol w:w="1134"/>
        <w:gridCol w:w="1377"/>
        <w:gridCol w:w="1458"/>
        <w:gridCol w:w="850"/>
        <w:gridCol w:w="709"/>
        <w:gridCol w:w="851"/>
      </w:tblGrid>
      <w:tr>
        <w:tblPrEx>
          <w:tblCellMar>
            <w:top w:w="0" w:type="dxa"/>
            <w:left w:w="10" w:type="dxa"/>
            <w:bottom w:w="0" w:type="dxa"/>
            <w:right w:w="10" w:type="dxa"/>
          </w:tblCellMar>
        </w:tblPrEx>
        <w:trPr>
          <w:trHeight w:val="557" w:hRule="exact"/>
        </w:trPr>
        <w:tc>
          <w:tcPr>
            <w:tcW w:w="719" w:type="dxa"/>
            <w:tcBorders>
              <w:top w:val="single" w:color="auto" w:sz="4" w:space="0"/>
              <w:left w:val="single" w:color="auto" w:sz="4" w:space="0"/>
              <w:bottom w:val="nil"/>
              <w:right w:val="nil"/>
            </w:tcBorders>
            <w:shd w:val="clear" w:color="auto" w:fill="FFFFFF"/>
            <w:vAlign w:val="center"/>
          </w:tcPr>
          <w:p>
            <w:pPr>
              <w:ind w:left="260"/>
              <w:rPr>
                <w:color w:val="auto"/>
                <w:highlight w:val="none"/>
              </w:rPr>
            </w:pPr>
            <w:r>
              <w:rPr>
                <w:rStyle w:val="238"/>
                <w:rFonts w:ascii="宋体" w:hAnsi="宋体" w:eastAsia="宋体"/>
                <w:color w:val="auto"/>
                <w:highlight w:val="none"/>
              </w:rPr>
              <w:t>姓名</w:t>
            </w:r>
          </w:p>
        </w:tc>
        <w:tc>
          <w:tcPr>
            <w:tcW w:w="851" w:type="dxa"/>
            <w:tcBorders>
              <w:top w:val="single" w:color="auto" w:sz="4" w:space="0"/>
              <w:left w:val="single" w:color="auto" w:sz="4" w:space="0"/>
              <w:bottom w:val="nil"/>
              <w:right w:val="nil"/>
            </w:tcBorders>
            <w:shd w:val="clear" w:color="auto" w:fill="FFFFFF"/>
            <w:vAlign w:val="center"/>
          </w:tcPr>
          <w:p>
            <w:pPr>
              <w:ind w:left="260"/>
              <w:rPr>
                <w:color w:val="auto"/>
                <w:highlight w:val="none"/>
              </w:rPr>
            </w:pPr>
            <w:r>
              <w:rPr>
                <w:rStyle w:val="238"/>
                <w:rFonts w:ascii="宋体" w:hAnsi="宋体" w:eastAsia="宋体"/>
                <w:color w:val="auto"/>
                <w:highlight w:val="none"/>
              </w:rPr>
              <w:t>工号</w:t>
            </w:r>
          </w:p>
        </w:tc>
        <w:tc>
          <w:tcPr>
            <w:tcW w:w="992" w:type="dxa"/>
            <w:tcBorders>
              <w:top w:val="single" w:color="auto" w:sz="4" w:space="0"/>
              <w:left w:val="single" w:color="auto" w:sz="4" w:space="0"/>
              <w:bottom w:val="nil"/>
              <w:right w:val="nil"/>
            </w:tcBorders>
            <w:shd w:val="clear" w:color="auto" w:fill="FFFFFF"/>
            <w:vAlign w:val="center"/>
          </w:tcPr>
          <w:p>
            <w:pPr>
              <w:ind w:left="160"/>
              <w:rPr>
                <w:rStyle w:val="238"/>
                <w:rFonts w:ascii="宋体" w:hAnsi="宋体" w:eastAsia="宋体"/>
                <w:color w:val="auto"/>
                <w:highlight w:val="none"/>
              </w:rPr>
            </w:pPr>
            <w:r>
              <w:rPr>
                <w:rStyle w:val="238"/>
                <w:rFonts w:ascii="宋体" w:hAnsi="宋体" w:eastAsia="宋体"/>
                <w:color w:val="auto"/>
                <w:highlight w:val="none"/>
              </w:rPr>
              <w:t>身份证号</w:t>
            </w:r>
          </w:p>
        </w:tc>
        <w:tc>
          <w:tcPr>
            <w:tcW w:w="1134" w:type="dxa"/>
            <w:tcBorders>
              <w:top w:val="single" w:color="auto" w:sz="4" w:space="0"/>
              <w:left w:val="single" w:color="auto" w:sz="4" w:space="0"/>
              <w:bottom w:val="nil"/>
              <w:right w:val="nil"/>
            </w:tcBorders>
            <w:shd w:val="clear" w:color="auto" w:fill="FFFFFF"/>
            <w:vAlign w:val="center"/>
          </w:tcPr>
          <w:p>
            <w:pPr>
              <w:ind w:left="180"/>
              <w:rPr>
                <w:rStyle w:val="238"/>
                <w:rFonts w:ascii="宋体" w:hAnsi="宋体" w:eastAsia="宋体"/>
                <w:color w:val="auto"/>
                <w:highlight w:val="none"/>
              </w:rPr>
            </w:pPr>
            <w:r>
              <w:rPr>
                <w:rStyle w:val="238"/>
                <w:rFonts w:ascii="宋体" w:hAnsi="宋体" w:eastAsia="宋体"/>
                <w:color w:val="auto"/>
                <w:highlight w:val="none"/>
              </w:rPr>
              <w:t>合同期限</w:t>
            </w:r>
          </w:p>
        </w:tc>
        <w:tc>
          <w:tcPr>
            <w:tcW w:w="1377" w:type="dxa"/>
            <w:tcBorders>
              <w:top w:val="single" w:color="auto" w:sz="4" w:space="0"/>
              <w:left w:val="single" w:color="auto" w:sz="4" w:space="0"/>
              <w:bottom w:val="nil"/>
              <w:right w:val="nil"/>
            </w:tcBorders>
            <w:shd w:val="clear" w:color="auto" w:fill="FFFFFF"/>
            <w:vAlign w:val="center"/>
          </w:tcPr>
          <w:p>
            <w:pPr>
              <w:ind w:left="160"/>
              <w:rPr>
                <w:rStyle w:val="238"/>
                <w:rFonts w:ascii="宋体" w:hAnsi="宋体" w:eastAsia="宋体"/>
                <w:color w:val="auto"/>
                <w:highlight w:val="none"/>
              </w:rPr>
            </w:pPr>
            <w:r>
              <w:rPr>
                <w:rStyle w:val="238"/>
                <w:rFonts w:ascii="宋体" w:hAnsi="宋体" w:eastAsia="宋体"/>
                <w:color w:val="auto"/>
                <w:highlight w:val="none"/>
              </w:rPr>
              <w:t>实际工作起止时间</w:t>
            </w:r>
          </w:p>
        </w:tc>
        <w:tc>
          <w:tcPr>
            <w:tcW w:w="1458" w:type="dxa"/>
            <w:tcBorders>
              <w:top w:val="single" w:color="auto" w:sz="4" w:space="0"/>
              <w:left w:val="single" w:color="auto" w:sz="4" w:space="0"/>
              <w:bottom w:val="nil"/>
              <w:right w:val="nil"/>
            </w:tcBorders>
            <w:shd w:val="clear" w:color="auto" w:fill="FFFFFF"/>
            <w:vAlign w:val="bottom"/>
          </w:tcPr>
          <w:p>
            <w:pPr>
              <w:spacing w:after="80"/>
              <w:ind w:left="160"/>
              <w:rPr>
                <w:rStyle w:val="238"/>
                <w:rFonts w:ascii="宋体" w:hAnsi="宋体" w:eastAsia="宋体"/>
                <w:color w:val="auto"/>
                <w:highlight w:val="none"/>
              </w:rPr>
            </w:pPr>
            <w:r>
              <w:rPr>
                <w:rStyle w:val="238"/>
                <w:rFonts w:ascii="宋体" w:hAnsi="宋体" w:eastAsia="宋体"/>
                <w:color w:val="auto"/>
                <w:highlight w:val="none"/>
              </w:rPr>
              <w:t>合同报酬及发放方式</w:t>
            </w:r>
          </w:p>
        </w:tc>
        <w:tc>
          <w:tcPr>
            <w:tcW w:w="850" w:type="dxa"/>
            <w:tcBorders>
              <w:top w:val="single" w:color="auto" w:sz="4" w:space="0"/>
              <w:left w:val="single" w:color="auto" w:sz="4" w:space="0"/>
              <w:bottom w:val="nil"/>
              <w:right w:val="nil"/>
            </w:tcBorders>
            <w:shd w:val="clear" w:color="auto" w:fill="FFFFFF"/>
            <w:vAlign w:val="bottom"/>
          </w:tcPr>
          <w:p>
            <w:pPr>
              <w:spacing w:before="80"/>
              <w:ind w:left="260"/>
              <w:rPr>
                <w:rStyle w:val="238"/>
                <w:rFonts w:ascii="宋体" w:hAnsi="宋体" w:eastAsia="宋体"/>
                <w:color w:val="auto"/>
                <w:highlight w:val="none"/>
              </w:rPr>
            </w:pPr>
            <w:r>
              <w:rPr>
                <w:rStyle w:val="238"/>
                <w:rFonts w:ascii="宋体" w:hAnsi="宋体" w:eastAsia="宋体"/>
                <w:color w:val="auto"/>
                <w:highlight w:val="none"/>
              </w:rPr>
              <w:t>应发工资</w:t>
            </w:r>
          </w:p>
        </w:tc>
        <w:tc>
          <w:tcPr>
            <w:tcW w:w="709" w:type="dxa"/>
            <w:tcBorders>
              <w:top w:val="single" w:color="auto" w:sz="4" w:space="0"/>
              <w:left w:val="single" w:color="auto" w:sz="4" w:space="0"/>
              <w:bottom w:val="nil"/>
              <w:right w:val="nil"/>
            </w:tcBorders>
            <w:shd w:val="clear" w:color="auto" w:fill="FFFFFF"/>
            <w:vAlign w:val="bottom"/>
          </w:tcPr>
          <w:p>
            <w:pPr>
              <w:jc w:val="center"/>
              <w:rPr>
                <w:rStyle w:val="238"/>
                <w:rFonts w:ascii="宋体" w:hAnsi="宋体" w:eastAsia="宋体"/>
                <w:color w:val="auto"/>
                <w:highlight w:val="none"/>
              </w:rPr>
            </w:pPr>
            <w:r>
              <w:rPr>
                <w:rStyle w:val="238"/>
                <w:rFonts w:ascii="宋体" w:hAnsi="宋体" w:eastAsia="宋体"/>
                <w:color w:val="auto"/>
                <w:highlight w:val="none"/>
              </w:rPr>
              <w:t>实发工资</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rPr>
                <w:rStyle w:val="238"/>
                <w:rFonts w:ascii="宋体" w:hAnsi="宋体" w:eastAsia="宋体"/>
                <w:color w:val="auto"/>
                <w:highlight w:val="none"/>
              </w:rPr>
            </w:pPr>
            <w:r>
              <w:rPr>
                <w:rStyle w:val="238"/>
                <w:rFonts w:ascii="宋体" w:hAnsi="宋体" w:eastAsia="宋体"/>
                <w:color w:val="auto"/>
                <w:highlight w:val="none"/>
              </w:rPr>
              <w:t>签名</w:t>
            </w:r>
          </w:p>
        </w:tc>
      </w:tr>
      <w:tr>
        <w:tblPrEx>
          <w:tblCellMar>
            <w:top w:w="0" w:type="dxa"/>
            <w:left w:w="10" w:type="dxa"/>
            <w:bottom w:w="0" w:type="dxa"/>
            <w:right w:w="10" w:type="dxa"/>
          </w:tblCellMar>
        </w:tblPrEx>
        <w:trPr>
          <w:trHeight w:val="254" w:hRule="exact"/>
        </w:trPr>
        <w:tc>
          <w:tcPr>
            <w:tcW w:w="719"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851"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992"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1377"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1458"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850"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709" w:type="dxa"/>
            <w:tcBorders>
              <w:top w:val="single" w:color="auto" w:sz="4" w:space="0"/>
              <w:left w:val="single" w:color="auto" w:sz="4" w:space="0"/>
              <w:bottom w:val="nil"/>
              <w:right w:val="nil"/>
            </w:tcBorders>
            <w:shd w:val="clear" w:color="auto" w:fill="FFFFFF"/>
          </w:tcPr>
          <w:p>
            <w:pPr>
              <w:rPr>
                <w:color w:val="auto"/>
                <w:sz w:val="10"/>
                <w:szCs w:val="10"/>
                <w:highlight w:val="none"/>
              </w:rPr>
            </w:pPr>
          </w:p>
        </w:tc>
        <w:tc>
          <w:tcPr>
            <w:tcW w:w="851" w:type="dxa"/>
            <w:tcBorders>
              <w:top w:val="single" w:color="auto" w:sz="4" w:space="0"/>
              <w:left w:val="single" w:color="auto" w:sz="4" w:space="0"/>
              <w:bottom w:val="nil"/>
              <w:right w:val="single" w:color="auto" w:sz="4" w:space="0"/>
            </w:tcBorders>
            <w:shd w:val="clear" w:color="auto" w:fill="FFFFFF"/>
          </w:tcPr>
          <w:p>
            <w:pPr>
              <w:rPr>
                <w:color w:val="auto"/>
                <w:sz w:val="10"/>
                <w:szCs w:val="10"/>
                <w:highlight w:val="none"/>
              </w:rPr>
            </w:pPr>
          </w:p>
        </w:tc>
      </w:tr>
      <w:tr>
        <w:tblPrEx>
          <w:tblCellMar>
            <w:top w:w="0" w:type="dxa"/>
            <w:left w:w="10" w:type="dxa"/>
            <w:bottom w:w="0" w:type="dxa"/>
            <w:right w:w="10" w:type="dxa"/>
          </w:tblCellMar>
        </w:tblPrEx>
        <w:trPr>
          <w:trHeight w:val="259" w:hRule="exact"/>
        </w:trPr>
        <w:tc>
          <w:tcPr>
            <w:tcW w:w="719"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851"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992"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1377"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1458"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850"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709" w:type="dxa"/>
            <w:tcBorders>
              <w:top w:val="single" w:color="auto" w:sz="4" w:space="0"/>
              <w:left w:val="single" w:color="auto" w:sz="4" w:space="0"/>
              <w:bottom w:val="single" w:color="auto" w:sz="4" w:space="0"/>
              <w:right w:val="nil"/>
            </w:tcBorders>
            <w:shd w:val="clear" w:color="auto" w:fill="FFFFFF"/>
          </w:tcPr>
          <w:p>
            <w:pPr>
              <w:rPr>
                <w:color w:val="auto"/>
                <w:sz w:val="10"/>
                <w:szCs w:val="1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highlight w:val="none"/>
              </w:rPr>
            </w:pPr>
          </w:p>
        </w:tc>
      </w:tr>
    </w:tbl>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spacing w:line="190" w:lineRule="exact"/>
        <w:ind w:left="160"/>
        <w:rPr>
          <w:rStyle w:val="238"/>
          <w:rFonts w:ascii="宋体" w:hAnsi="宋体" w:eastAsia="宋体"/>
          <w:color w:val="auto"/>
          <w:highlight w:val="none"/>
        </w:rPr>
      </w:pPr>
    </w:p>
    <w:p>
      <w:pPr>
        <w:ind w:left="159"/>
        <w:rPr>
          <w:color w:val="auto"/>
          <w:spacing w:val="10"/>
          <w:sz w:val="19"/>
          <w:szCs w:val="19"/>
          <w:highlight w:val="none"/>
        </w:rPr>
      </w:pPr>
      <w:r>
        <w:rPr>
          <w:rStyle w:val="238"/>
          <w:rFonts w:ascii="宋体" w:hAnsi="宋体" w:eastAsia="宋体"/>
          <w:color w:val="auto"/>
          <w:highlight w:val="none"/>
        </w:rPr>
        <w:t>雇主名称：</w:t>
      </w:r>
      <w:r>
        <w:rPr>
          <w:rStyle w:val="238"/>
          <w:rFonts w:ascii="宋体" w:hAnsi="宋体" w:eastAsia="宋体"/>
          <w:color w:val="auto"/>
          <w:highlight w:val="none"/>
        </w:rPr>
        <w:tab/>
      </w:r>
      <w:r>
        <w:rPr>
          <w:rStyle w:val="238"/>
          <w:rFonts w:ascii="宋体" w:hAnsi="宋体" w:eastAsia="宋体"/>
          <w:color w:val="auto"/>
          <w:highlight w:val="none"/>
        </w:rPr>
        <w:t>（公章）   雇主责任人：（签名）</w:t>
      </w:r>
      <w:r>
        <w:rPr>
          <w:rStyle w:val="238"/>
          <w:rFonts w:ascii="宋体" w:hAnsi="宋体" w:eastAsia="宋体"/>
          <w:color w:val="auto"/>
          <w:highlight w:val="none"/>
        </w:rPr>
        <w:tab/>
      </w:r>
      <w:r>
        <w:rPr>
          <w:rStyle w:val="238"/>
          <w:rFonts w:ascii="宋体" w:hAnsi="宋体" w:eastAsia="宋体"/>
          <w:color w:val="auto"/>
          <w:highlight w:val="none"/>
        </w:rPr>
        <w:t xml:space="preserve">  雇主联系人：</w:t>
      </w:r>
      <w:r>
        <w:rPr>
          <w:rStyle w:val="238"/>
          <w:rFonts w:ascii="宋体" w:hAnsi="宋体" w:eastAsia="宋体"/>
          <w:color w:val="auto"/>
          <w:highlight w:val="none"/>
        </w:rPr>
        <w:tab/>
      </w:r>
      <w:r>
        <w:rPr>
          <w:rStyle w:val="238"/>
          <w:rFonts w:ascii="宋体" w:hAnsi="宋体" w:eastAsia="宋体"/>
          <w:color w:val="auto"/>
          <w:highlight w:val="none"/>
        </w:rPr>
        <w:t xml:space="preserve">   联系电话：</w:t>
      </w:r>
    </w:p>
    <w:p>
      <w:pPr>
        <w:spacing w:line="360" w:lineRule="auto"/>
        <w:ind w:firstLine="440" w:firstLineChars="200"/>
        <w:rPr>
          <w:color w:val="auto"/>
          <w:highlight w:val="none"/>
        </w:rPr>
      </w:pPr>
    </w:p>
    <w:p>
      <w:pPr>
        <w:pStyle w:val="255"/>
        <w:framePr w:w="9317" w:h="1677" w:hRule="exact" w:wrap="notBeside" w:vAnchor="text" w:hAnchor="page" w:x="1290" w:y="1893"/>
        <w:shd w:val="clear" w:color="auto" w:fill="auto"/>
        <w:spacing w:line="360" w:lineRule="auto"/>
        <w:jc w:val="center"/>
        <w:rPr>
          <w:rFonts w:ascii="宋体" w:hAnsi="宋体" w:eastAsia="宋体"/>
          <w:color w:val="auto"/>
          <w:highlight w:val="none"/>
        </w:rPr>
      </w:pPr>
      <w:r>
        <w:rPr>
          <w:rStyle w:val="239"/>
          <w:rFonts w:hint="eastAsia" w:ascii="宋体" w:hAnsi="宋体" w:eastAsia="宋体"/>
          <w:color w:val="auto"/>
          <w:highlight w:val="none"/>
          <w:lang w:eastAsia="zh-CN"/>
        </w:rPr>
        <w:t>XX</w:t>
      </w:r>
      <w:r>
        <w:rPr>
          <w:rFonts w:hint="eastAsia" w:ascii="宋体" w:hAnsi="宋体" w:eastAsia="宋体"/>
          <w:color w:val="auto"/>
          <w:highlight w:val="none"/>
        </w:rPr>
        <w:t>劳务队伍工资发放汇总表</w:t>
      </w:r>
    </w:p>
    <w:tbl>
      <w:tblPr>
        <w:tblStyle w:val="47"/>
        <w:tblW w:w="9126" w:type="dxa"/>
        <w:tblInd w:w="0" w:type="dxa"/>
        <w:tblLayout w:type="fixed"/>
        <w:tblCellMar>
          <w:top w:w="0" w:type="dxa"/>
          <w:left w:w="10" w:type="dxa"/>
          <w:bottom w:w="0" w:type="dxa"/>
          <w:right w:w="10" w:type="dxa"/>
        </w:tblCellMar>
      </w:tblPr>
      <w:tblGrid>
        <w:gridCol w:w="720"/>
        <w:gridCol w:w="852"/>
        <w:gridCol w:w="992"/>
        <w:gridCol w:w="1134"/>
        <w:gridCol w:w="1228"/>
        <w:gridCol w:w="1245"/>
        <w:gridCol w:w="795"/>
        <w:gridCol w:w="735"/>
        <w:gridCol w:w="615"/>
        <w:gridCol w:w="810"/>
      </w:tblGrid>
      <w:tr>
        <w:trPr>
          <w:trHeight w:val="557" w:hRule="exact"/>
        </w:trPr>
        <w:tc>
          <w:tcPr>
            <w:tcW w:w="720" w:type="dxa"/>
            <w:tcBorders>
              <w:top w:val="single" w:color="auto" w:sz="4" w:space="0"/>
              <w:left w:val="single" w:color="auto" w:sz="4" w:space="0"/>
              <w:bottom w:val="nil"/>
              <w:right w:val="nil"/>
            </w:tcBorders>
            <w:shd w:val="clear" w:color="auto" w:fill="FFFFFF"/>
            <w:vAlign w:val="center"/>
          </w:tcPr>
          <w:p>
            <w:pPr>
              <w:framePr w:w="9317" w:h="1677" w:hRule="exact" w:wrap="notBeside" w:vAnchor="text" w:hAnchor="page" w:x="1290" w:y="1893"/>
              <w:ind w:left="260"/>
              <w:rPr>
                <w:color w:val="auto"/>
                <w:highlight w:val="none"/>
              </w:rPr>
            </w:pPr>
            <w:r>
              <w:rPr>
                <w:rStyle w:val="238"/>
                <w:rFonts w:ascii="宋体" w:hAnsi="宋体" w:eastAsia="宋体"/>
                <w:color w:val="auto"/>
                <w:highlight w:val="none"/>
              </w:rPr>
              <w:t>姓名</w:t>
            </w:r>
          </w:p>
        </w:tc>
        <w:tc>
          <w:tcPr>
            <w:tcW w:w="852" w:type="dxa"/>
            <w:tcBorders>
              <w:top w:val="single" w:color="auto" w:sz="4" w:space="0"/>
              <w:left w:val="single" w:color="auto" w:sz="4" w:space="0"/>
              <w:bottom w:val="nil"/>
              <w:right w:val="nil"/>
            </w:tcBorders>
            <w:shd w:val="clear" w:color="auto" w:fill="FFFFFF"/>
            <w:vAlign w:val="center"/>
          </w:tcPr>
          <w:p>
            <w:pPr>
              <w:framePr w:w="9317" w:h="1677" w:hRule="exact" w:wrap="notBeside" w:vAnchor="text" w:hAnchor="page" w:x="1290" w:y="1893"/>
              <w:ind w:left="260"/>
              <w:rPr>
                <w:color w:val="auto"/>
                <w:highlight w:val="none"/>
              </w:rPr>
            </w:pPr>
            <w:r>
              <w:rPr>
                <w:rStyle w:val="238"/>
                <w:rFonts w:ascii="宋体" w:hAnsi="宋体" w:eastAsia="宋体"/>
                <w:color w:val="auto"/>
                <w:highlight w:val="none"/>
              </w:rPr>
              <w:t>工号</w:t>
            </w:r>
          </w:p>
        </w:tc>
        <w:tc>
          <w:tcPr>
            <w:tcW w:w="992" w:type="dxa"/>
            <w:tcBorders>
              <w:top w:val="single" w:color="auto" w:sz="4" w:space="0"/>
              <w:left w:val="single" w:color="auto" w:sz="4" w:space="0"/>
              <w:bottom w:val="nil"/>
              <w:right w:val="nil"/>
            </w:tcBorders>
            <w:shd w:val="clear" w:color="auto" w:fill="FFFFFF"/>
            <w:vAlign w:val="center"/>
          </w:tcPr>
          <w:p>
            <w:pPr>
              <w:framePr w:w="9317" w:h="1677" w:hRule="exact" w:wrap="notBeside" w:vAnchor="text" w:hAnchor="page" w:x="1290" w:y="1893"/>
              <w:ind w:left="160"/>
              <w:rPr>
                <w:rStyle w:val="238"/>
                <w:rFonts w:ascii="宋体" w:hAnsi="宋体" w:eastAsia="宋体"/>
                <w:color w:val="auto"/>
                <w:highlight w:val="none"/>
              </w:rPr>
            </w:pPr>
            <w:r>
              <w:rPr>
                <w:rStyle w:val="238"/>
                <w:rFonts w:ascii="宋体" w:hAnsi="宋体" w:eastAsia="宋体"/>
                <w:color w:val="auto"/>
                <w:highlight w:val="none"/>
              </w:rPr>
              <w:t>身份证号</w:t>
            </w:r>
          </w:p>
        </w:tc>
        <w:tc>
          <w:tcPr>
            <w:tcW w:w="1134" w:type="dxa"/>
            <w:tcBorders>
              <w:top w:val="single" w:color="auto" w:sz="4" w:space="0"/>
              <w:left w:val="single" w:color="auto" w:sz="4" w:space="0"/>
              <w:bottom w:val="nil"/>
              <w:right w:val="nil"/>
            </w:tcBorders>
            <w:shd w:val="clear" w:color="auto" w:fill="FFFFFF"/>
            <w:vAlign w:val="center"/>
          </w:tcPr>
          <w:p>
            <w:pPr>
              <w:framePr w:w="9317" w:h="1677" w:hRule="exact" w:wrap="notBeside" w:vAnchor="text" w:hAnchor="page" w:x="1290" w:y="1893"/>
              <w:ind w:left="180"/>
              <w:rPr>
                <w:rStyle w:val="238"/>
                <w:rFonts w:ascii="宋体" w:hAnsi="宋体" w:eastAsia="宋体"/>
                <w:color w:val="auto"/>
                <w:highlight w:val="none"/>
              </w:rPr>
            </w:pPr>
            <w:r>
              <w:rPr>
                <w:rStyle w:val="238"/>
                <w:rFonts w:ascii="宋体" w:hAnsi="宋体" w:eastAsia="宋体"/>
                <w:color w:val="auto"/>
                <w:highlight w:val="none"/>
              </w:rPr>
              <w:t>合同期限</w:t>
            </w:r>
          </w:p>
        </w:tc>
        <w:tc>
          <w:tcPr>
            <w:tcW w:w="1228" w:type="dxa"/>
            <w:tcBorders>
              <w:top w:val="single" w:color="auto" w:sz="4" w:space="0"/>
              <w:left w:val="single" w:color="auto" w:sz="4" w:space="0"/>
              <w:bottom w:val="nil"/>
              <w:right w:val="nil"/>
            </w:tcBorders>
            <w:shd w:val="clear" w:color="auto" w:fill="FFFFFF"/>
            <w:vAlign w:val="center"/>
          </w:tcPr>
          <w:p>
            <w:pPr>
              <w:framePr w:w="9317" w:h="1677" w:hRule="exact" w:wrap="notBeside" w:vAnchor="text" w:hAnchor="page" w:x="1290" w:y="1893"/>
              <w:ind w:left="160"/>
              <w:rPr>
                <w:rStyle w:val="238"/>
                <w:rFonts w:ascii="宋体" w:hAnsi="宋体" w:eastAsia="宋体"/>
                <w:color w:val="auto"/>
                <w:highlight w:val="none"/>
              </w:rPr>
            </w:pPr>
            <w:r>
              <w:rPr>
                <w:rStyle w:val="238"/>
                <w:rFonts w:ascii="宋体" w:hAnsi="宋体" w:eastAsia="宋体"/>
                <w:color w:val="auto"/>
                <w:highlight w:val="none"/>
              </w:rPr>
              <w:t>实际工作起止时间</w:t>
            </w:r>
          </w:p>
        </w:tc>
        <w:tc>
          <w:tcPr>
            <w:tcW w:w="1245" w:type="dxa"/>
            <w:tcBorders>
              <w:top w:val="single" w:color="auto" w:sz="4" w:space="0"/>
              <w:left w:val="single" w:color="auto" w:sz="4" w:space="0"/>
              <w:bottom w:val="nil"/>
              <w:right w:val="nil"/>
            </w:tcBorders>
            <w:shd w:val="clear" w:color="auto" w:fill="FFFFFF"/>
            <w:vAlign w:val="bottom"/>
          </w:tcPr>
          <w:p>
            <w:pPr>
              <w:framePr w:w="9317" w:h="1677" w:hRule="exact" w:wrap="notBeside" w:vAnchor="text" w:hAnchor="page" w:x="1290" w:y="1893"/>
              <w:spacing w:after="80"/>
              <w:ind w:left="160"/>
              <w:rPr>
                <w:rStyle w:val="238"/>
                <w:rFonts w:ascii="宋体" w:hAnsi="宋体" w:eastAsia="宋体"/>
                <w:color w:val="auto"/>
                <w:highlight w:val="none"/>
              </w:rPr>
            </w:pPr>
            <w:r>
              <w:rPr>
                <w:rStyle w:val="238"/>
                <w:rFonts w:ascii="宋体" w:hAnsi="宋体" w:eastAsia="宋体"/>
                <w:color w:val="auto"/>
                <w:highlight w:val="none"/>
              </w:rPr>
              <w:t>合同报酬及发放方式</w:t>
            </w:r>
          </w:p>
        </w:tc>
        <w:tc>
          <w:tcPr>
            <w:tcW w:w="795" w:type="dxa"/>
            <w:tcBorders>
              <w:top w:val="single" w:color="auto" w:sz="4" w:space="0"/>
              <w:left w:val="single" w:color="auto" w:sz="4" w:space="0"/>
              <w:bottom w:val="nil"/>
              <w:right w:val="nil"/>
            </w:tcBorders>
            <w:shd w:val="clear" w:color="auto" w:fill="FFFFFF"/>
            <w:vAlign w:val="bottom"/>
          </w:tcPr>
          <w:p>
            <w:pPr>
              <w:framePr w:w="9317" w:h="1677" w:hRule="exact" w:wrap="notBeside" w:vAnchor="text" w:hAnchor="page" w:x="1290" w:y="1893"/>
              <w:spacing w:before="80"/>
              <w:ind w:left="260"/>
              <w:rPr>
                <w:rStyle w:val="238"/>
                <w:rFonts w:ascii="宋体" w:hAnsi="宋体" w:eastAsia="宋体"/>
                <w:color w:val="auto"/>
                <w:highlight w:val="none"/>
              </w:rPr>
            </w:pPr>
            <w:r>
              <w:rPr>
                <w:rStyle w:val="238"/>
                <w:rFonts w:ascii="宋体" w:hAnsi="宋体" w:eastAsia="宋体"/>
                <w:color w:val="auto"/>
                <w:highlight w:val="none"/>
              </w:rPr>
              <w:t>应发工资</w:t>
            </w:r>
          </w:p>
        </w:tc>
        <w:tc>
          <w:tcPr>
            <w:tcW w:w="735" w:type="dxa"/>
            <w:tcBorders>
              <w:top w:val="single" w:color="auto" w:sz="4" w:space="0"/>
              <w:left w:val="single" w:color="auto" w:sz="4" w:space="0"/>
              <w:bottom w:val="nil"/>
              <w:right w:val="nil"/>
            </w:tcBorders>
            <w:shd w:val="clear" w:color="auto" w:fill="FFFFFF"/>
            <w:vAlign w:val="bottom"/>
          </w:tcPr>
          <w:p>
            <w:pPr>
              <w:framePr w:w="9317" w:h="1677" w:hRule="exact" w:wrap="notBeside" w:vAnchor="text" w:hAnchor="page" w:x="1290" w:y="1893"/>
              <w:jc w:val="center"/>
              <w:rPr>
                <w:rStyle w:val="238"/>
                <w:rFonts w:ascii="宋体" w:hAnsi="宋体" w:eastAsia="宋体"/>
                <w:color w:val="auto"/>
                <w:highlight w:val="none"/>
              </w:rPr>
            </w:pPr>
            <w:r>
              <w:rPr>
                <w:rStyle w:val="238"/>
                <w:rFonts w:ascii="宋体" w:hAnsi="宋体" w:eastAsia="宋体"/>
                <w:color w:val="auto"/>
                <w:highlight w:val="none"/>
              </w:rPr>
              <w:t>实发工资</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framePr w:w="9317" w:h="1677" w:hRule="exact" w:wrap="notBeside" w:vAnchor="text" w:hAnchor="page" w:x="1290" w:y="1893"/>
              <w:rPr>
                <w:rStyle w:val="238"/>
                <w:rFonts w:ascii="宋体" w:hAnsi="宋体" w:eastAsia="宋体"/>
                <w:color w:val="auto"/>
                <w:highlight w:val="none"/>
              </w:rPr>
            </w:pPr>
            <w:r>
              <w:rPr>
                <w:rStyle w:val="238"/>
                <w:rFonts w:ascii="宋体" w:hAnsi="宋体" w:eastAsia="宋体"/>
                <w:color w:val="auto"/>
                <w:highlight w:val="none"/>
              </w:rPr>
              <w:t>签名</w:t>
            </w:r>
          </w:p>
        </w:tc>
        <w:tc>
          <w:tcPr>
            <w:tcW w:w="810" w:type="dxa"/>
            <w:tcBorders>
              <w:top w:val="single" w:color="auto" w:sz="4" w:space="0"/>
              <w:left w:val="nil"/>
              <w:bottom w:val="single" w:color="auto" w:sz="4" w:space="0"/>
              <w:right w:val="single" w:color="auto" w:sz="4" w:space="0"/>
            </w:tcBorders>
          </w:tcPr>
          <w:p>
            <w:pPr>
              <w:framePr w:w="9317" w:h="1677" w:hRule="exact" w:wrap="notBeside" w:vAnchor="text" w:hAnchor="page" w:x="1290" w:y="1893"/>
              <w:rPr>
                <w:rStyle w:val="238"/>
                <w:rFonts w:ascii="宋体" w:hAnsi="宋体" w:eastAsia="宋体"/>
                <w:color w:val="auto"/>
                <w:highlight w:val="none"/>
              </w:rPr>
            </w:pPr>
            <w:r>
              <w:rPr>
                <w:rStyle w:val="238"/>
                <w:rFonts w:ascii="宋体" w:hAnsi="宋体" w:eastAsia="宋体"/>
                <w:color w:val="auto"/>
                <w:highlight w:val="none"/>
              </w:rPr>
              <w:t>备注</w:t>
            </w:r>
          </w:p>
        </w:tc>
      </w:tr>
      <w:tr>
        <w:tblPrEx>
          <w:tblCellMar>
            <w:top w:w="0" w:type="dxa"/>
            <w:left w:w="10" w:type="dxa"/>
            <w:bottom w:w="0" w:type="dxa"/>
            <w:right w:w="10" w:type="dxa"/>
          </w:tblCellMar>
        </w:tblPrEx>
        <w:trPr>
          <w:trHeight w:val="254" w:hRule="exact"/>
        </w:trPr>
        <w:tc>
          <w:tcPr>
            <w:tcW w:w="720"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852"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992"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1134"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1228"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1245"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795"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735" w:type="dxa"/>
            <w:tcBorders>
              <w:top w:val="single" w:color="auto" w:sz="4" w:space="0"/>
              <w:left w:val="single" w:color="auto" w:sz="4" w:space="0"/>
              <w:bottom w:val="nil"/>
              <w:right w:val="nil"/>
            </w:tcBorders>
            <w:shd w:val="clear" w:color="auto" w:fill="FFFFFF"/>
          </w:tcPr>
          <w:p>
            <w:pPr>
              <w:framePr w:w="9317" w:h="1677" w:hRule="exact" w:wrap="notBeside" w:vAnchor="text" w:hAnchor="page" w:x="1290" w:y="1893"/>
              <w:rPr>
                <w:color w:val="auto"/>
                <w:sz w:val="10"/>
                <w:szCs w:val="10"/>
                <w:highlight w:val="none"/>
              </w:rPr>
            </w:pPr>
          </w:p>
        </w:tc>
        <w:tc>
          <w:tcPr>
            <w:tcW w:w="615" w:type="dxa"/>
            <w:tcBorders>
              <w:top w:val="single" w:color="auto" w:sz="4" w:space="0"/>
              <w:left w:val="single" w:color="auto" w:sz="4" w:space="0"/>
              <w:bottom w:val="nil"/>
              <w:right w:val="single" w:color="auto" w:sz="4" w:space="0"/>
            </w:tcBorders>
            <w:shd w:val="clear" w:color="auto" w:fill="FFFFFF"/>
          </w:tcPr>
          <w:p>
            <w:pPr>
              <w:framePr w:w="9317" w:h="1677" w:hRule="exact" w:wrap="notBeside" w:vAnchor="text" w:hAnchor="page" w:x="1290" w:y="1893"/>
              <w:rPr>
                <w:color w:val="auto"/>
                <w:sz w:val="10"/>
                <w:szCs w:val="10"/>
                <w:highlight w:val="none"/>
              </w:rPr>
            </w:pPr>
          </w:p>
        </w:tc>
        <w:tc>
          <w:tcPr>
            <w:tcW w:w="810" w:type="dxa"/>
            <w:tcBorders>
              <w:top w:val="single" w:color="auto" w:sz="4" w:space="0"/>
              <w:left w:val="nil"/>
              <w:bottom w:val="single" w:color="auto" w:sz="4" w:space="0"/>
              <w:right w:val="single" w:color="auto" w:sz="4" w:space="0"/>
            </w:tcBorders>
          </w:tcPr>
          <w:p>
            <w:pPr>
              <w:framePr w:w="9317" w:h="1677" w:hRule="exact" w:wrap="notBeside" w:vAnchor="text" w:hAnchor="page" w:x="1290" w:y="1893"/>
              <w:rPr>
                <w:rStyle w:val="238"/>
                <w:rFonts w:ascii="宋体" w:hAnsi="宋体" w:eastAsia="宋体"/>
                <w:color w:val="auto"/>
                <w:highlight w:val="none"/>
              </w:rPr>
            </w:pPr>
          </w:p>
        </w:tc>
      </w:tr>
      <w:tr>
        <w:tblPrEx>
          <w:tblCellMar>
            <w:top w:w="0" w:type="dxa"/>
            <w:left w:w="10" w:type="dxa"/>
            <w:bottom w:w="0" w:type="dxa"/>
            <w:right w:w="10" w:type="dxa"/>
          </w:tblCellMar>
        </w:tblPrEx>
        <w:trPr>
          <w:trHeight w:val="259" w:hRule="exact"/>
        </w:trPr>
        <w:tc>
          <w:tcPr>
            <w:tcW w:w="720"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852"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992"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1134"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1228"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1245"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795"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735" w:type="dxa"/>
            <w:tcBorders>
              <w:top w:val="single" w:color="auto" w:sz="4" w:space="0"/>
              <w:left w:val="single" w:color="auto" w:sz="4" w:space="0"/>
              <w:bottom w:val="single" w:color="auto" w:sz="4" w:space="0"/>
              <w:right w:val="nil"/>
            </w:tcBorders>
            <w:shd w:val="clear" w:color="auto" w:fill="FFFFFF"/>
          </w:tcPr>
          <w:p>
            <w:pPr>
              <w:framePr w:w="9317" w:h="1677" w:hRule="exact" w:wrap="notBeside" w:vAnchor="text" w:hAnchor="page" w:x="1290" w:y="1893"/>
              <w:rPr>
                <w:color w:val="auto"/>
                <w:sz w:val="10"/>
                <w:szCs w:val="10"/>
                <w:highlight w:val="none"/>
              </w:rPr>
            </w:pPr>
          </w:p>
        </w:tc>
        <w:tc>
          <w:tcPr>
            <w:tcW w:w="615" w:type="dxa"/>
            <w:tcBorders>
              <w:top w:val="single" w:color="auto" w:sz="4" w:space="0"/>
              <w:left w:val="single" w:color="auto" w:sz="4" w:space="0"/>
              <w:bottom w:val="single" w:color="auto" w:sz="4" w:space="0"/>
              <w:right w:val="single" w:color="auto" w:sz="4" w:space="0"/>
            </w:tcBorders>
            <w:shd w:val="clear" w:color="auto" w:fill="FFFFFF"/>
          </w:tcPr>
          <w:p>
            <w:pPr>
              <w:framePr w:w="9317" w:h="1677" w:hRule="exact" w:wrap="notBeside" w:vAnchor="text" w:hAnchor="page" w:x="1290" w:y="1893"/>
              <w:rPr>
                <w:color w:val="auto"/>
                <w:sz w:val="10"/>
                <w:szCs w:val="10"/>
                <w:highlight w:val="none"/>
              </w:rPr>
            </w:pPr>
          </w:p>
        </w:tc>
        <w:tc>
          <w:tcPr>
            <w:tcW w:w="810" w:type="dxa"/>
            <w:tcBorders>
              <w:top w:val="single" w:color="auto" w:sz="4" w:space="0"/>
              <w:left w:val="nil"/>
              <w:bottom w:val="single" w:color="auto" w:sz="4" w:space="0"/>
              <w:right w:val="single" w:color="auto" w:sz="4" w:space="0"/>
            </w:tcBorders>
          </w:tcPr>
          <w:p>
            <w:pPr>
              <w:framePr w:w="9317" w:h="1677" w:hRule="exact" w:wrap="notBeside" w:vAnchor="text" w:hAnchor="page" w:x="1290" w:y="1893"/>
              <w:rPr>
                <w:color w:val="auto"/>
                <w:highlight w:val="none"/>
              </w:rPr>
            </w:pPr>
          </w:p>
        </w:tc>
      </w:tr>
    </w:tbl>
    <w:p>
      <w:pPr>
        <w:spacing w:line="360" w:lineRule="auto"/>
        <w:ind w:firstLine="440" w:firstLineChars="200"/>
        <w:rPr>
          <w:color w:val="auto"/>
          <w:highlight w:val="none"/>
        </w:rPr>
      </w:pPr>
      <w:r>
        <w:rPr>
          <w:rFonts w:hint="eastAsia"/>
          <w:color w:val="auto"/>
          <w:highlight w:val="none"/>
        </w:rPr>
        <w:t>（9）</w:t>
      </w:r>
      <w:r>
        <w:rPr>
          <w:rFonts w:hint="eastAsia"/>
          <w:color w:val="auto"/>
          <w:highlight w:val="none"/>
          <w:lang w:bidi="en-US"/>
        </w:rPr>
        <w:t>项目经理部及分包人在与劳务队伍签订劳务合同时，应在劳务合同中明确：劳务队伍在申请最后一次支付前，应付清所有雇佣劳务工工资，并下表格式将雇佣劳务工工资发放汇总报承包人派驻现场的项目经理部，如存在拖欠情况承包人将先行垫付，并在劳务队伍的最后一次支付款（或劳务工工资支付保证金）中扣回。</w:t>
      </w:r>
    </w:p>
    <w:p>
      <w:pPr>
        <w:rPr>
          <w:color w:val="auto"/>
          <w:sz w:val="19"/>
          <w:szCs w:val="19"/>
          <w:highlight w:val="none"/>
        </w:rPr>
      </w:pPr>
    </w:p>
    <w:p>
      <w:pPr>
        <w:rPr>
          <w:color w:val="auto"/>
          <w:sz w:val="19"/>
          <w:szCs w:val="19"/>
          <w:highlight w:val="none"/>
        </w:rPr>
      </w:pPr>
      <w:r>
        <w:rPr>
          <w:rFonts w:hint="eastAsia"/>
          <w:color w:val="auto"/>
          <w:sz w:val="19"/>
          <w:szCs w:val="19"/>
          <w:highlight w:val="none"/>
        </w:rPr>
        <w:t>劳务队伍名称：</w:t>
      </w:r>
      <w:r>
        <w:rPr>
          <w:rFonts w:hint="eastAsia"/>
          <w:color w:val="auto"/>
          <w:sz w:val="19"/>
          <w:szCs w:val="19"/>
          <w:highlight w:val="none"/>
        </w:rPr>
        <w:tab/>
      </w:r>
      <w:r>
        <w:rPr>
          <w:rFonts w:hint="eastAsia"/>
          <w:color w:val="auto"/>
          <w:sz w:val="19"/>
          <w:szCs w:val="19"/>
          <w:highlight w:val="none"/>
        </w:rPr>
        <w:t xml:space="preserve">   责任人：（签名）</w:t>
      </w:r>
      <w:r>
        <w:rPr>
          <w:rFonts w:hint="eastAsia"/>
          <w:color w:val="auto"/>
          <w:sz w:val="19"/>
          <w:szCs w:val="19"/>
          <w:highlight w:val="none"/>
        </w:rPr>
        <w:tab/>
      </w:r>
      <w:r>
        <w:rPr>
          <w:rFonts w:hint="eastAsia"/>
          <w:color w:val="auto"/>
          <w:sz w:val="19"/>
          <w:szCs w:val="19"/>
          <w:highlight w:val="none"/>
        </w:rPr>
        <w:t xml:space="preserve">                           联系人：</w:t>
      </w:r>
      <w:r>
        <w:rPr>
          <w:rFonts w:hint="eastAsia"/>
          <w:color w:val="auto"/>
          <w:sz w:val="19"/>
          <w:szCs w:val="19"/>
          <w:highlight w:val="none"/>
        </w:rPr>
        <w:tab/>
      </w:r>
      <w:r>
        <w:rPr>
          <w:rFonts w:hint="eastAsia"/>
          <w:color w:val="auto"/>
          <w:sz w:val="19"/>
          <w:szCs w:val="19"/>
          <w:highlight w:val="none"/>
        </w:rPr>
        <w:t xml:space="preserve">                联系电话:</w:t>
      </w:r>
    </w:p>
    <w:p>
      <w:pPr>
        <w:rPr>
          <w:color w:val="auto"/>
          <w:highlight w:val="none"/>
        </w:rPr>
      </w:pPr>
      <w:r>
        <w:rPr>
          <w:rFonts w:hint="eastAsia"/>
          <w:color w:val="auto"/>
          <w:sz w:val="19"/>
          <w:szCs w:val="19"/>
          <w:highlight w:val="none"/>
        </w:rPr>
        <w:t>承包人（公章）</w:t>
      </w:r>
      <w:r>
        <w:rPr>
          <w:rFonts w:hint="eastAsia"/>
          <w:color w:val="auto"/>
          <w:sz w:val="19"/>
          <w:szCs w:val="19"/>
          <w:highlight w:val="none"/>
        </w:rPr>
        <w:tab/>
      </w:r>
      <w:r>
        <w:rPr>
          <w:rFonts w:hint="eastAsia"/>
          <w:color w:val="auto"/>
          <w:sz w:val="19"/>
          <w:szCs w:val="19"/>
          <w:highlight w:val="none"/>
        </w:rPr>
        <w:t xml:space="preserve">                           标段监理：</w:t>
      </w:r>
      <w:r>
        <w:rPr>
          <w:rFonts w:hint="eastAsia"/>
          <w:color w:val="auto"/>
          <w:sz w:val="19"/>
          <w:szCs w:val="19"/>
          <w:highlight w:val="none"/>
        </w:rPr>
        <w:tab/>
      </w:r>
      <w:r>
        <w:rPr>
          <w:rFonts w:hint="eastAsia"/>
          <w:color w:val="auto"/>
          <w:sz w:val="19"/>
          <w:szCs w:val="19"/>
          <w:highlight w:val="none"/>
        </w:rPr>
        <w:t xml:space="preserve">                     驻地监理：</w:t>
      </w:r>
    </w:p>
    <w:p>
      <w:pPr>
        <w:tabs>
          <w:tab w:val="left" w:pos="1330"/>
        </w:tabs>
        <w:adjustRightInd w:val="0"/>
        <w:snapToGrid w:val="0"/>
        <w:spacing w:line="360" w:lineRule="auto"/>
        <w:ind w:firstLine="440" w:firstLineChars="200"/>
        <w:rPr>
          <w:color w:val="auto"/>
          <w:highlight w:val="none"/>
          <w:lang w:bidi="en-US"/>
        </w:rPr>
      </w:pPr>
    </w:p>
    <w:p>
      <w:pPr>
        <w:tabs>
          <w:tab w:val="left" w:pos="1330"/>
        </w:tabs>
        <w:adjustRightInd w:val="0"/>
        <w:snapToGrid w:val="0"/>
        <w:spacing w:line="360" w:lineRule="auto"/>
        <w:ind w:firstLine="440" w:firstLineChars="200"/>
        <w:rPr>
          <w:color w:val="auto"/>
          <w:highlight w:val="none"/>
        </w:rPr>
      </w:pPr>
      <w:r>
        <w:rPr>
          <w:rFonts w:hint="eastAsia"/>
          <w:color w:val="auto"/>
          <w:highlight w:val="none"/>
          <w:lang w:bidi="en-US"/>
        </w:rPr>
        <w:t>（10）</w:t>
      </w:r>
      <w:r>
        <w:rPr>
          <w:rFonts w:hint="eastAsia"/>
          <w:color w:val="auto"/>
          <w:highlight w:val="none"/>
        </w:rPr>
        <w:t>承包人派驻现场的项目经理部应将所有的“劳务队伍工资发放汇总表”报发包人和监理人备案，承包人应对汇总表进行书面确认。如承包人己垫付劳务队伍拖欠的劳务人员工资应在“劳务队伍工资发放汇总表”的“备注”栏中注明并由被拖欠劳务工本人签字确认。如承包人未对劳务队伍拖欠的劳务款进行垫付，由出资人先行垫付， 并在承包人履约保函款（或在工程进度款）中扣回。</w:t>
      </w:r>
    </w:p>
    <w:p>
      <w:pPr>
        <w:tabs>
          <w:tab w:val="left" w:pos="1196"/>
        </w:tabs>
        <w:adjustRightInd w:val="0"/>
        <w:snapToGrid w:val="0"/>
        <w:spacing w:line="360" w:lineRule="auto"/>
        <w:ind w:firstLine="330" w:firstLineChars="150"/>
        <w:rPr>
          <w:color w:val="auto"/>
          <w:highlight w:val="none"/>
        </w:rPr>
      </w:pPr>
      <w:r>
        <w:rPr>
          <w:rFonts w:hint="eastAsia"/>
          <w:color w:val="auto"/>
          <w:highlight w:val="none"/>
          <w:lang w:bidi="en-US"/>
        </w:rPr>
        <w:t>（11）</w:t>
      </w:r>
      <w:r>
        <w:rPr>
          <w:rFonts w:hint="eastAsia"/>
          <w:color w:val="auto"/>
          <w:highlight w:val="none"/>
        </w:rPr>
        <w:t>承包人对（包括分包人和劳务队伍的）所有雇佣人员工资发放情况负总责， 监理人、发包人有权对雇佣人员（包括分包人和劳务队伍的雇佣人员）工资发放情况进行检查，如检查中发现存在拖欠工资且逾期未付清情况，或在工资发放中弄虚作假，将记入承包人的企业信用档案。</w:t>
      </w:r>
    </w:p>
    <w:p>
      <w:pPr>
        <w:pStyle w:val="247"/>
        <w:shd w:val="clear" w:color="auto" w:fill="auto"/>
        <w:adjustRightInd w:val="0"/>
        <w:snapToGrid w:val="0"/>
        <w:spacing w:line="360" w:lineRule="auto"/>
        <w:ind w:firstLine="500"/>
        <w:jc w:val="both"/>
        <w:rPr>
          <w:rFonts w:ascii="宋体" w:hAnsi="宋体" w:eastAsia="宋体"/>
          <w:color w:val="auto"/>
          <w:sz w:val="22"/>
          <w:szCs w:val="22"/>
          <w:highlight w:val="none"/>
        </w:rPr>
      </w:pPr>
    </w:p>
    <w:p>
      <w:pPr>
        <w:pStyle w:val="247"/>
        <w:shd w:val="clear" w:color="auto" w:fill="auto"/>
        <w:adjustRightInd w:val="0"/>
        <w:snapToGrid w:val="0"/>
        <w:spacing w:line="360" w:lineRule="auto"/>
        <w:ind w:firstLine="500"/>
        <w:jc w:val="both"/>
        <w:rPr>
          <w:rFonts w:ascii="宋体" w:hAnsi="宋体" w:eastAsia="宋体"/>
          <w:color w:val="auto"/>
          <w:spacing w:val="0"/>
          <w:sz w:val="22"/>
          <w:szCs w:val="22"/>
          <w:highlight w:val="none"/>
        </w:rPr>
      </w:pPr>
      <w:r>
        <w:rPr>
          <w:rFonts w:hint="eastAsia" w:ascii="宋体" w:hAnsi="宋体" w:eastAsia="宋体"/>
          <w:color w:val="auto"/>
          <w:sz w:val="22"/>
          <w:szCs w:val="22"/>
          <w:highlight w:val="none"/>
        </w:rPr>
        <w:t>本款补充第</w:t>
      </w:r>
      <w:r>
        <w:rPr>
          <w:rFonts w:hint="eastAsia" w:ascii="宋体" w:hAnsi="宋体" w:eastAsia="宋体"/>
          <w:color w:val="auto"/>
          <w:spacing w:val="0"/>
          <w:sz w:val="22"/>
          <w:szCs w:val="22"/>
          <w:highlight w:val="none"/>
        </w:rPr>
        <w:t>4.8.7、4.8.8</w:t>
      </w:r>
      <w:r>
        <w:rPr>
          <w:rFonts w:hint="eastAsia" w:ascii="宋体" w:hAnsi="宋体" w:eastAsia="宋体"/>
          <w:color w:val="auto"/>
          <w:sz w:val="22"/>
          <w:szCs w:val="22"/>
          <w:highlight w:val="none"/>
        </w:rPr>
        <w:t>项:</w:t>
      </w:r>
    </w:p>
    <w:p>
      <w:pPr>
        <w:adjustRightInd w:val="0"/>
        <w:snapToGrid w:val="0"/>
        <w:spacing w:line="360" w:lineRule="auto"/>
        <w:ind w:firstLine="500"/>
        <w:rPr>
          <w:color w:val="auto"/>
          <w:highlight w:val="none"/>
        </w:rPr>
      </w:pPr>
      <w:r>
        <w:rPr>
          <w:rFonts w:hint="eastAsia"/>
          <w:color w:val="auto"/>
          <w:highlight w:val="none"/>
        </w:rPr>
        <w:t>4.8.7在本项目实施过程中，承包人应按照国家及辽宁省有关规定，与其派遣或雇佣的所有人员签订劳动合同并报项目所在地劳动保障部门备案；同时承包人应为其派遣或雇佣的所有人员按时足额缴纳养老保险，并积极督促分包人履行本项义务，监理人或发包人有权随时检查。</w:t>
      </w:r>
    </w:p>
    <w:p>
      <w:pPr>
        <w:adjustRightInd w:val="0"/>
        <w:snapToGrid w:val="0"/>
        <w:spacing w:line="360" w:lineRule="auto"/>
        <w:ind w:firstLine="500"/>
        <w:rPr>
          <w:color w:val="auto"/>
          <w:highlight w:val="none"/>
        </w:rPr>
      </w:pPr>
      <w:r>
        <w:rPr>
          <w:rFonts w:hint="eastAsia"/>
          <w:color w:val="auto"/>
          <w:highlight w:val="none"/>
        </w:rPr>
        <w:t>承包人必须严格执行国家《劳动法》有关劳动保护的规定，充分保护劳动者极益。为劳动者创造良好的施工环境，提供其工作所必需的劳动保护用品，保证劳动者在劳动中免受伤害。如劳动者在为本标段服务程中发生职业病、人身意外伤害、伤亡，索赔等事宜均由承包人负责。</w:t>
      </w:r>
    </w:p>
    <w:p>
      <w:pPr>
        <w:adjustRightInd w:val="0"/>
        <w:snapToGrid w:val="0"/>
        <w:spacing w:line="360" w:lineRule="auto"/>
        <w:ind w:firstLine="500"/>
        <w:rPr>
          <w:color w:val="auto"/>
          <w:highlight w:val="none"/>
        </w:rPr>
      </w:pPr>
      <w:r>
        <w:rPr>
          <w:rFonts w:hint="eastAsia"/>
          <w:color w:val="auto"/>
          <w:highlight w:val="none"/>
        </w:rPr>
        <w:t>4.8.8</w:t>
      </w:r>
      <w:r>
        <w:rPr>
          <w:rFonts w:ascii="Times New Roman" w:hAnsi="Times New Roman" w:eastAsia="Times New Roman" w:cs="Times New Roman"/>
          <w:color w:val="auto"/>
          <w:sz w:val="34"/>
          <w:szCs w:val="34"/>
          <w:highlight w:val="none"/>
          <w:lang w:val="en-US" w:bidi="en-US"/>
        </w:rPr>
        <w:t xml:space="preserve"> </w:t>
      </w:r>
      <w:r>
        <w:rPr>
          <w:color w:val="auto"/>
          <w:highlight w:val="none"/>
          <w:u w:val="single"/>
        </w:rPr>
        <w:t>详见《项目专用合同条款数据表》</w:t>
      </w:r>
      <w:r>
        <w:rPr>
          <w:rFonts w:hint="eastAsia"/>
          <w:color w:val="auto"/>
          <w:highlight w:val="none"/>
          <w:u w:val="single"/>
          <w:lang w:val="en-US"/>
        </w:rPr>
        <w:t xml:space="preserve">    </w:t>
      </w:r>
      <w:r>
        <w:rPr>
          <w:rFonts w:hint="eastAsia"/>
          <w:color w:val="auto"/>
          <w:highlight w:val="none"/>
        </w:rPr>
        <w:t>。</w:t>
      </w:r>
    </w:p>
    <w:p>
      <w:pPr>
        <w:pStyle w:val="243"/>
        <w:keepNext/>
        <w:keepLines/>
        <w:shd w:val="clear" w:color="auto" w:fill="auto"/>
        <w:adjustRightInd w:val="0"/>
        <w:snapToGrid w:val="0"/>
        <w:spacing w:line="360" w:lineRule="auto"/>
        <w:ind w:left="500" w:hanging="500"/>
        <w:jc w:val="left"/>
        <w:outlineLvl w:val="9"/>
        <w:rPr>
          <w:rStyle w:val="238"/>
          <w:rFonts w:ascii="宋体" w:hAnsi="宋体" w:eastAsia="宋体"/>
          <w:color w:val="auto"/>
          <w:highlight w:val="none"/>
        </w:rPr>
      </w:pPr>
      <w:bookmarkStart w:id="3072" w:name="bookmark11"/>
    </w:p>
    <w:p>
      <w:pPr>
        <w:adjustRightInd w:val="0"/>
        <w:snapToGrid w:val="0"/>
        <w:spacing w:line="360" w:lineRule="auto"/>
        <w:rPr>
          <w:rStyle w:val="239"/>
          <w:rFonts w:ascii="宋体" w:hAnsi="宋体" w:eastAsia="宋体"/>
          <w:b/>
          <w:bCs/>
          <w:color w:val="auto"/>
          <w:sz w:val="22"/>
          <w:szCs w:val="22"/>
          <w:highlight w:val="none"/>
          <w:lang w:eastAsia="zh-CN"/>
        </w:rPr>
      </w:pPr>
      <w:bookmarkStart w:id="3073" w:name="_Toc7751"/>
      <w:bookmarkStart w:id="3074" w:name="_Toc18221"/>
      <w:bookmarkStart w:id="3075" w:name="_Toc20136"/>
      <w:bookmarkStart w:id="3076" w:name="_Toc19586"/>
      <w:bookmarkStart w:id="3077" w:name="_Toc3552"/>
      <w:bookmarkStart w:id="3078" w:name="_Toc1769"/>
      <w:bookmarkStart w:id="3079" w:name="_Toc13863"/>
      <w:bookmarkStart w:id="3080" w:name="_Toc7856"/>
      <w:bookmarkStart w:id="3081" w:name="_Toc22618"/>
      <w:bookmarkStart w:id="3082" w:name="_Toc7309"/>
      <w:bookmarkStart w:id="3083" w:name="_Toc8546"/>
      <w:r>
        <w:rPr>
          <w:rStyle w:val="239"/>
          <w:rFonts w:ascii="宋体" w:hAnsi="宋体" w:eastAsia="宋体"/>
          <w:b/>
          <w:bCs/>
          <w:color w:val="auto"/>
          <w:sz w:val="22"/>
          <w:szCs w:val="22"/>
          <w:highlight w:val="none"/>
          <w:lang w:eastAsia="zh-CN"/>
        </w:rPr>
        <w:t>4.9</w:t>
      </w:r>
      <w:r>
        <w:rPr>
          <w:rStyle w:val="239"/>
          <w:rFonts w:hint="eastAsia" w:ascii="宋体" w:hAnsi="宋体" w:eastAsia="宋体"/>
          <w:b/>
          <w:bCs/>
          <w:color w:val="auto"/>
          <w:sz w:val="22"/>
          <w:szCs w:val="22"/>
          <w:highlight w:val="none"/>
          <w:lang w:eastAsia="zh-CN"/>
        </w:rPr>
        <w:t>工程价款应专款专用</w:t>
      </w:r>
      <w:bookmarkEnd w:id="3072"/>
      <w:bookmarkEnd w:id="3073"/>
      <w:bookmarkEnd w:id="3074"/>
      <w:bookmarkEnd w:id="3075"/>
      <w:bookmarkEnd w:id="3076"/>
      <w:bookmarkEnd w:id="3077"/>
      <w:bookmarkEnd w:id="3078"/>
      <w:bookmarkEnd w:id="3079"/>
      <w:bookmarkEnd w:id="3080"/>
      <w:bookmarkEnd w:id="3081"/>
      <w:bookmarkEnd w:id="3082"/>
      <w:bookmarkEnd w:id="3083"/>
    </w:p>
    <w:p>
      <w:pPr>
        <w:adjustRightInd w:val="0"/>
        <w:snapToGrid w:val="0"/>
        <w:spacing w:line="360" w:lineRule="auto"/>
        <w:ind w:firstLine="500"/>
        <w:rPr>
          <w:color w:val="auto"/>
          <w:highlight w:val="none"/>
        </w:rPr>
      </w:pPr>
      <w:r>
        <w:rPr>
          <w:rFonts w:hint="eastAsia"/>
          <w:color w:val="auto"/>
          <w:highlight w:val="none"/>
        </w:rPr>
        <w:t>本款细化为：</w:t>
      </w:r>
      <w:r>
        <w:rPr>
          <w:rStyle w:val="248"/>
          <w:rFonts w:ascii="宋体" w:hAnsi="宋体" w:eastAsia="宋体"/>
          <w:color w:val="auto"/>
          <w:highlight w:val="none"/>
        </w:rPr>
        <w:t>详见《项目专用合同条款数据表》</w:t>
      </w:r>
      <w:r>
        <w:rPr>
          <w:rStyle w:val="248"/>
          <w:rFonts w:hint="eastAsia"/>
          <w:color w:val="auto"/>
          <w:highlight w:val="none"/>
          <w:lang w:val="en-US"/>
        </w:rPr>
        <w:t xml:space="preserve">    </w:t>
      </w:r>
      <w:r>
        <w:rPr>
          <w:rStyle w:val="248"/>
          <w:rFonts w:hint="eastAsia"/>
          <w:color w:val="auto"/>
          <w:highlight w:val="none"/>
          <w:u w:val="none"/>
        </w:rPr>
        <w:t>。</w:t>
      </w:r>
    </w:p>
    <w:p>
      <w:pPr>
        <w:pStyle w:val="253"/>
        <w:keepNext/>
        <w:keepLines/>
        <w:shd w:val="clear" w:color="auto" w:fill="auto"/>
        <w:adjustRightInd w:val="0"/>
        <w:snapToGrid w:val="0"/>
        <w:spacing w:before="0" w:line="360" w:lineRule="auto"/>
        <w:ind w:left="500" w:right="6580"/>
        <w:jc w:val="left"/>
        <w:outlineLvl w:val="9"/>
        <w:rPr>
          <w:rFonts w:ascii="宋体" w:hAnsi="宋体" w:eastAsia="宋体"/>
          <w:color w:val="auto"/>
          <w:sz w:val="22"/>
          <w:szCs w:val="22"/>
          <w:highlight w:val="none"/>
          <w:lang w:bidi="en-US"/>
        </w:rPr>
      </w:pPr>
      <w:bookmarkStart w:id="3084" w:name="bookmark12"/>
    </w:p>
    <w:p>
      <w:pPr>
        <w:adjustRightInd w:val="0"/>
        <w:snapToGrid w:val="0"/>
        <w:spacing w:line="360" w:lineRule="auto"/>
        <w:rPr>
          <w:rStyle w:val="239"/>
          <w:rFonts w:ascii="宋体" w:hAnsi="宋体" w:eastAsia="宋体"/>
          <w:b/>
          <w:bCs/>
          <w:color w:val="auto"/>
          <w:sz w:val="22"/>
          <w:szCs w:val="22"/>
          <w:highlight w:val="none"/>
          <w:lang w:eastAsia="zh-CN"/>
        </w:rPr>
      </w:pPr>
      <w:bookmarkStart w:id="3085" w:name="_Toc9766"/>
      <w:bookmarkStart w:id="3086" w:name="_Toc13610"/>
      <w:bookmarkStart w:id="3087" w:name="_Toc24762"/>
      <w:bookmarkStart w:id="3088" w:name="_Toc13777"/>
      <w:bookmarkStart w:id="3089" w:name="_Toc23111"/>
      <w:bookmarkStart w:id="3090" w:name="_Toc25340"/>
      <w:bookmarkStart w:id="3091" w:name="_Toc21523"/>
      <w:bookmarkStart w:id="3092" w:name="_Toc14043"/>
      <w:bookmarkStart w:id="3093" w:name="_Toc25929"/>
      <w:bookmarkStart w:id="3094" w:name="_Toc16429"/>
      <w:bookmarkStart w:id="3095" w:name="_Toc510"/>
      <w:r>
        <w:rPr>
          <w:rFonts w:hint="eastAsia"/>
          <w:b/>
          <w:bCs/>
          <w:color w:val="auto"/>
          <w:highlight w:val="none"/>
          <w:lang w:bidi="en-US"/>
        </w:rPr>
        <w:t>4.10</w:t>
      </w:r>
      <w:r>
        <w:rPr>
          <w:rStyle w:val="239"/>
          <w:rFonts w:hint="eastAsia" w:ascii="宋体" w:hAnsi="宋体" w:eastAsia="宋体"/>
          <w:b/>
          <w:bCs/>
          <w:color w:val="auto"/>
          <w:sz w:val="22"/>
          <w:szCs w:val="22"/>
          <w:highlight w:val="none"/>
          <w:lang w:eastAsia="zh-CN"/>
        </w:rPr>
        <w:t>承包人现场查勘</w:t>
      </w:r>
      <w:bookmarkEnd w:id="3085"/>
      <w:bookmarkEnd w:id="3086"/>
      <w:bookmarkEnd w:id="3087"/>
      <w:bookmarkEnd w:id="3088"/>
      <w:bookmarkEnd w:id="3089"/>
      <w:bookmarkEnd w:id="3090"/>
      <w:bookmarkEnd w:id="3091"/>
      <w:bookmarkEnd w:id="3092"/>
      <w:bookmarkEnd w:id="3093"/>
      <w:bookmarkEnd w:id="3094"/>
      <w:bookmarkEnd w:id="3095"/>
      <w:r>
        <w:rPr>
          <w:rStyle w:val="239"/>
          <w:rFonts w:hint="eastAsia" w:ascii="宋体" w:hAnsi="宋体" w:eastAsia="宋体"/>
          <w:b/>
          <w:bCs/>
          <w:color w:val="auto"/>
          <w:sz w:val="22"/>
          <w:szCs w:val="22"/>
          <w:highlight w:val="none"/>
          <w:lang w:eastAsia="zh-CN"/>
        </w:rPr>
        <w:t xml:space="preserve"> </w:t>
      </w:r>
    </w:p>
    <w:p>
      <w:pPr>
        <w:adjustRightInd w:val="0"/>
        <w:snapToGrid w:val="0"/>
        <w:spacing w:line="360" w:lineRule="auto"/>
        <w:ind w:firstLine="550" w:firstLineChars="250"/>
        <w:rPr>
          <w:color w:val="auto"/>
          <w:highlight w:val="none"/>
        </w:rPr>
      </w:pPr>
      <w:r>
        <w:rPr>
          <w:rFonts w:hint="eastAsia"/>
          <w:color w:val="auto"/>
          <w:highlight w:val="none"/>
        </w:rPr>
        <w:t>第4.10.1项约定为：</w:t>
      </w:r>
      <w:bookmarkEnd w:id="3084"/>
    </w:p>
    <w:p>
      <w:pPr>
        <w:adjustRightInd w:val="0"/>
        <w:snapToGrid w:val="0"/>
        <w:spacing w:line="360" w:lineRule="auto"/>
        <w:ind w:firstLine="500"/>
        <w:rPr>
          <w:color w:val="auto"/>
          <w:highlight w:val="none"/>
        </w:rPr>
      </w:pPr>
      <w:r>
        <w:rPr>
          <w:rFonts w:hint="eastAsia"/>
          <w:color w:val="auto"/>
          <w:highlight w:val="none"/>
        </w:rPr>
        <w:t>发包人持有的现场地质勘探资料、水文气象资料均含在项目施工图纸中、不再另行提供《参考资料》，承包人应自行调查工程的地形、地貌、水文、地质、气象、料场、水源、电源、通讯、交通条件等情况。</w:t>
      </w:r>
    </w:p>
    <w:p>
      <w:pPr>
        <w:pStyle w:val="243"/>
        <w:keepNext/>
        <w:keepLines/>
        <w:shd w:val="clear" w:color="auto" w:fill="auto"/>
        <w:adjustRightInd w:val="0"/>
        <w:snapToGrid w:val="0"/>
        <w:spacing w:line="360" w:lineRule="auto"/>
        <w:ind w:left="500" w:hanging="500"/>
        <w:jc w:val="left"/>
        <w:outlineLvl w:val="9"/>
        <w:rPr>
          <w:rStyle w:val="238"/>
          <w:rFonts w:ascii="宋体" w:hAnsi="宋体" w:eastAsia="宋体"/>
          <w:color w:val="auto"/>
          <w:highlight w:val="none"/>
        </w:rPr>
      </w:pPr>
      <w:bookmarkStart w:id="3096" w:name="bookmark13"/>
    </w:p>
    <w:p>
      <w:pPr>
        <w:adjustRightInd w:val="0"/>
        <w:snapToGrid w:val="0"/>
        <w:spacing w:line="360" w:lineRule="auto"/>
        <w:rPr>
          <w:color w:val="auto"/>
          <w:highlight w:val="none"/>
        </w:rPr>
      </w:pPr>
      <w:bookmarkStart w:id="3097" w:name="_Toc21777"/>
      <w:bookmarkStart w:id="3098" w:name="_Toc166"/>
      <w:bookmarkStart w:id="3099" w:name="_Toc9900"/>
      <w:bookmarkStart w:id="3100" w:name="_Toc30065"/>
      <w:bookmarkStart w:id="3101" w:name="_Toc1632"/>
      <w:bookmarkStart w:id="3102" w:name="_Toc8478"/>
      <w:bookmarkStart w:id="3103" w:name="_Toc26935"/>
      <w:bookmarkStart w:id="3104" w:name="_Toc24610"/>
      <w:bookmarkStart w:id="3105" w:name="_Toc11591"/>
      <w:bookmarkStart w:id="3106" w:name="_Toc15815"/>
      <w:bookmarkStart w:id="3107" w:name="_Toc28189"/>
      <w:r>
        <w:rPr>
          <w:rStyle w:val="238"/>
          <w:rFonts w:ascii="宋体" w:hAnsi="宋体" w:eastAsia="宋体"/>
          <w:b/>
          <w:bCs/>
          <w:color w:val="auto"/>
          <w:highlight w:val="none"/>
        </w:rPr>
        <w:t>4.11</w:t>
      </w:r>
      <w:r>
        <w:rPr>
          <w:rFonts w:hint="eastAsia"/>
          <w:b/>
          <w:bCs/>
          <w:color w:val="auto"/>
          <w:highlight w:val="none"/>
        </w:rPr>
        <w:t>不利物质条件</w:t>
      </w:r>
      <w:bookmarkEnd w:id="3096"/>
      <w:bookmarkEnd w:id="3097"/>
      <w:bookmarkEnd w:id="3098"/>
      <w:bookmarkEnd w:id="3099"/>
      <w:bookmarkEnd w:id="3100"/>
      <w:bookmarkEnd w:id="3101"/>
      <w:bookmarkEnd w:id="3102"/>
      <w:bookmarkEnd w:id="3103"/>
      <w:bookmarkEnd w:id="3104"/>
      <w:bookmarkEnd w:id="3105"/>
      <w:bookmarkEnd w:id="3106"/>
      <w:bookmarkEnd w:id="3107"/>
    </w:p>
    <w:p>
      <w:pPr>
        <w:adjustRightInd w:val="0"/>
        <w:snapToGrid w:val="0"/>
        <w:spacing w:line="360" w:lineRule="auto"/>
        <w:ind w:firstLine="440" w:firstLineChars="200"/>
        <w:rPr>
          <w:color w:val="auto"/>
          <w:highlight w:val="none"/>
        </w:rPr>
      </w:pPr>
      <w:r>
        <w:rPr>
          <w:rFonts w:hint="eastAsia"/>
          <w:color w:val="auto"/>
          <w:highlight w:val="none"/>
        </w:rPr>
        <w:t>4.11.1不利物质条件，是指承包人在施工场地遇到的不可预见的自然物质条件、非自然的物质障碍和污染物，包括地下和水文条件，但不包括气候条件。</w:t>
      </w:r>
    </w:p>
    <w:p>
      <w:pPr>
        <w:adjustRightInd w:val="0"/>
        <w:snapToGrid w:val="0"/>
        <w:spacing w:line="360" w:lineRule="auto"/>
        <w:ind w:firstLine="440" w:firstLineChars="200"/>
        <w:rPr>
          <w:color w:val="auto"/>
          <w:highlight w:val="none"/>
        </w:rPr>
      </w:pPr>
    </w:p>
    <w:p>
      <w:pPr>
        <w:adjustRightInd w:val="0"/>
        <w:snapToGrid w:val="0"/>
        <w:spacing w:line="360" w:lineRule="auto"/>
        <w:ind w:firstLine="440" w:firstLineChars="200"/>
        <w:rPr>
          <w:color w:val="auto"/>
          <w:highlight w:val="none"/>
        </w:rPr>
      </w:pPr>
      <w:r>
        <w:rPr>
          <w:rFonts w:hint="eastAsia"/>
          <w:color w:val="auto"/>
          <w:highlight w:val="none"/>
        </w:rPr>
        <w:t>4.11.3可预见的不利物质条件</w:t>
      </w:r>
    </w:p>
    <w:p>
      <w:pPr>
        <w:adjustRightInd w:val="0"/>
        <w:snapToGrid w:val="0"/>
        <w:spacing w:line="360" w:lineRule="auto"/>
        <w:ind w:firstLine="330" w:firstLineChars="150"/>
        <w:rPr>
          <w:color w:val="auto"/>
          <w:highlight w:val="none"/>
        </w:rPr>
      </w:pPr>
      <w:r>
        <w:rPr>
          <w:rFonts w:hint="eastAsia"/>
          <w:color w:val="auto"/>
          <w:highlight w:val="none"/>
        </w:rPr>
        <w:t xml:space="preserve"> 本项（1）目细化为：</w:t>
      </w:r>
    </w:p>
    <w:p>
      <w:pPr>
        <w:adjustRightInd w:val="0"/>
        <w:snapToGrid w:val="0"/>
        <w:spacing w:line="360" w:lineRule="auto"/>
        <w:ind w:firstLine="330" w:firstLineChars="150"/>
        <w:rPr>
          <w:color w:val="auto"/>
          <w:highlight w:val="none"/>
        </w:rPr>
      </w:pPr>
      <w:r>
        <w:rPr>
          <w:rFonts w:hint="eastAsia"/>
          <w:color w:val="auto"/>
          <w:highlight w:val="none"/>
        </w:rPr>
        <w:t>（1）对于合同中己经明确指出的可预见的不利物质条件，无论承包人是否有其经历和经验，均视为承包人在接受合同时己预见其影响，并已在签约合同价中计入因其影响而可能发生的一切费用。</w:t>
      </w:r>
    </w:p>
    <w:p>
      <w:pPr>
        <w:adjustRightInd w:val="0"/>
        <w:snapToGrid w:val="0"/>
        <w:spacing w:line="360" w:lineRule="auto"/>
        <w:ind w:firstLine="440" w:firstLineChars="200"/>
        <w:rPr>
          <w:color w:val="auto"/>
          <w:highlight w:val="none"/>
        </w:rPr>
      </w:pPr>
      <w:r>
        <w:rPr>
          <w:rFonts w:hint="eastAsia"/>
          <w:color w:val="auto"/>
          <w:highlight w:val="none"/>
        </w:rPr>
        <w:t>本项(2)目细化为：</w:t>
      </w:r>
    </w:p>
    <w:p>
      <w:pPr>
        <w:adjustRightInd w:val="0"/>
        <w:snapToGrid w:val="0"/>
        <w:spacing w:line="360" w:lineRule="auto"/>
        <w:ind w:firstLine="330" w:firstLineChars="150"/>
        <w:rPr>
          <w:color w:val="auto"/>
          <w:highlight w:val="none"/>
        </w:rPr>
      </w:pPr>
      <w:r>
        <w:rPr>
          <w:rFonts w:hint="eastAsia"/>
          <w:color w:val="auto"/>
          <w:highlight w:val="none"/>
        </w:rPr>
        <w:t>（2）对于合同中未明确指出的可预见的不利物质条件，无论承包人是否有其经历和经验，均视为承包人在接受合同时己预见其影响，并己在签约合同价中计入因其影响而可能发生的一切费用。</w:t>
      </w:r>
    </w:p>
    <w:p>
      <w:pPr>
        <w:adjustRightInd w:val="0"/>
        <w:snapToGrid w:val="0"/>
        <w:spacing w:line="360" w:lineRule="auto"/>
        <w:ind w:firstLine="440" w:firstLineChars="200"/>
        <w:rPr>
          <w:color w:val="auto"/>
          <w:highlight w:val="none"/>
        </w:rPr>
      </w:pPr>
    </w:p>
    <w:p>
      <w:pPr>
        <w:adjustRightInd w:val="0"/>
        <w:snapToGrid w:val="0"/>
        <w:spacing w:line="360" w:lineRule="auto"/>
        <w:ind w:firstLine="440" w:firstLineChars="200"/>
        <w:rPr>
          <w:color w:val="auto"/>
          <w:highlight w:val="none"/>
        </w:rPr>
      </w:pPr>
      <w:r>
        <w:rPr>
          <w:rFonts w:hint="eastAsia"/>
          <w:color w:val="auto"/>
          <w:highlight w:val="none"/>
        </w:rPr>
        <w:t>本项补充第(3)目：</w:t>
      </w:r>
    </w:p>
    <w:p>
      <w:pPr>
        <w:adjustRightInd w:val="0"/>
        <w:snapToGrid w:val="0"/>
        <w:spacing w:line="360" w:lineRule="auto"/>
        <w:ind w:firstLine="330" w:firstLineChars="150"/>
        <w:rPr>
          <w:color w:val="auto"/>
          <w:highlight w:val="none"/>
        </w:rPr>
      </w:pPr>
      <w:r>
        <w:rPr>
          <w:rFonts w:hint="eastAsia"/>
          <w:color w:val="auto"/>
          <w:highlight w:val="none"/>
        </w:rPr>
        <w:t>（3）如发生紧急情况，承包人认为将造成人员伤亡，或危及本工程或邻近的财产需立即采取行动，在这种情况下，即使没有监理人具体指令，承包人也应及时采取合理而恰当的措施，事后24小时内应报告监理人和发包人。</w:t>
      </w:r>
    </w:p>
    <w:p>
      <w:pPr>
        <w:pStyle w:val="243"/>
        <w:keepNext/>
        <w:keepLines/>
        <w:shd w:val="clear" w:color="auto" w:fill="auto"/>
        <w:adjustRightInd w:val="0"/>
        <w:snapToGrid w:val="0"/>
        <w:spacing w:line="360" w:lineRule="auto"/>
        <w:ind w:firstLine="0"/>
        <w:jc w:val="left"/>
        <w:outlineLvl w:val="9"/>
        <w:rPr>
          <w:rStyle w:val="238"/>
          <w:rFonts w:ascii="宋体" w:hAnsi="宋体" w:eastAsia="宋体"/>
          <w:color w:val="auto"/>
          <w:highlight w:val="none"/>
        </w:rPr>
      </w:pPr>
      <w:bookmarkStart w:id="3108" w:name="bookmark14"/>
    </w:p>
    <w:p>
      <w:pPr>
        <w:adjustRightInd w:val="0"/>
        <w:snapToGrid w:val="0"/>
        <w:spacing w:line="360" w:lineRule="auto"/>
        <w:rPr>
          <w:b/>
          <w:bCs/>
          <w:color w:val="auto"/>
          <w:highlight w:val="none"/>
        </w:rPr>
      </w:pPr>
      <w:bookmarkStart w:id="3109" w:name="_Toc25672"/>
      <w:bookmarkStart w:id="3110" w:name="_Toc4800"/>
      <w:bookmarkStart w:id="3111" w:name="_Toc256"/>
      <w:bookmarkStart w:id="3112" w:name="_Toc17074"/>
      <w:bookmarkStart w:id="3113" w:name="_Toc17245"/>
      <w:bookmarkStart w:id="3114" w:name="_Toc29410"/>
      <w:bookmarkStart w:id="3115" w:name="_Toc15774"/>
      <w:bookmarkStart w:id="3116" w:name="_Toc18411"/>
      <w:bookmarkStart w:id="3117" w:name="_Toc10193"/>
      <w:bookmarkStart w:id="3118" w:name="_Toc2731"/>
      <w:bookmarkStart w:id="3119" w:name="_Toc15967"/>
      <w:r>
        <w:rPr>
          <w:rStyle w:val="238"/>
          <w:rFonts w:ascii="宋体" w:hAnsi="宋体" w:eastAsia="宋体"/>
          <w:b/>
          <w:bCs/>
          <w:color w:val="auto"/>
          <w:highlight w:val="none"/>
        </w:rPr>
        <w:t>4.13</w:t>
      </w:r>
      <w:r>
        <w:rPr>
          <w:rFonts w:hint="eastAsia"/>
          <w:b/>
          <w:bCs/>
          <w:color w:val="auto"/>
          <w:highlight w:val="none"/>
        </w:rPr>
        <w:t>开展党建工作要求</w:t>
      </w:r>
      <w:bookmarkEnd w:id="3108"/>
      <w:bookmarkEnd w:id="3109"/>
      <w:bookmarkEnd w:id="3110"/>
      <w:bookmarkEnd w:id="3111"/>
      <w:bookmarkEnd w:id="3112"/>
      <w:bookmarkEnd w:id="3113"/>
      <w:bookmarkEnd w:id="3114"/>
      <w:bookmarkEnd w:id="3115"/>
      <w:bookmarkEnd w:id="3116"/>
      <w:bookmarkEnd w:id="3117"/>
      <w:bookmarkEnd w:id="3118"/>
      <w:bookmarkEnd w:id="3119"/>
    </w:p>
    <w:p>
      <w:pPr>
        <w:adjustRightInd w:val="0"/>
        <w:snapToGrid w:val="0"/>
        <w:spacing w:line="360" w:lineRule="auto"/>
        <w:ind w:left="520" w:right="2460"/>
        <w:rPr>
          <w:rStyle w:val="249"/>
          <w:rFonts w:ascii="宋体" w:hAnsi="宋体" w:eastAsia="宋体"/>
          <w:color w:val="auto"/>
          <w:highlight w:val="none"/>
        </w:rPr>
      </w:pPr>
      <w:r>
        <w:rPr>
          <w:rFonts w:hint="eastAsia"/>
          <w:color w:val="auto"/>
          <w:highlight w:val="none"/>
        </w:rPr>
        <w:t>第</w:t>
      </w:r>
      <w:r>
        <w:rPr>
          <w:rFonts w:hint="eastAsia"/>
          <w:color w:val="auto"/>
          <w:highlight w:val="none"/>
          <w:lang w:bidi="en-US"/>
        </w:rPr>
        <w:t>4.13</w:t>
      </w:r>
      <w:r>
        <w:rPr>
          <w:rFonts w:hint="eastAsia"/>
          <w:color w:val="auto"/>
          <w:highlight w:val="none"/>
        </w:rPr>
        <w:t>项细化为：</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p>
    <w:p>
      <w:pPr>
        <w:adjustRightInd w:val="0"/>
        <w:snapToGrid w:val="0"/>
        <w:spacing w:line="360" w:lineRule="auto"/>
        <w:ind w:left="520" w:right="2460"/>
        <w:rPr>
          <w:color w:val="auto"/>
          <w:highlight w:val="none"/>
        </w:rPr>
      </w:pPr>
    </w:p>
    <w:p>
      <w:pPr>
        <w:adjustRightInd w:val="0"/>
        <w:snapToGrid w:val="0"/>
        <w:spacing w:line="360" w:lineRule="auto"/>
        <w:ind w:left="520" w:right="2460"/>
        <w:rPr>
          <w:color w:val="auto"/>
          <w:highlight w:val="none"/>
        </w:rPr>
      </w:pPr>
      <w:r>
        <w:rPr>
          <w:rFonts w:hint="eastAsia"/>
          <w:color w:val="auto"/>
          <w:highlight w:val="none"/>
          <w:lang w:val="en-US"/>
        </w:rPr>
        <w:t>补充</w:t>
      </w:r>
      <w:r>
        <w:rPr>
          <w:rFonts w:hint="eastAsia"/>
          <w:color w:val="auto"/>
          <w:highlight w:val="none"/>
        </w:rPr>
        <w:t>第</w:t>
      </w:r>
      <w:r>
        <w:rPr>
          <w:rFonts w:hint="eastAsia"/>
          <w:color w:val="auto"/>
          <w:highlight w:val="none"/>
          <w:lang w:bidi="en-US"/>
        </w:rPr>
        <w:t>4.14</w:t>
      </w:r>
      <w:r>
        <w:rPr>
          <w:rFonts w:hint="eastAsia"/>
          <w:color w:val="auto"/>
          <w:highlight w:val="none"/>
        </w:rPr>
        <w:t>款：</w:t>
      </w:r>
    </w:p>
    <w:p>
      <w:pPr>
        <w:adjustRightInd w:val="0"/>
        <w:snapToGrid w:val="0"/>
        <w:spacing w:line="360" w:lineRule="auto"/>
        <w:rPr>
          <w:b/>
          <w:bCs/>
          <w:color w:val="auto"/>
          <w:highlight w:val="none"/>
        </w:rPr>
      </w:pPr>
      <w:bookmarkStart w:id="3120" w:name="_Toc1579"/>
      <w:bookmarkStart w:id="3121" w:name="_Toc28613"/>
      <w:bookmarkStart w:id="3122" w:name="_Toc27874"/>
      <w:bookmarkStart w:id="3123" w:name="_Toc4563"/>
      <w:bookmarkStart w:id="3124" w:name="_Toc24642"/>
      <w:bookmarkStart w:id="3125" w:name="_Toc12177"/>
      <w:bookmarkStart w:id="3126" w:name="_Toc21477"/>
      <w:bookmarkStart w:id="3127" w:name="bookmark15"/>
      <w:bookmarkStart w:id="3128" w:name="_Toc25244"/>
      <w:bookmarkStart w:id="3129" w:name="_Toc8318"/>
      <w:bookmarkStart w:id="3130" w:name="_Toc30522"/>
      <w:bookmarkStart w:id="3131" w:name="_Toc22984"/>
      <w:r>
        <w:rPr>
          <w:rStyle w:val="238"/>
          <w:rFonts w:ascii="宋体" w:hAnsi="宋体" w:eastAsia="宋体"/>
          <w:b/>
          <w:bCs/>
          <w:color w:val="auto"/>
          <w:highlight w:val="none"/>
        </w:rPr>
        <w:t>4.14</w:t>
      </w:r>
      <w:r>
        <w:rPr>
          <w:rFonts w:hint="eastAsia"/>
          <w:b/>
          <w:bCs/>
          <w:color w:val="auto"/>
          <w:highlight w:val="none"/>
        </w:rPr>
        <w:t>承包人施工方案的充分性</w:t>
      </w:r>
      <w:bookmarkEnd w:id="3120"/>
      <w:bookmarkEnd w:id="3121"/>
      <w:bookmarkEnd w:id="3122"/>
      <w:bookmarkEnd w:id="3123"/>
      <w:bookmarkEnd w:id="3124"/>
      <w:bookmarkEnd w:id="3125"/>
      <w:bookmarkEnd w:id="3126"/>
      <w:bookmarkEnd w:id="3127"/>
      <w:bookmarkEnd w:id="3128"/>
      <w:bookmarkEnd w:id="3129"/>
      <w:bookmarkEnd w:id="3130"/>
      <w:bookmarkEnd w:id="3131"/>
    </w:p>
    <w:p>
      <w:pPr>
        <w:adjustRightInd w:val="0"/>
        <w:snapToGrid w:val="0"/>
        <w:spacing w:line="360" w:lineRule="auto"/>
        <w:ind w:firstLine="520"/>
        <w:rPr>
          <w:color w:val="auto"/>
          <w:highlight w:val="none"/>
        </w:rPr>
      </w:pPr>
      <w:r>
        <w:rPr>
          <w:rFonts w:hint="eastAsia"/>
          <w:color w:val="auto"/>
          <w:highlight w:val="none"/>
        </w:rPr>
        <w:t>承包人应根据现场实际情况在投标文件中考虑切实可行的施工方案及费用，发包人不补偿因施工方案改变而引起的费用。施工过程中由于承包人的施工方案未考虑周全而造成的经济损失(包括调整施工方案所增加的费用)由承包人自行负责。</w:t>
      </w:r>
    </w:p>
    <w:p>
      <w:pPr>
        <w:adjustRightInd w:val="0"/>
        <w:snapToGrid w:val="0"/>
        <w:spacing w:line="360" w:lineRule="auto"/>
        <w:ind w:firstLine="520"/>
        <w:rPr>
          <w:color w:val="auto"/>
          <w:highlight w:val="none"/>
        </w:rPr>
      </w:pPr>
    </w:p>
    <w:p>
      <w:pPr>
        <w:adjustRightInd w:val="0"/>
        <w:snapToGrid w:val="0"/>
        <w:spacing w:line="360" w:lineRule="auto"/>
        <w:outlineLvl w:val="2"/>
        <w:rPr>
          <w:b/>
          <w:bCs/>
          <w:color w:val="auto"/>
          <w:highlight w:val="none"/>
        </w:rPr>
      </w:pPr>
      <w:bookmarkStart w:id="3132" w:name="_Toc13437"/>
      <w:bookmarkStart w:id="3133" w:name="_Toc4849"/>
      <w:bookmarkStart w:id="3134" w:name="_Toc2769"/>
      <w:bookmarkStart w:id="3135" w:name="_Toc21690"/>
      <w:bookmarkStart w:id="3136" w:name="_Toc21860"/>
      <w:bookmarkStart w:id="3137" w:name="_Toc821"/>
      <w:bookmarkStart w:id="3138" w:name="_Toc30481"/>
      <w:bookmarkStart w:id="3139" w:name="_Toc7442"/>
      <w:bookmarkStart w:id="3140" w:name="_Toc17116"/>
      <w:bookmarkStart w:id="3141" w:name="_Toc19711"/>
      <w:bookmarkStart w:id="3142" w:name="_Toc13262"/>
      <w:bookmarkStart w:id="3143" w:name="_Toc24556"/>
      <w:bookmarkStart w:id="3144" w:name="_Toc27854"/>
      <w:bookmarkStart w:id="3145" w:name="_Toc30586"/>
      <w:bookmarkStart w:id="3146" w:name="_Toc11835"/>
      <w:bookmarkStart w:id="3147" w:name="_Toc32616"/>
      <w:bookmarkStart w:id="3148" w:name="_Toc9635"/>
      <w:bookmarkStart w:id="3149" w:name="_Toc10112"/>
      <w:bookmarkStart w:id="3150" w:name="bookmark16"/>
      <w:bookmarkStart w:id="3151" w:name="_Toc29240"/>
      <w:bookmarkStart w:id="3152" w:name="_Toc21998"/>
      <w:bookmarkStart w:id="3153" w:name="_Toc9430"/>
      <w:r>
        <w:rPr>
          <w:rFonts w:hint="eastAsia"/>
          <w:b/>
          <w:bCs/>
          <w:color w:val="auto"/>
          <w:highlight w:val="none"/>
          <w:lang w:val="en-US"/>
        </w:rPr>
        <w:t>5.</w:t>
      </w:r>
      <w:r>
        <w:rPr>
          <w:rFonts w:hint="eastAsia"/>
          <w:b/>
          <w:bCs/>
          <w:color w:val="auto"/>
          <w:highlight w:val="none"/>
        </w:rPr>
        <w:t>材料和工程设备</w:t>
      </w:r>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pPr>
        <w:adjustRightInd w:val="0"/>
        <w:snapToGrid w:val="0"/>
        <w:spacing w:line="360" w:lineRule="auto"/>
        <w:rPr>
          <w:b/>
          <w:bCs/>
          <w:color w:val="auto"/>
          <w:highlight w:val="none"/>
        </w:rPr>
      </w:pPr>
      <w:bookmarkStart w:id="3154" w:name="_Toc26268"/>
      <w:bookmarkStart w:id="3155" w:name="_Toc2915"/>
      <w:bookmarkStart w:id="3156" w:name="_Toc32277"/>
      <w:bookmarkStart w:id="3157" w:name="_Toc6104"/>
      <w:bookmarkStart w:id="3158" w:name="_Toc9448"/>
      <w:bookmarkStart w:id="3159" w:name="_Toc30317"/>
      <w:bookmarkStart w:id="3160" w:name="_Toc23636"/>
      <w:bookmarkStart w:id="3161" w:name="_Toc30590"/>
      <w:bookmarkStart w:id="3162" w:name="bookmark17"/>
      <w:bookmarkStart w:id="3163" w:name="_Toc25036"/>
      <w:bookmarkStart w:id="3164" w:name="_Toc215"/>
      <w:bookmarkStart w:id="3165" w:name="_Toc6363"/>
      <w:r>
        <w:rPr>
          <w:rStyle w:val="238"/>
          <w:rFonts w:ascii="宋体" w:hAnsi="宋体" w:eastAsia="宋体"/>
          <w:b/>
          <w:bCs/>
          <w:color w:val="auto"/>
          <w:highlight w:val="none"/>
        </w:rPr>
        <w:t>5.1</w:t>
      </w:r>
      <w:r>
        <w:rPr>
          <w:rFonts w:hint="eastAsia"/>
          <w:b/>
          <w:bCs/>
          <w:color w:val="auto"/>
          <w:highlight w:val="none"/>
        </w:rPr>
        <w:t>承包人提供的材料和工程设备</w:t>
      </w:r>
      <w:bookmarkEnd w:id="3154"/>
      <w:bookmarkEnd w:id="3155"/>
      <w:bookmarkEnd w:id="3156"/>
      <w:bookmarkEnd w:id="3157"/>
      <w:bookmarkEnd w:id="3158"/>
      <w:bookmarkEnd w:id="3159"/>
      <w:bookmarkEnd w:id="3160"/>
      <w:bookmarkEnd w:id="3161"/>
      <w:bookmarkEnd w:id="3162"/>
      <w:bookmarkEnd w:id="3163"/>
      <w:bookmarkEnd w:id="3164"/>
      <w:bookmarkEnd w:id="3165"/>
    </w:p>
    <w:p>
      <w:pPr>
        <w:adjustRightInd w:val="0"/>
        <w:snapToGrid w:val="0"/>
        <w:spacing w:line="360" w:lineRule="auto"/>
        <w:ind w:firstLine="520"/>
        <w:rPr>
          <w:color w:val="auto"/>
          <w:highlight w:val="none"/>
        </w:rPr>
      </w:pPr>
      <w:r>
        <w:rPr>
          <w:rFonts w:hint="eastAsia"/>
          <w:color w:val="auto"/>
          <w:highlight w:val="none"/>
        </w:rPr>
        <w:t>第</w:t>
      </w:r>
      <w:r>
        <w:rPr>
          <w:rFonts w:hint="eastAsia"/>
          <w:color w:val="auto"/>
          <w:highlight w:val="none"/>
          <w:lang w:bidi="en-US"/>
        </w:rPr>
        <w:t>5.1.2</w:t>
      </w:r>
      <w:r>
        <w:rPr>
          <w:rFonts w:hint="eastAsia"/>
          <w:color w:val="auto"/>
          <w:highlight w:val="none"/>
        </w:rPr>
        <w:t>项补充：</w:t>
      </w:r>
      <w:r>
        <w:rPr>
          <w:rStyle w:val="248"/>
          <w:rFonts w:ascii="宋体" w:hAnsi="宋体" w:eastAsia="宋体"/>
          <w:color w:val="auto"/>
          <w:highlight w:val="none"/>
        </w:rPr>
        <w:t>详见《项目专用合同条款数据表》</w:t>
      </w:r>
      <w:r>
        <w:rPr>
          <w:rFonts w:hint="eastAsia"/>
          <w:color w:val="auto"/>
          <w:highlight w:val="none"/>
        </w:rPr>
        <w:t>。</w:t>
      </w:r>
    </w:p>
    <w:p>
      <w:pPr>
        <w:pStyle w:val="243"/>
        <w:keepNext/>
        <w:keepLines/>
        <w:shd w:val="clear" w:color="auto" w:fill="auto"/>
        <w:adjustRightInd w:val="0"/>
        <w:snapToGrid w:val="0"/>
        <w:spacing w:line="360" w:lineRule="auto"/>
        <w:ind w:firstLine="0"/>
        <w:jc w:val="left"/>
        <w:outlineLvl w:val="9"/>
        <w:rPr>
          <w:rStyle w:val="238"/>
          <w:rFonts w:ascii="宋体" w:hAnsi="宋体" w:eastAsia="宋体"/>
          <w:color w:val="auto"/>
          <w:highlight w:val="none"/>
        </w:rPr>
      </w:pPr>
      <w:bookmarkStart w:id="3166" w:name="bookmark18"/>
    </w:p>
    <w:p>
      <w:pPr>
        <w:adjustRightInd w:val="0"/>
        <w:snapToGrid w:val="0"/>
        <w:spacing w:line="360" w:lineRule="auto"/>
        <w:rPr>
          <w:b/>
          <w:bCs/>
          <w:color w:val="auto"/>
          <w:highlight w:val="none"/>
        </w:rPr>
      </w:pPr>
      <w:bookmarkStart w:id="3167" w:name="_Toc4976"/>
      <w:bookmarkStart w:id="3168" w:name="_Toc28910"/>
      <w:bookmarkStart w:id="3169" w:name="_Toc11149"/>
      <w:bookmarkStart w:id="3170" w:name="_Toc4441"/>
      <w:bookmarkStart w:id="3171" w:name="_Toc7118"/>
      <w:bookmarkStart w:id="3172" w:name="_Toc8268"/>
      <w:bookmarkStart w:id="3173" w:name="_Toc29303"/>
      <w:bookmarkStart w:id="3174" w:name="_Toc10699"/>
      <w:bookmarkStart w:id="3175" w:name="_Toc21834"/>
      <w:bookmarkStart w:id="3176" w:name="_Toc19123"/>
      <w:bookmarkStart w:id="3177" w:name="_Toc10754"/>
      <w:r>
        <w:rPr>
          <w:rStyle w:val="238"/>
          <w:rFonts w:ascii="宋体" w:hAnsi="宋体" w:eastAsia="宋体"/>
          <w:b/>
          <w:bCs/>
          <w:color w:val="auto"/>
          <w:highlight w:val="none"/>
        </w:rPr>
        <w:t>5.2</w:t>
      </w:r>
      <w:r>
        <w:rPr>
          <w:rFonts w:hint="eastAsia"/>
          <w:b/>
          <w:bCs/>
          <w:color w:val="auto"/>
          <w:highlight w:val="none"/>
        </w:rPr>
        <w:t>发包人提供的材料和工程设备</w:t>
      </w:r>
      <w:bookmarkEnd w:id="3166"/>
      <w:bookmarkEnd w:id="3167"/>
      <w:bookmarkEnd w:id="3168"/>
      <w:bookmarkEnd w:id="3169"/>
      <w:bookmarkEnd w:id="3170"/>
      <w:bookmarkEnd w:id="3171"/>
      <w:bookmarkEnd w:id="3172"/>
      <w:bookmarkEnd w:id="3173"/>
      <w:bookmarkEnd w:id="3174"/>
      <w:bookmarkEnd w:id="3175"/>
      <w:bookmarkEnd w:id="3176"/>
      <w:bookmarkEnd w:id="3177"/>
    </w:p>
    <w:p>
      <w:pPr>
        <w:adjustRightInd w:val="0"/>
        <w:snapToGrid w:val="0"/>
        <w:spacing w:line="360" w:lineRule="auto"/>
        <w:ind w:firstLine="520"/>
        <w:rPr>
          <w:color w:val="auto"/>
          <w:highlight w:val="none"/>
        </w:rPr>
      </w:pPr>
      <w:r>
        <w:rPr>
          <w:rFonts w:hint="eastAsia"/>
          <w:color w:val="auto"/>
          <w:highlight w:val="none"/>
          <w:lang w:bidi="en-US"/>
        </w:rPr>
        <w:t>5.2.1</w:t>
      </w:r>
      <w:r>
        <w:rPr>
          <w:rFonts w:hint="eastAsia"/>
          <w:color w:val="auto"/>
          <w:highlight w:val="none"/>
        </w:rPr>
        <w:t>发包人提供的材料和</w:t>
      </w:r>
      <w:r>
        <w:rPr>
          <w:rFonts w:hint="eastAsia"/>
          <w:color w:val="auto"/>
          <w:highlight w:val="none"/>
          <w:lang w:val="en-US"/>
        </w:rPr>
        <w:t>工程</w:t>
      </w:r>
      <w:r>
        <w:rPr>
          <w:rFonts w:hint="eastAsia"/>
          <w:color w:val="auto"/>
          <w:highlight w:val="none"/>
        </w:rPr>
        <w:t>设备：</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r>
        <w:rPr>
          <w:rStyle w:val="249"/>
          <w:rFonts w:hint="eastAsia"/>
          <w:color w:val="auto"/>
          <w:highlight w:val="none"/>
          <w:u w:val="none"/>
        </w:rPr>
        <w:t>。</w:t>
      </w:r>
    </w:p>
    <w:p>
      <w:pPr>
        <w:adjustRightInd w:val="0"/>
        <w:snapToGrid w:val="0"/>
        <w:spacing w:line="360" w:lineRule="auto"/>
        <w:ind w:firstLine="520"/>
        <w:rPr>
          <w:color w:val="auto"/>
          <w:highlight w:val="none"/>
        </w:rPr>
      </w:pPr>
    </w:p>
    <w:p>
      <w:pPr>
        <w:adjustRightInd w:val="0"/>
        <w:snapToGrid w:val="0"/>
        <w:spacing w:line="360" w:lineRule="auto"/>
        <w:ind w:firstLine="520"/>
        <w:rPr>
          <w:color w:val="auto"/>
          <w:highlight w:val="none"/>
        </w:rPr>
      </w:pPr>
      <w:r>
        <w:rPr>
          <w:rFonts w:hint="eastAsia"/>
          <w:color w:val="auto"/>
          <w:highlight w:val="none"/>
        </w:rPr>
        <w:t>补充第</w:t>
      </w:r>
      <w:r>
        <w:rPr>
          <w:rFonts w:hint="eastAsia"/>
          <w:color w:val="auto"/>
          <w:highlight w:val="none"/>
          <w:lang w:bidi="en-US"/>
        </w:rPr>
        <w:t>5.5</w:t>
      </w:r>
      <w:r>
        <w:rPr>
          <w:rFonts w:hint="eastAsia"/>
          <w:color w:val="auto"/>
          <w:highlight w:val="none"/>
        </w:rPr>
        <w:t>款：</w:t>
      </w:r>
    </w:p>
    <w:p>
      <w:pPr>
        <w:adjustRightInd w:val="0"/>
        <w:snapToGrid w:val="0"/>
        <w:spacing w:line="360" w:lineRule="auto"/>
        <w:rPr>
          <w:b/>
          <w:bCs/>
          <w:color w:val="auto"/>
          <w:highlight w:val="none"/>
        </w:rPr>
      </w:pPr>
      <w:bookmarkStart w:id="3178" w:name="_Toc17143"/>
      <w:bookmarkStart w:id="3179" w:name="_Toc6749"/>
      <w:bookmarkStart w:id="3180" w:name="_Toc3989"/>
      <w:bookmarkStart w:id="3181" w:name="_Toc14608"/>
      <w:bookmarkStart w:id="3182" w:name="_Toc20531"/>
      <w:bookmarkStart w:id="3183" w:name="_Toc25572"/>
      <w:bookmarkStart w:id="3184" w:name="_Toc14196"/>
      <w:bookmarkStart w:id="3185" w:name="_Toc32396"/>
      <w:bookmarkStart w:id="3186" w:name="bookmark19"/>
      <w:bookmarkStart w:id="3187" w:name="_Toc28977"/>
      <w:bookmarkStart w:id="3188" w:name="_Toc32700"/>
      <w:bookmarkStart w:id="3189" w:name="_Toc5134"/>
      <w:r>
        <w:rPr>
          <w:rStyle w:val="238"/>
          <w:rFonts w:ascii="宋体" w:hAnsi="宋体" w:eastAsia="宋体"/>
          <w:b/>
          <w:bCs/>
          <w:color w:val="auto"/>
          <w:highlight w:val="none"/>
        </w:rPr>
        <w:t>5.5</w:t>
      </w:r>
      <w:r>
        <w:rPr>
          <w:rFonts w:hint="eastAsia"/>
          <w:b/>
          <w:bCs/>
          <w:color w:val="auto"/>
          <w:highlight w:val="none"/>
        </w:rPr>
        <w:t>代用材料的使用</w:t>
      </w:r>
      <w:bookmarkEnd w:id="3178"/>
      <w:bookmarkEnd w:id="3179"/>
      <w:bookmarkEnd w:id="3180"/>
      <w:bookmarkEnd w:id="3181"/>
      <w:bookmarkEnd w:id="3182"/>
      <w:bookmarkEnd w:id="3183"/>
      <w:bookmarkEnd w:id="3184"/>
      <w:bookmarkEnd w:id="3185"/>
      <w:bookmarkEnd w:id="3186"/>
      <w:bookmarkEnd w:id="3187"/>
      <w:bookmarkEnd w:id="3188"/>
      <w:bookmarkEnd w:id="3189"/>
    </w:p>
    <w:p>
      <w:pPr>
        <w:adjustRightInd w:val="0"/>
        <w:snapToGrid w:val="0"/>
        <w:spacing w:line="360" w:lineRule="auto"/>
        <w:ind w:firstLine="520"/>
        <w:rPr>
          <w:color w:val="auto"/>
          <w:highlight w:val="none"/>
        </w:rPr>
      </w:pPr>
      <w:r>
        <w:rPr>
          <w:rFonts w:hint="eastAsia"/>
          <w:color w:val="auto"/>
          <w:highlight w:val="none"/>
          <w:lang w:bidi="en-US"/>
        </w:rPr>
        <w:t>5.5.1</w:t>
      </w:r>
      <w:r>
        <w:rPr>
          <w:rFonts w:hint="eastAsia"/>
          <w:color w:val="auto"/>
          <w:highlight w:val="none"/>
        </w:rPr>
        <w:t>承包人需要使用代用材料时，应经监理人认可并由发包人同意后才能使用， 由此增减的合同价款双方以书面形式议定。承包人需要使用代用材料，仅限于出现下列情况时：</w:t>
      </w:r>
    </w:p>
    <w:p>
      <w:pPr>
        <w:tabs>
          <w:tab w:val="left" w:pos="116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）市场上无供应或在一定时间内突然供应短缺；</w:t>
      </w:r>
    </w:p>
    <w:p>
      <w:pPr>
        <w:tabs>
          <w:tab w:val="left" w:pos="116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）政府或有关管理机构的后继规章、规定禁止使用；</w:t>
      </w:r>
    </w:p>
    <w:p>
      <w:pPr>
        <w:tabs>
          <w:tab w:val="left" w:pos="114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）发包人或监理人要求使用其他替代品；或者承包人提出，发包人和监理人批准使用其他替代品；</w:t>
      </w:r>
    </w:p>
    <w:p>
      <w:pPr>
        <w:tabs>
          <w:tab w:val="left" w:pos="117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）任何其他可能的原因使得使用其他替代品成为必要。</w:t>
      </w:r>
    </w:p>
    <w:p>
      <w:pPr>
        <w:adjustRightInd w:val="0"/>
        <w:snapToGrid w:val="0"/>
        <w:spacing w:line="360" w:lineRule="auto"/>
        <w:ind w:firstLine="520"/>
        <w:rPr>
          <w:color w:val="auto"/>
          <w:highlight w:val="none"/>
        </w:rPr>
      </w:pPr>
      <w:r>
        <w:rPr>
          <w:rFonts w:hint="eastAsia"/>
          <w:color w:val="auto"/>
          <w:highlight w:val="none"/>
        </w:rPr>
        <w:t>没有发包人的书面同意，承包人不得自行采购第</w:t>
      </w:r>
      <w:r>
        <w:rPr>
          <w:rFonts w:hint="eastAsia"/>
          <w:color w:val="auto"/>
          <w:highlight w:val="none"/>
          <w:lang w:bidi="en-US"/>
        </w:rPr>
        <w:t>5.2.1</w:t>
      </w:r>
      <w:r>
        <w:rPr>
          <w:rFonts w:hint="eastAsia"/>
          <w:color w:val="auto"/>
          <w:highlight w:val="none"/>
        </w:rPr>
        <w:t>项规定的材料，否则监理人、发包人应拒收这些材料，承包人应赔偿由此带来的一切损失。无论出现任何情况，承包人均不得售卖发包人供应的材料，否则一经查实,发包人有权对承包人处以售卖材料金额两倍的罚款。</w:t>
      </w:r>
    </w:p>
    <w:p>
      <w:pPr>
        <w:adjustRightInd w:val="0"/>
        <w:snapToGrid w:val="0"/>
        <w:spacing w:line="360" w:lineRule="auto"/>
        <w:ind w:firstLine="520"/>
        <w:rPr>
          <w:color w:val="auto"/>
          <w:highlight w:val="none"/>
        </w:rPr>
      </w:pPr>
      <w:r>
        <w:rPr>
          <w:rFonts w:hint="eastAsia"/>
          <w:color w:val="auto"/>
          <w:highlight w:val="none"/>
        </w:rPr>
        <w:t>如果使用代用材料，承包人应至少在被代换品按批准的进度计划将被用于工程前</w:t>
      </w:r>
      <w:r>
        <w:rPr>
          <w:rStyle w:val="238"/>
          <w:rFonts w:ascii="宋体" w:hAnsi="宋体" w:eastAsia="宋体"/>
          <w:color w:val="auto"/>
          <w:sz w:val="22"/>
          <w:highlight w:val="none"/>
        </w:rPr>
        <w:t xml:space="preserve">14 </w:t>
      </w:r>
      <w:r>
        <w:rPr>
          <w:rFonts w:hint="eastAsia"/>
          <w:color w:val="auto"/>
          <w:highlight w:val="none"/>
        </w:rPr>
        <w:t>天以书面形式通知监理人并随此通知提交下列文件：</w:t>
      </w:r>
    </w:p>
    <w:p>
      <w:pPr>
        <w:tabs>
          <w:tab w:val="left" w:pos="1123"/>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）拟采用的替代品的名称、数量、规格、型号、品牌、性能、价格及其他必要的详细资料；</w:t>
      </w:r>
    </w:p>
    <w:p>
      <w:pPr>
        <w:tabs>
          <w:tab w:val="left" w:pos="117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）替代品使用的工程部位；</w:t>
      </w:r>
    </w:p>
    <w:p>
      <w:pPr>
        <w:tabs>
          <w:tab w:val="left" w:pos="117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）采用替代品的理由和原因申述；</w:t>
      </w:r>
    </w:p>
    <w:p>
      <w:pPr>
        <w:tabs>
          <w:tab w:val="left" w:pos="113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）替代品与合同中约定的产品之间的差异以及使用替代品后可能对工程产生任何方面的影响；</w:t>
      </w:r>
    </w:p>
    <w:p>
      <w:pPr>
        <w:tabs>
          <w:tab w:val="left" w:pos="117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）价格上的差异；</w:t>
      </w:r>
    </w:p>
    <w:p>
      <w:pPr>
        <w:tabs>
          <w:tab w:val="left" w:pos="117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）监理人为作出适当的决定而随时要求承包人提供的任何其他文件</w:t>
      </w:r>
    </w:p>
    <w:p>
      <w:pPr>
        <w:adjustRightInd w:val="0"/>
        <w:snapToGrid w:val="0"/>
        <w:spacing w:line="360" w:lineRule="auto"/>
        <w:ind w:firstLine="520"/>
        <w:rPr>
          <w:color w:val="auto"/>
          <w:highlight w:val="none"/>
        </w:rPr>
      </w:pPr>
      <w:r>
        <w:rPr>
          <w:rFonts w:hint="eastAsia"/>
          <w:color w:val="auto"/>
          <w:highlight w:val="none"/>
        </w:rPr>
        <w:t>监理人在收到此类通知及上述文件后，应在</w:t>
      </w:r>
      <w:r>
        <w:rPr>
          <w:rStyle w:val="238"/>
          <w:rFonts w:ascii="宋体" w:hAnsi="宋体" w:eastAsia="宋体"/>
          <w:color w:val="auto"/>
          <w:sz w:val="22"/>
          <w:highlight w:val="none"/>
        </w:rPr>
        <w:t>14</w:t>
      </w:r>
      <w:r>
        <w:rPr>
          <w:rFonts w:hint="eastAsia"/>
          <w:color w:val="auto"/>
          <w:highlight w:val="none"/>
        </w:rPr>
        <w:t>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pPr>
        <w:pStyle w:val="241"/>
        <w:keepNext/>
        <w:keepLines/>
        <w:shd w:val="clear" w:color="auto" w:fill="auto"/>
        <w:tabs>
          <w:tab w:val="left" w:pos="373"/>
        </w:tabs>
        <w:adjustRightInd w:val="0"/>
        <w:snapToGrid w:val="0"/>
        <w:spacing w:before="0" w:line="360" w:lineRule="auto"/>
        <w:ind w:firstLine="0"/>
        <w:outlineLvl w:val="2"/>
        <w:rPr>
          <w:rFonts w:ascii="宋体" w:hAnsi="宋体" w:eastAsia="宋体"/>
          <w:color w:val="auto"/>
          <w:sz w:val="22"/>
          <w:szCs w:val="22"/>
          <w:highlight w:val="none"/>
        </w:rPr>
      </w:pPr>
      <w:bookmarkStart w:id="3190" w:name="bookmark20"/>
    </w:p>
    <w:p>
      <w:pPr>
        <w:adjustRightInd w:val="0"/>
        <w:snapToGrid w:val="0"/>
        <w:spacing w:line="360" w:lineRule="auto"/>
        <w:outlineLvl w:val="2"/>
        <w:rPr>
          <w:b/>
          <w:bCs/>
          <w:color w:val="auto"/>
          <w:highlight w:val="none"/>
          <w:lang w:val="en-US"/>
        </w:rPr>
      </w:pPr>
      <w:bookmarkStart w:id="3191" w:name="_Toc24480"/>
      <w:bookmarkStart w:id="3192" w:name="_Toc12660"/>
      <w:bookmarkStart w:id="3193" w:name="_Toc26124"/>
      <w:bookmarkStart w:id="3194" w:name="_Toc23831"/>
      <w:bookmarkStart w:id="3195" w:name="_Toc16417"/>
      <w:bookmarkStart w:id="3196" w:name="_Toc8331"/>
      <w:bookmarkStart w:id="3197" w:name="_Toc21142"/>
      <w:bookmarkStart w:id="3198" w:name="_Toc11833"/>
      <w:bookmarkStart w:id="3199" w:name="_Toc32412"/>
      <w:bookmarkStart w:id="3200" w:name="_Toc26703"/>
      <w:bookmarkStart w:id="3201" w:name="_Toc31544"/>
      <w:bookmarkStart w:id="3202" w:name="_Toc17283"/>
      <w:bookmarkStart w:id="3203" w:name="_Toc17042"/>
      <w:bookmarkStart w:id="3204" w:name="_Toc8729"/>
      <w:bookmarkStart w:id="3205" w:name="_Toc23022"/>
      <w:bookmarkStart w:id="3206" w:name="_Toc17385"/>
      <w:bookmarkStart w:id="3207" w:name="_Toc5672"/>
      <w:bookmarkStart w:id="3208" w:name="_Toc1099"/>
      <w:bookmarkStart w:id="3209" w:name="_Toc26010"/>
      <w:bookmarkStart w:id="3210" w:name="_Toc10056"/>
      <w:bookmarkStart w:id="3211" w:name="_Toc25130"/>
      <w:r>
        <w:rPr>
          <w:rFonts w:hint="eastAsia"/>
          <w:b/>
          <w:bCs/>
          <w:color w:val="auto"/>
          <w:highlight w:val="none"/>
          <w:lang w:val="en-US"/>
        </w:rPr>
        <w:t>6.施工设备和临时设施</w:t>
      </w:r>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p>
    <w:p>
      <w:pPr>
        <w:adjustRightInd w:val="0"/>
        <w:snapToGrid w:val="0"/>
        <w:spacing w:line="360" w:lineRule="auto"/>
        <w:rPr>
          <w:b/>
          <w:bCs/>
          <w:color w:val="auto"/>
          <w:highlight w:val="none"/>
        </w:rPr>
      </w:pPr>
      <w:bookmarkStart w:id="3212" w:name="_Toc5668"/>
      <w:bookmarkStart w:id="3213" w:name="_Toc27111"/>
      <w:bookmarkStart w:id="3214" w:name="_Toc5317"/>
      <w:bookmarkStart w:id="3215" w:name="_Toc16292"/>
      <w:bookmarkStart w:id="3216" w:name="_Toc7982"/>
      <w:bookmarkStart w:id="3217" w:name="_Toc26133"/>
      <w:bookmarkStart w:id="3218" w:name="_Toc20460"/>
      <w:bookmarkStart w:id="3219" w:name="_Toc24901"/>
      <w:bookmarkStart w:id="3220" w:name="_Toc3478"/>
      <w:bookmarkStart w:id="3221" w:name="_Toc5837"/>
      <w:bookmarkStart w:id="3222" w:name="bookmark21"/>
      <w:bookmarkStart w:id="3223" w:name="_Toc1584"/>
      <w:r>
        <w:rPr>
          <w:rStyle w:val="238"/>
          <w:rFonts w:ascii="宋体" w:hAnsi="宋体" w:eastAsia="宋体"/>
          <w:b/>
          <w:bCs/>
          <w:color w:val="auto"/>
          <w:highlight w:val="none"/>
        </w:rPr>
        <w:t>6.2</w:t>
      </w:r>
      <w:r>
        <w:rPr>
          <w:rFonts w:hint="eastAsia"/>
          <w:b/>
          <w:bCs/>
          <w:color w:val="auto"/>
          <w:highlight w:val="none"/>
        </w:rPr>
        <w:t>发包人提供的施工设备和临时设施</w:t>
      </w:r>
      <w:bookmarkEnd w:id="3212"/>
      <w:bookmarkEnd w:id="3213"/>
      <w:bookmarkEnd w:id="3214"/>
      <w:bookmarkEnd w:id="3215"/>
      <w:bookmarkEnd w:id="3216"/>
      <w:bookmarkEnd w:id="3217"/>
      <w:bookmarkEnd w:id="3218"/>
      <w:bookmarkEnd w:id="3219"/>
      <w:bookmarkEnd w:id="3220"/>
      <w:bookmarkEnd w:id="3221"/>
      <w:bookmarkEnd w:id="3222"/>
      <w:bookmarkEnd w:id="3223"/>
    </w:p>
    <w:p>
      <w:pPr>
        <w:adjustRightInd w:val="0"/>
        <w:snapToGrid w:val="0"/>
        <w:spacing w:line="360" w:lineRule="auto"/>
        <w:ind w:firstLine="520"/>
        <w:rPr>
          <w:color w:val="auto"/>
          <w:highlight w:val="none"/>
        </w:rPr>
      </w:pPr>
      <w:r>
        <w:rPr>
          <w:rFonts w:hint="eastAsia"/>
          <w:color w:val="auto"/>
          <w:highlight w:val="none"/>
        </w:rPr>
        <w:t>发包人提供的施工设备或临时设施：</w:t>
      </w:r>
      <w:r>
        <w:rPr>
          <w:rStyle w:val="248"/>
          <w:rFonts w:ascii="宋体" w:hAnsi="宋体" w:eastAsia="宋体"/>
          <w:color w:val="auto"/>
          <w:highlight w:val="none"/>
        </w:rPr>
        <w:t>详见《项目专用合同条款数据表》</w:t>
      </w:r>
    </w:p>
    <w:p>
      <w:pPr>
        <w:adjustRightInd w:val="0"/>
        <w:snapToGrid w:val="0"/>
        <w:spacing w:line="360" w:lineRule="auto"/>
        <w:ind w:firstLine="520"/>
        <w:rPr>
          <w:color w:val="auto"/>
          <w:highlight w:val="none"/>
        </w:rPr>
      </w:pPr>
    </w:p>
    <w:p>
      <w:pPr>
        <w:adjustRightInd w:val="0"/>
        <w:snapToGrid w:val="0"/>
        <w:spacing w:line="360" w:lineRule="auto"/>
        <w:ind w:firstLine="520"/>
        <w:rPr>
          <w:color w:val="auto"/>
          <w:highlight w:val="none"/>
        </w:rPr>
      </w:pPr>
      <w:r>
        <w:rPr>
          <w:rFonts w:hint="eastAsia"/>
          <w:color w:val="auto"/>
          <w:highlight w:val="none"/>
        </w:rPr>
        <w:t>补充第</w:t>
      </w:r>
      <w:r>
        <w:rPr>
          <w:rFonts w:hint="eastAsia"/>
          <w:color w:val="auto"/>
          <w:highlight w:val="none"/>
          <w:lang w:bidi="en-US"/>
        </w:rPr>
        <w:t>6.5</w:t>
      </w:r>
      <w:r>
        <w:rPr>
          <w:rFonts w:hint="eastAsia"/>
          <w:color w:val="auto"/>
          <w:highlight w:val="none"/>
        </w:rPr>
        <w:t>款：</w:t>
      </w:r>
    </w:p>
    <w:p>
      <w:pPr>
        <w:adjustRightInd w:val="0"/>
        <w:snapToGrid w:val="0"/>
        <w:spacing w:line="360" w:lineRule="auto"/>
        <w:rPr>
          <w:b/>
          <w:bCs/>
          <w:color w:val="auto"/>
          <w:highlight w:val="none"/>
        </w:rPr>
      </w:pPr>
      <w:bookmarkStart w:id="3224" w:name="_Toc25019"/>
      <w:bookmarkStart w:id="3225" w:name="_Toc21486"/>
      <w:bookmarkStart w:id="3226" w:name="_Toc32038"/>
      <w:bookmarkStart w:id="3227" w:name="_Toc22545"/>
      <w:bookmarkStart w:id="3228" w:name="_Toc24380"/>
      <w:bookmarkStart w:id="3229" w:name="_Toc8556"/>
      <w:bookmarkStart w:id="3230" w:name="_Toc4211"/>
      <w:bookmarkStart w:id="3231" w:name="_Toc20037"/>
      <w:bookmarkStart w:id="3232" w:name="bookmark22"/>
      <w:bookmarkStart w:id="3233" w:name="_Toc4787"/>
      <w:bookmarkStart w:id="3234" w:name="_Toc32039"/>
      <w:bookmarkStart w:id="3235" w:name="_Toc1381"/>
      <w:r>
        <w:rPr>
          <w:rStyle w:val="238"/>
          <w:rFonts w:ascii="宋体" w:hAnsi="宋体" w:eastAsia="宋体"/>
          <w:b/>
          <w:bCs/>
          <w:color w:val="auto"/>
          <w:highlight w:val="none"/>
        </w:rPr>
        <w:t>6.5</w:t>
      </w:r>
      <w:r>
        <w:rPr>
          <w:rFonts w:hint="eastAsia"/>
          <w:b/>
          <w:bCs/>
          <w:color w:val="auto"/>
          <w:highlight w:val="none"/>
        </w:rPr>
        <w:t>计算机系统配置</w:t>
      </w:r>
      <w:bookmarkEnd w:id="3224"/>
      <w:bookmarkEnd w:id="3225"/>
      <w:bookmarkEnd w:id="3226"/>
      <w:bookmarkEnd w:id="3227"/>
      <w:bookmarkEnd w:id="3228"/>
      <w:bookmarkEnd w:id="3229"/>
      <w:bookmarkEnd w:id="3230"/>
      <w:bookmarkEnd w:id="3231"/>
      <w:bookmarkEnd w:id="3232"/>
      <w:bookmarkEnd w:id="3233"/>
      <w:bookmarkEnd w:id="3234"/>
      <w:bookmarkEnd w:id="3235"/>
    </w:p>
    <w:p>
      <w:pPr>
        <w:adjustRightInd w:val="0"/>
        <w:snapToGrid w:val="0"/>
        <w:spacing w:line="360" w:lineRule="auto"/>
        <w:ind w:firstLine="520"/>
        <w:rPr>
          <w:color w:val="auto"/>
          <w:highlight w:val="none"/>
        </w:rPr>
      </w:pPr>
      <w:r>
        <w:rPr>
          <w:rFonts w:hint="eastAsia"/>
          <w:color w:val="auto"/>
          <w:highlight w:val="none"/>
        </w:rPr>
        <w:t>发包人将采用信息化手段对本项目进行管理，对计算机网络管理的有关要求和配置， 承包人应积极配合。</w:t>
      </w:r>
    </w:p>
    <w:p>
      <w:pPr>
        <w:adjustRightInd w:val="0"/>
        <w:snapToGrid w:val="0"/>
        <w:spacing w:line="360" w:lineRule="auto"/>
        <w:ind w:firstLine="520"/>
        <w:rPr>
          <w:color w:val="auto"/>
          <w:highlight w:val="none"/>
        </w:rPr>
      </w:pPr>
    </w:p>
    <w:p>
      <w:pPr>
        <w:adjustRightInd w:val="0"/>
        <w:snapToGrid w:val="0"/>
        <w:spacing w:line="360" w:lineRule="auto"/>
        <w:outlineLvl w:val="2"/>
        <w:rPr>
          <w:b/>
          <w:bCs/>
          <w:color w:val="auto"/>
          <w:highlight w:val="none"/>
          <w:lang w:val="en-US"/>
        </w:rPr>
      </w:pPr>
      <w:bookmarkStart w:id="3236" w:name="_Toc24470"/>
      <w:bookmarkStart w:id="3237" w:name="_Toc16336"/>
      <w:bookmarkStart w:id="3238" w:name="bookmark23"/>
      <w:bookmarkStart w:id="3239" w:name="_Toc26522"/>
      <w:bookmarkStart w:id="3240" w:name="_Toc30239"/>
      <w:bookmarkStart w:id="3241" w:name="_Toc13227"/>
      <w:bookmarkStart w:id="3242" w:name="_Toc16458"/>
      <w:bookmarkStart w:id="3243" w:name="_Toc696"/>
      <w:bookmarkStart w:id="3244" w:name="_Toc9997"/>
      <w:bookmarkStart w:id="3245" w:name="_Toc27739"/>
      <w:bookmarkStart w:id="3246" w:name="_Toc46"/>
      <w:bookmarkStart w:id="3247" w:name="_Toc28712"/>
      <w:bookmarkStart w:id="3248" w:name="_Toc29256"/>
      <w:bookmarkStart w:id="3249" w:name="_Toc14147"/>
      <w:bookmarkStart w:id="3250" w:name="_Toc12452"/>
      <w:bookmarkStart w:id="3251" w:name="_Toc23798"/>
      <w:bookmarkStart w:id="3252" w:name="_Toc15648"/>
      <w:bookmarkStart w:id="3253" w:name="_Toc10731"/>
      <w:bookmarkStart w:id="3254" w:name="_Toc13538"/>
      <w:bookmarkStart w:id="3255" w:name="_Toc1266"/>
      <w:bookmarkStart w:id="3256" w:name="_Toc7616"/>
      <w:bookmarkStart w:id="3257" w:name="_Toc26298"/>
      <w:r>
        <w:rPr>
          <w:rFonts w:hint="eastAsia"/>
          <w:b/>
          <w:bCs/>
          <w:color w:val="auto"/>
          <w:highlight w:val="none"/>
          <w:lang w:val="en-US"/>
        </w:rPr>
        <w:t>7.交通运输</w:t>
      </w:r>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p>
    <w:p>
      <w:pPr>
        <w:adjustRightInd w:val="0"/>
        <w:snapToGrid w:val="0"/>
        <w:spacing w:line="360" w:lineRule="auto"/>
        <w:rPr>
          <w:b/>
          <w:bCs/>
          <w:color w:val="auto"/>
          <w:highlight w:val="none"/>
        </w:rPr>
      </w:pPr>
      <w:bookmarkStart w:id="3258" w:name="_Toc25240"/>
      <w:bookmarkStart w:id="3259" w:name="_Toc3116"/>
      <w:bookmarkStart w:id="3260" w:name="_Toc5116"/>
      <w:bookmarkStart w:id="3261" w:name="bookmark24"/>
      <w:bookmarkStart w:id="3262" w:name="_Toc5004"/>
      <w:bookmarkStart w:id="3263" w:name="_Toc32731"/>
      <w:bookmarkStart w:id="3264" w:name="_Toc21753"/>
      <w:bookmarkStart w:id="3265" w:name="_Toc11104"/>
      <w:bookmarkStart w:id="3266" w:name="_Toc31146"/>
      <w:bookmarkStart w:id="3267" w:name="_Toc17174"/>
      <w:bookmarkStart w:id="3268" w:name="_Toc30545"/>
      <w:bookmarkStart w:id="3269" w:name="_Toc17452"/>
      <w:r>
        <w:rPr>
          <w:rStyle w:val="238"/>
          <w:rFonts w:ascii="宋体" w:hAnsi="宋体" w:eastAsia="宋体"/>
          <w:b/>
          <w:bCs/>
          <w:color w:val="auto"/>
          <w:highlight w:val="none"/>
        </w:rPr>
        <w:t>7.2</w:t>
      </w:r>
      <w:r>
        <w:rPr>
          <w:rFonts w:hint="eastAsia"/>
          <w:b/>
          <w:bCs/>
          <w:color w:val="auto"/>
          <w:highlight w:val="none"/>
        </w:rPr>
        <w:t>场内施工道路</w:t>
      </w:r>
      <w:bookmarkEnd w:id="3258"/>
      <w:bookmarkEnd w:id="3259"/>
      <w:bookmarkEnd w:id="3260"/>
      <w:bookmarkEnd w:id="3261"/>
      <w:bookmarkEnd w:id="3262"/>
      <w:bookmarkEnd w:id="3263"/>
      <w:bookmarkEnd w:id="3264"/>
      <w:bookmarkEnd w:id="3265"/>
      <w:bookmarkEnd w:id="3266"/>
      <w:bookmarkEnd w:id="3267"/>
      <w:bookmarkEnd w:id="3268"/>
      <w:bookmarkEnd w:id="3269"/>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7.2.1</w:t>
      </w:r>
      <w:r>
        <w:rPr>
          <w:rFonts w:hint="eastAsia"/>
          <w:color w:val="auto"/>
          <w:highlight w:val="none"/>
        </w:rPr>
        <w:t>项细化为：</w:t>
      </w:r>
    </w:p>
    <w:p>
      <w:pPr>
        <w:tabs>
          <w:tab w:val="left" w:pos="1131"/>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）承包人应负责修建、维修、养护和管理施工所需的临时道路和交通设施，包括维修、养护和管理发包人提供的道路和交通设施，并承担相应费用。</w:t>
      </w:r>
    </w:p>
    <w:p>
      <w:pPr>
        <w:tabs>
          <w:tab w:val="left" w:pos="113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）所有出入现场的临时道路均应按晴雨畅通的标准进行建设养护和维修，直至工程竣工。在工程</w:t>
      </w:r>
      <w:r>
        <w:rPr>
          <w:rFonts w:hint="eastAsia"/>
          <w:color w:val="auto"/>
          <w:highlight w:val="none"/>
          <w:lang w:val="en-US"/>
        </w:rPr>
        <w:t>竣工</w:t>
      </w:r>
      <w:r>
        <w:rPr>
          <w:rFonts w:hint="eastAsia"/>
          <w:color w:val="auto"/>
          <w:highlight w:val="none"/>
        </w:rPr>
        <w:t>时，对于合同约定予以保留的，需由发包人会同有关协调组织机构验收合格；对于约定工程完工后不予保留的，承包人应按约定拆除、恢复原貌，并承担相应费用。</w:t>
      </w:r>
    </w:p>
    <w:p>
      <w:pPr>
        <w:pStyle w:val="247"/>
        <w:shd w:val="clear" w:color="auto" w:fill="auto"/>
        <w:adjustRightInd w:val="0"/>
        <w:snapToGrid w:val="0"/>
        <w:spacing w:line="360" w:lineRule="auto"/>
        <w:ind w:firstLine="520"/>
        <w:jc w:val="both"/>
        <w:rPr>
          <w:rStyle w:val="238"/>
          <w:rFonts w:ascii="宋体" w:hAnsi="宋体" w:eastAsia="宋体"/>
          <w:color w:val="auto"/>
          <w:sz w:val="22"/>
          <w:szCs w:val="22"/>
          <w:highlight w:val="none"/>
        </w:rPr>
      </w:pPr>
    </w:p>
    <w:p>
      <w:pPr>
        <w:pStyle w:val="247"/>
        <w:shd w:val="clear" w:color="auto" w:fill="auto"/>
        <w:adjustRightInd w:val="0"/>
        <w:snapToGrid w:val="0"/>
        <w:spacing w:line="360" w:lineRule="auto"/>
        <w:ind w:firstLine="520"/>
        <w:jc w:val="both"/>
        <w:rPr>
          <w:rFonts w:ascii="宋体" w:hAnsi="宋体" w:eastAsia="宋体"/>
          <w:color w:val="auto"/>
          <w:sz w:val="22"/>
          <w:szCs w:val="22"/>
          <w:highlight w:val="none"/>
        </w:rPr>
      </w:pPr>
      <w:r>
        <w:rPr>
          <w:rStyle w:val="238"/>
          <w:rFonts w:ascii="宋体" w:hAnsi="宋体" w:eastAsia="宋体"/>
          <w:color w:val="auto"/>
          <w:sz w:val="22"/>
          <w:szCs w:val="22"/>
          <w:highlight w:val="none"/>
        </w:rPr>
        <w:t>本款补充第</w:t>
      </w:r>
      <w:r>
        <w:rPr>
          <w:rFonts w:hint="eastAsia" w:ascii="宋体" w:hAnsi="宋体" w:eastAsia="宋体"/>
          <w:color w:val="auto"/>
          <w:sz w:val="22"/>
          <w:szCs w:val="22"/>
          <w:highlight w:val="none"/>
        </w:rPr>
        <w:t>7.2.3~7.2.5</w:t>
      </w:r>
      <w:r>
        <w:rPr>
          <w:rStyle w:val="238"/>
          <w:rFonts w:ascii="宋体" w:hAnsi="宋体" w:eastAsia="宋体"/>
          <w:color w:val="auto"/>
          <w:sz w:val="22"/>
          <w:szCs w:val="22"/>
          <w:highlight w:val="none"/>
        </w:rPr>
        <w:t>项：</w:t>
      </w:r>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7.2.3</w:t>
      </w:r>
      <w:r>
        <w:rPr>
          <w:rFonts w:hint="eastAsia"/>
          <w:color w:val="auto"/>
          <w:highlight w:val="none"/>
        </w:rPr>
        <w:t>承包人如果需要修筑施工便道、便桥，应仔细察看本项目设计图纸，并结合现场考察的情况，结合本工程的特点，自行考虑并决定是否在本项目永久性征地范围外修筑沿线方向的施工便道、便桥。如承包人决定修筑此便道、便桥，应承担相关费用并在施工方案中详细说明修筑的方案和费用估算。</w:t>
      </w:r>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7.2.4</w:t>
      </w:r>
      <w:r>
        <w:rPr>
          <w:rFonts w:hint="eastAsia"/>
          <w:color w:val="auto"/>
          <w:highlight w:val="none"/>
        </w:rPr>
        <w:t>除合同另有规定外，承包人应对其使用的所有出入现场的临时道路和桥梁进行养护和维修，直到工程交工，并应保证发包人免于承担因上述临时道路和桥梁的使用所引起的补偿费、诉讼费、损害赔偿及其它开支。</w:t>
      </w:r>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7.2.5</w:t>
      </w:r>
      <w:r>
        <w:rPr>
          <w:rFonts w:hint="eastAsia"/>
          <w:color w:val="auto"/>
          <w:highlight w:val="none"/>
        </w:rPr>
        <w:t>在工程施工中发生的运输便道的修建、现有交通设施的改造、现有乡村运输道路的维护保养和环境污染等费用均由承包人承担。合同签订后承包人应将使用现有乡村运输道路的名称、长度、位置图报当地征地动迀主管部门批准，未经批准使用的乡村运输道路的恢复费用由承包人负责。</w:t>
      </w:r>
    </w:p>
    <w:p>
      <w:pPr>
        <w:pStyle w:val="247"/>
        <w:shd w:val="clear" w:color="auto" w:fill="auto"/>
        <w:adjustRightInd w:val="0"/>
        <w:snapToGrid w:val="0"/>
        <w:spacing w:line="360" w:lineRule="auto"/>
        <w:jc w:val="left"/>
        <w:rPr>
          <w:rFonts w:ascii="宋体" w:hAnsi="宋体" w:eastAsia="宋体"/>
          <w:b/>
          <w:bCs/>
          <w:color w:val="auto"/>
          <w:sz w:val="22"/>
          <w:szCs w:val="22"/>
          <w:highlight w:val="none"/>
        </w:rPr>
      </w:pPr>
    </w:p>
    <w:p>
      <w:pPr>
        <w:adjustRightInd w:val="0"/>
        <w:snapToGrid w:val="0"/>
        <w:spacing w:line="360" w:lineRule="auto"/>
        <w:rPr>
          <w:b/>
          <w:bCs/>
          <w:color w:val="auto"/>
          <w:highlight w:val="none"/>
        </w:rPr>
      </w:pPr>
      <w:r>
        <w:rPr>
          <w:rFonts w:hint="eastAsia"/>
          <w:b/>
          <w:bCs/>
          <w:color w:val="auto"/>
          <w:highlight w:val="none"/>
        </w:rPr>
        <w:t>7.3场外交通</w:t>
      </w:r>
    </w:p>
    <w:p>
      <w:pPr>
        <w:adjustRightInd w:val="0"/>
        <w:snapToGrid w:val="0"/>
        <w:spacing w:line="360" w:lineRule="auto"/>
        <w:ind w:firstLine="520"/>
        <w:rPr>
          <w:color w:val="auto"/>
          <w:highlight w:val="none"/>
        </w:rPr>
      </w:pPr>
      <w:r>
        <w:rPr>
          <w:rFonts w:hint="eastAsia"/>
          <w:color w:val="auto"/>
          <w:highlight w:val="none"/>
        </w:rPr>
        <w:t>本款补充第</w:t>
      </w:r>
      <w:r>
        <w:rPr>
          <w:rStyle w:val="238"/>
          <w:rFonts w:ascii="宋体" w:hAnsi="宋体" w:eastAsia="宋体"/>
          <w:color w:val="auto"/>
          <w:sz w:val="22"/>
          <w:highlight w:val="none"/>
        </w:rPr>
        <w:t>7.3.3</w:t>
      </w:r>
      <w:r>
        <w:rPr>
          <w:rFonts w:hint="eastAsia"/>
          <w:color w:val="auto"/>
          <w:highlight w:val="none"/>
        </w:rPr>
        <w:t>项：</w:t>
      </w:r>
    </w:p>
    <w:p>
      <w:pPr>
        <w:adjustRightInd w:val="0"/>
        <w:snapToGrid w:val="0"/>
        <w:spacing w:line="360" w:lineRule="auto"/>
        <w:ind w:firstLine="520"/>
        <w:rPr>
          <w:color w:val="auto"/>
          <w:highlight w:val="none"/>
        </w:rPr>
      </w:pPr>
      <w:r>
        <w:rPr>
          <w:rFonts w:hint="eastAsia"/>
          <w:color w:val="auto"/>
          <w:highlight w:val="none"/>
        </w:rPr>
        <w:t>为保证道路交通安全及运输畅通，承包人应采取以下措施：</w:t>
      </w:r>
    </w:p>
    <w:p>
      <w:pPr>
        <w:numPr>
          <w:ilvl w:val="0"/>
          <w:numId w:val="38"/>
        </w:numPr>
        <w:tabs>
          <w:tab w:val="left" w:pos="1093"/>
        </w:tabs>
        <w:adjustRightInd w:val="0"/>
        <w:snapToGrid w:val="0"/>
        <w:spacing w:line="360" w:lineRule="auto"/>
        <w:ind w:firstLine="640"/>
        <w:rPr>
          <w:color w:val="auto"/>
          <w:highlight w:val="none"/>
        </w:rPr>
      </w:pPr>
      <w:r>
        <w:rPr>
          <w:rFonts w:hint="eastAsia"/>
          <w:color w:val="auto"/>
          <w:highlight w:val="none"/>
        </w:rPr>
        <w:t>承包人必须在与市政、交通和交警等部门的协商下采取足够的交通引导措施， 以防止施工期间出现道路堵塞；</w:t>
      </w:r>
    </w:p>
    <w:p>
      <w:pPr>
        <w:numPr>
          <w:ilvl w:val="0"/>
          <w:numId w:val="38"/>
        </w:numPr>
        <w:tabs>
          <w:tab w:val="left" w:pos="1171"/>
        </w:tabs>
        <w:adjustRightInd w:val="0"/>
        <w:snapToGrid w:val="0"/>
        <w:spacing w:line="360" w:lineRule="auto"/>
        <w:ind w:firstLine="640"/>
        <w:rPr>
          <w:color w:val="auto"/>
          <w:highlight w:val="none"/>
        </w:rPr>
      </w:pPr>
      <w:r>
        <w:rPr>
          <w:rFonts w:hint="eastAsia"/>
          <w:color w:val="auto"/>
          <w:highlight w:val="none"/>
        </w:rPr>
        <w:t>承包人制定施工材料运输计划时，应尽量避开现有道路交通高峰时的运输</w:t>
      </w:r>
      <w:r>
        <w:rPr>
          <w:rFonts w:hint="eastAsia"/>
          <w:color w:val="auto"/>
          <w:highlight w:val="none"/>
          <w:lang w:val="en-US"/>
        </w:rPr>
        <w:t>活动。</w:t>
      </w:r>
    </w:p>
    <w:p>
      <w:pPr>
        <w:numPr>
          <w:ilvl w:val="0"/>
          <w:numId w:val="38"/>
        </w:numPr>
        <w:tabs>
          <w:tab w:val="left" w:pos="1122"/>
        </w:tabs>
        <w:adjustRightInd w:val="0"/>
        <w:snapToGrid w:val="0"/>
        <w:spacing w:line="360" w:lineRule="auto"/>
        <w:ind w:firstLine="640"/>
        <w:rPr>
          <w:color w:val="auto"/>
          <w:highlight w:val="none"/>
        </w:rPr>
      </w:pPr>
      <w:r>
        <w:rPr>
          <w:rFonts w:hint="eastAsia"/>
          <w:color w:val="auto"/>
          <w:highlight w:val="none"/>
        </w:rPr>
        <w:t>承包人须编制交通组织方案，报相关部门审查批复，必要时组织评审所发生的费用(合同另有约定除外)由承包人负责。</w:t>
      </w:r>
    </w:p>
    <w:p>
      <w:pPr>
        <w:adjustRightInd w:val="0"/>
        <w:snapToGrid w:val="0"/>
        <w:spacing w:line="360" w:lineRule="auto"/>
        <w:outlineLvl w:val="2"/>
        <w:rPr>
          <w:b/>
          <w:bCs/>
          <w:color w:val="auto"/>
          <w:highlight w:val="none"/>
          <w:lang w:val="en-US"/>
        </w:rPr>
      </w:pPr>
    </w:p>
    <w:p>
      <w:pPr>
        <w:adjustRightInd w:val="0"/>
        <w:snapToGrid w:val="0"/>
        <w:spacing w:line="360" w:lineRule="auto"/>
        <w:outlineLvl w:val="2"/>
        <w:rPr>
          <w:b/>
          <w:bCs/>
          <w:color w:val="auto"/>
          <w:highlight w:val="none"/>
          <w:lang w:val="en-US"/>
        </w:rPr>
      </w:pPr>
      <w:bookmarkStart w:id="3270" w:name="_Toc26525"/>
      <w:bookmarkStart w:id="3271" w:name="_Toc791"/>
      <w:bookmarkStart w:id="3272" w:name="_Toc18563"/>
      <w:bookmarkStart w:id="3273" w:name="_Toc20447"/>
      <w:bookmarkStart w:id="3274" w:name="_Toc25178"/>
      <w:bookmarkStart w:id="3275" w:name="_Toc9969"/>
      <w:bookmarkStart w:id="3276" w:name="_Toc6622"/>
      <w:bookmarkStart w:id="3277" w:name="_Toc12714"/>
      <w:bookmarkStart w:id="3278" w:name="_Toc9191"/>
      <w:bookmarkStart w:id="3279" w:name="_Toc9013"/>
      <w:bookmarkStart w:id="3280" w:name="_Toc17989"/>
      <w:bookmarkStart w:id="3281" w:name="_Toc1999"/>
      <w:bookmarkStart w:id="3282" w:name="_Toc18320"/>
      <w:bookmarkStart w:id="3283" w:name="_Toc31553"/>
      <w:bookmarkStart w:id="3284" w:name="_Toc27098"/>
      <w:bookmarkStart w:id="3285" w:name="_Toc11660"/>
      <w:bookmarkStart w:id="3286" w:name="_Toc7848"/>
      <w:bookmarkStart w:id="3287" w:name="_Toc20617"/>
      <w:bookmarkStart w:id="3288" w:name="bookmark25"/>
      <w:bookmarkStart w:id="3289" w:name="_Toc13515"/>
      <w:bookmarkStart w:id="3290" w:name="_Toc14945"/>
      <w:bookmarkStart w:id="3291" w:name="_Toc14683"/>
      <w:r>
        <w:rPr>
          <w:rFonts w:hint="eastAsia"/>
          <w:b/>
          <w:bCs/>
          <w:color w:val="auto"/>
          <w:highlight w:val="none"/>
          <w:lang w:val="en-US"/>
        </w:rPr>
        <w:t>8.测量放线</w:t>
      </w:r>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pPr>
        <w:adjustRightInd w:val="0"/>
        <w:snapToGrid w:val="0"/>
        <w:spacing w:line="360" w:lineRule="auto"/>
        <w:rPr>
          <w:b/>
          <w:bCs/>
          <w:color w:val="auto"/>
          <w:highlight w:val="none"/>
        </w:rPr>
      </w:pPr>
      <w:r>
        <w:rPr>
          <w:b/>
          <w:bCs/>
          <w:color w:val="auto"/>
          <w:highlight w:val="none"/>
        </w:rPr>
        <w:t>8.2施工测量</w:t>
      </w:r>
    </w:p>
    <w:p>
      <w:pPr>
        <w:adjustRightInd w:val="0"/>
        <w:snapToGrid w:val="0"/>
        <w:spacing w:line="360" w:lineRule="auto"/>
        <w:ind w:firstLine="520"/>
        <w:rPr>
          <w:color w:val="auto"/>
          <w:highlight w:val="none"/>
        </w:rPr>
      </w:pPr>
      <w:r>
        <w:rPr>
          <w:rFonts w:hint="eastAsia"/>
          <w:color w:val="auto"/>
          <w:highlight w:val="none"/>
        </w:rPr>
        <w:t>本款补充第</w:t>
      </w:r>
      <w:r>
        <w:rPr>
          <w:rStyle w:val="238"/>
          <w:rFonts w:ascii="宋体" w:hAnsi="宋体" w:eastAsia="宋体"/>
          <w:color w:val="auto"/>
          <w:sz w:val="22"/>
          <w:highlight w:val="none"/>
        </w:rPr>
        <w:t>8.2.3</w:t>
      </w:r>
      <w:r>
        <w:rPr>
          <w:rFonts w:hint="eastAsia"/>
          <w:color w:val="auto"/>
          <w:highlight w:val="none"/>
        </w:rPr>
        <w:t>项：</w:t>
      </w:r>
    </w:p>
    <w:p>
      <w:pPr>
        <w:adjustRightInd w:val="0"/>
        <w:snapToGrid w:val="0"/>
        <w:spacing w:line="360" w:lineRule="auto"/>
        <w:ind w:firstLine="520"/>
        <w:rPr>
          <w:color w:val="auto"/>
          <w:highlight w:val="none"/>
        </w:rPr>
      </w:pPr>
      <w:r>
        <w:rPr>
          <w:rStyle w:val="238"/>
          <w:rFonts w:ascii="宋体" w:hAnsi="宋体" w:eastAsia="宋体"/>
          <w:color w:val="auto"/>
          <w:sz w:val="22"/>
          <w:highlight w:val="none"/>
        </w:rPr>
        <w:t>8.2.3</w:t>
      </w:r>
      <w:r>
        <w:rPr>
          <w:rFonts w:hint="eastAsia"/>
          <w:color w:val="auto"/>
          <w:highlight w:val="none"/>
        </w:rPr>
        <w:t>承包人应将每次施工测量资料报监理人</w:t>
      </w:r>
      <w:r>
        <w:rPr>
          <w:rStyle w:val="238"/>
          <w:rFonts w:ascii="宋体" w:hAnsi="宋体" w:eastAsia="宋体"/>
          <w:color w:val="auto"/>
          <w:sz w:val="22"/>
          <w:highlight w:val="none"/>
        </w:rPr>
        <w:t>审核。</w:t>
      </w:r>
      <w:r>
        <w:rPr>
          <w:rFonts w:hint="eastAsia"/>
          <w:color w:val="auto"/>
          <w:highlight w:val="none"/>
        </w:rPr>
        <w:t>需要监理人进行复测的重要主体工程，承包人至少应在</w:t>
      </w:r>
      <w:r>
        <w:rPr>
          <w:rStyle w:val="238"/>
          <w:rFonts w:ascii="宋体" w:hAnsi="宋体" w:eastAsia="宋体"/>
          <w:color w:val="auto"/>
          <w:sz w:val="22"/>
          <w:highlight w:val="none"/>
        </w:rPr>
        <w:t>48</w:t>
      </w:r>
      <w:r>
        <w:rPr>
          <w:rFonts w:hint="eastAsia"/>
          <w:color w:val="auto"/>
          <w:highlight w:val="none"/>
        </w:rPr>
        <w:t>小时前通知监理人。</w:t>
      </w:r>
    </w:p>
    <w:p>
      <w:pPr>
        <w:adjustRightInd w:val="0"/>
        <w:snapToGrid w:val="0"/>
        <w:spacing w:line="360" w:lineRule="auto"/>
        <w:ind w:firstLine="520"/>
        <w:rPr>
          <w:color w:val="auto"/>
          <w:highlight w:val="none"/>
        </w:rPr>
      </w:pPr>
      <w:r>
        <w:rPr>
          <w:rFonts w:hint="eastAsia"/>
          <w:color w:val="auto"/>
          <w:highlight w:val="none"/>
        </w:rPr>
        <w:t>在施工过程中，承包人应经常对使用的测量仪器到有相应检测资质的部门进行定期检查与校正，填写检查证书报监理人核查。</w:t>
      </w:r>
    </w:p>
    <w:p>
      <w:pPr>
        <w:pStyle w:val="247"/>
        <w:shd w:val="clear" w:color="auto" w:fill="auto"/>
        <w:adjustRightInd w:val="0"/>
        <w:snapToGrid w:val="0"/>
        <w:spacing w:line="360" w:lineRule="auto"/>
        <w:jc w:val="left"/>
        <w:rPr>
          <w:rFonts w:ascii="宋体" w:hAnsi="宋体" w:eastAsia="宋体"/>
          <w:color w:val="auto"/>
          <w:sz w:val="22"/>
          <w:szCs w:val="22"/>
          <w:highlight w:val="none"/>
          <w:lang w:bidi="en-US"/>
        </w:rPr>
      </w:pPr>
    </w:p>
    <w:p>
      <w:pPr>
        <w:adjustRightInd w:val="0"/>
        <w:snapToGrid w:val="0"/>
        <w:spacing w:line="360" w:lineRule="auto"/>
        <w:rPr>
          <w:b/>
          <w:bCs/>
          <w:color w:val="auto"/>
          <w:highlight w:val="none"/>
        </w:rPr>
      </w:pPr>
      <w:r>
        <w:rPr>
          <w:rFonts w:hint="eastAsia"/>
          <w:b/>
          <w:bCs/>
          <w:color w:val="auto"/>
          <w:highlight w:val="none"/>
        </w:rPr>
        <w:t>8.3基准资料错误的责任</w:t>
      </w:r>
    </w:p>
    <w:p>
      <w:pPr>
        <w:adjustRightInd w:val="0"/>
        <w:snapToGrid w:val="0"/>
        <w:spacing w:line="360" w:lineRule="auto"/>
        <w:ind w:firstLine="520"/>
        <w:rPr>
          <w:color w:val="auto"/>
          <w:highlight w:val="none"/>
        </w:rPr>
      </w:pPr>
      <w:r>
        <w:rPr>
          <w:rFonts w:hint="eastAsia"/>
          <w:color w:val="auto"/>
          <w:highlight w:val="none"/>
        </w:rPr>
        <w:t>本款约定为：</w:t>
      </w:r>
    </w:p>
    <w:p>
      <w:pPr>
        <w:adjustRightInd w:val="0"/>
        <w:snapToGrid w:val="0"/>
        <w:spacing w:line="360" w:lineRule="auto"/>
        <w:ind w:firstLine="500"/>
        <w:rPr>
          <w:color w:val="auto"/>
          <w:highlight w:val="none"/>
        </w:rPr>
      </w:pPr>
      <w:r>
        <w:rPr>
          <w:rFonts w:hint="eastAsia"/>
          <w:color w:val="auto"/>
          <w:highlight w:val="none"/>
        </w:rPr>
        <w:t>承包人应对发包人提供的测量基准点、基准线和水准点及其书面资料及时进行复核, 并将存在的疑义在施工前书面通知监理人和发包人。否则，由此增加的费用和（或）工期延误，由承包人自行承担。</w:t>
      </w:r>
    </w:p>
    <w:p>
      <w:pPr>
        <w:adjustRightInd w:val="0"/>
        <w:snapToGrid w:val="0"/>
        <w:spacing w:line="360" w:lineRule="auto"/>
        <w:ind w:firstLine="500"/>
        <w:rPr>
          <w:color w:val="auto"/>
          <w:highlight w:val="none"/>
        </w:rPr>
      </w:pPr>
    </w:p>
    <w:p>
      <w:pPr>
        <w:adjustRightInd w:val="0"/>
        <w:snapToGrid w:val="0"/>
        <w:spacing w:line="360" w:lineRule="auto"/>
        <w:outlineLvl w:val="2"/>
        <w:rPr>
          <w:b/>
          <w:bCs/>
          <w:color w:val="auto"/>
          <w:highlight w:val="none"/>
          <w:lang w:val="en-US"/>
        </w:rPr>
      </w:pPr>
      <w:bookmarkStart w:id="3292" w:name="_Toc12194"/>
      <w:bookmarkStart w:id="3293" w:name="_Toc21781"/>
      <w:bookmarkStart w:id="3294" w:name="_Toc17492"/>
      <w:bookmarkStart w:id="3295" w:name="_Toc25835"/>
      <w:bookmarkStart w:id="3296" w:name="_Toc15924"/>
      <w:bookmarkStart w:id="3297" w:name="_Toc25231"/>
      <w:bookmarkStart w:id="3298" w:name="_Toc3376"/>
      <w:bookmarkStart w:id="3299" w:name="_Toc177"/>
      <w:bookmarkStart w:id="3300" w:name="_Toc10866"/>
      <w:bookmarkStart w:id="3301" w:name="_Toc10550"/>
      <w:bookmarkStart w:id="3302" w:name="_Toc203"/>
      <w:bookmarkStart w:id="3303" w:name="_Toc17059"/>
      <w:bookmarkStart w:id="3304" w:name="_Toc5296"/>
      <w:bookmarkStart w:id="3305" w:name="_Toc5651"/>
      <w:bookmarkStart w:id="3306" w:name="_Toc2752"/>
      <w:bookmarkStart w:id="3307" w:name="_Toc30824"/>
      <w:bookmarkStart w:id="3308" w:name="_Toc7903"/>
      <w:r>
        <w:rPr>
          <w:rFonts w:hint="eastAsia"/>
          <w:b/>
          <w:bCs/>
          <w:color w:val="auto"/>
          <w:highlight w:val="none"/>
          <w:lang w:val="en-US"/>
        </w:rPr>
        <w:t>9.施工安全、治安保卫和环境保护</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r>
        <w:rPr>
          <w:rFonts w:hint="eastAsia"/>
          <w:b/>
          <w:bCs/>
          <w:color w:val="auto"/>
          <w:highlight w:val="none"/>
          <w:lang w:val="en-US"/>
        </w:rPr>
        <w:t xml:space="preserve"> </w:t>
      </w:r>
    </w:p>
    <w:p>
      <w:pPr>
        <w:adjustRightInd w:val="0"/>
        <w:snapToGrid w:val="0"/>
        <w:spacing w:line="360" w:lineRule="auto"/>
        <w:rPr>
          <w:b/>
          <w:bCs/>
          <w:color w:val="auto"/>
          <w:highlight w:val="none"/>
        </w:rPr>
      </w:pPr>
      <w:bookmarkStart w:id="3309" w:name="_Toc6943"/>
      <w:bookmarkStart w:id="3310" w:name="_Toc32273"/>
      <w:bookmarkStart w:id="3311" w:name="_Toc17567"/>
      <w:bookmarkStart w:id="3312" w:name="_Toc2832"/>
      <w:bookmarkStart w:id="3313" w:name="_Toc14882"/>
      <w:bookmarkStart w:id="3314" w:name="_Toc12407"/>
      <w:bookmarkStart w:id="3315" w:name="_Toc7946"/>
      <w:bookmarkStart w:id="3316" w:name="_Toc24874"/>
      <w:bookmarkStart w:id="3317" w:name="_Toc25737"/>
      <w:r>
        <w:rPr>
          <w:b/>
          <w:bCs/>
          <w:color w:val="auto"/>
          <w:highlight w:val="none"/>
        </w:rPr>
        <w:t>9.2</w:t>
      </w:r>
      <w:r>
        <w:rPr>
          <w:rFonts w:hint="eastAsia"/>
          <w:b/>
          <w:bCs/>
          <w:color w:val="auto"/>
          <w:highlight w:val="none"/>
        </w:rPr>
        <w:t>承包人的施工安全责任</w:t>
      </w:r>
      <w:bookmarkEnd w:id="3309"/>
      <w:bookmarkEnd w:id="3310"/>
      <w:bookmarkEnd w:id="3311"/>
      <w:bookmarkEnd w:id="3312"/>
      <w:bookmarkEnd w:id="3313"/>
      <w:bookmarkEnd w:id="3314"/>
      <w:bookmarkEnd w:id="3315"/>
      <w:bookmarkEnd w:id="3316"/>
      <w:bookmarkEnd w:id="3317"/>
    </w:p>
    <w:p>
      <w:pPr>
        <w:adjustRightInd w:val="0"/>
        <w:snapToGrid w:val="0"/>
        <w:spacing w:line="360" w:lineRule="auto"/>
        <w:ind w:firstLine="500"/>
        <w:rPr>
          <w:color w:val="auto"/>
          <w:highlight w:val="none"/>
        </w:rPr>
      </w:pPr>
      <w:r>
        <w:rPr>
          <w:rFonts w:hint="eastAsia"/>
          <w:color w:val="auto"/>
          <w:highlight w:val="none"/>
        </w:rPr>
        <w:t>第</w:t>
      </w:r>
      <w:r>
        <w:rPr>
          <w:rFonts w:hint="eastAsia"/>
          <w:color w:val="auto"/>
          <w:highlight w:val="none"/>
          <w:lang w:bidi="en-US"/>
        </w:rPr>
        <w:t>9.2.4</w:t>
      </w:r>
      <w:r>
        <w:rPr>
          <w:rFonts w:hint="eastAsia"/>
          <w:color w:val="auto"/>
          <w:highlight w:val="none"/>
        </w:rPr>
        <w:t>项细化为：</w:t>
      </w:r>
    </w:p>
    <w:p>
      <w:pPr>
        <w:adjustRightInd w:val="0"/>
        <w:snapToGrid w:val="0"/>
        <w:spacing w:line="360" w:lineRule="auto"/>
        <w:ind w:firstLine="500"/>
        <w:rPr>
          <w:color w:val="auto"/>
          <w:highlight w:val="none"/>
        </w:rPr>
      </w:pPr>
      <w:r>
        <w:rPr>
          <w:rFonts w:hint="eastAsia"/>
          <w:color w:val="auto"/>
          <w:highlight w:val="none"/>
        </w:rPr>
        <w:t>承包人必须重视应急管理，在应急管理方面要做好但不限于以下工作：</w:t>
      </w:r>
    </w:p>
    <w:p>
      <w:pPr>
        <w:adjustRightInd w:val="0"/>
        <w:snapToGrid w:val="0"/>
        <w:spacing w:line="360" w:lineRule="auto"/>
        <w:ind w:firstLine="330" w:firstLineChars="150"/>
        <w:rPr>
          <w:color w:val="auto"/>
          <w:highlight w:val="none"/>
        </w:rPr>
      </w:pPr>
      <w:r>
        <w:rPr>
          <w:rFonts w:hint="eastAsia"/>
          <w:color w:val="auto"/>
          <w:highlight w:val="none"/>
          <w:lang w:bidi="en-US"/>
        </w:rPr>
        <w:t>（1）</w:t>
      </w:r>
      <w:r>
        <w:rPr>
          <w:rFonts w:hint="eastAsia"/>
          <w:color w:val="auto"/>
          <w:highlight w:val="none"/>
        </w:rPr>
        <w:t>建立和</w:t>
      </w:r>
      <w:r>
        <w:rPr>
          <w:rFonts w:hint="eastAsia"/>
          <w:color w:val="auto"/>
          <w:highlight w:val="none"/>
          <w:lang w:val="en-US"/>
        </w:rPr>
        <w:t>完善</w:t>
      </w:r>
      <w:r>
        <w:rPr>
          <w:rFonts w:hint="eastAsia"/>
          <w:color w:val="auto"/>
          <w:highlight w:val="none"/>
        </w:rPr>
        <w:t>应急组织体系。</w:t>
      </w:r>
    </w:p>
    <w:p>
      <w:pPr>
        <w:tabs>
          <w:tab w:val="left" w:pos="1126"/>
        </w:tabs>
        <w:adjustRightInd w:val="0"/>
        <w:snapToGrid w:val="0"/>
        <w:spacing w:line="360" w:lineRule="auto"/>
        <w:ind w:firstLine="330" w:firstLineChars="150"/>
        <w:rPr>
          <w:color w:val="auto"/>
          <w:highlight w:val="none"/>
        </w:rPr>
      </w:pPr>
      <w:r>
        <w:rPr>
          <w:rFonts w:hint="eastAsia"/>
          <w:color w:val="auto"/>
          <w:highlight w:val="none"/>
          <w:lang w:bidi="en-US"/>
        </w:rPr>
        <w:t>（2）</w:t>
      </w:r>
      <w:r>
        <w:rPr>
          <w:rFonts w:hint="eastAsia"/>
          <w:color w:val="auto"/>
          <w:highlight w:val="none"/>
        </w:rPr>
        <w:t>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pPr>
        <w:tabs>
          <w:tab w:val="left" w:pos="910"/>
        </w:tabs>
        <w:adjustRightInd w:val="0"/>
        <w:snapToGrid w:val="0"/>
        <w:spacing w:line="360" w:lineRule="auto"/>
        <w:ind w:firstLine="330" w:firstLineChars="150"/>
        <w:rPr>
          <w:color w:val="auto"/>
          <w:highlight w:val="none"/>
        </w:rPr>
      </w:pPr>
      <w:r>
        <w:rPr>
          <w:rFonts w:hint="eastAsia"/>
          <w:color w:val="auto"/>
          <w:highlight w:val="none"/>
          <w:lang w:bidi="en-US"/>
        </w:rPr>
        <w:t>（3）</w:t>
      </w:r>
      <w:r>
        <w:rPr>
          <w:rFonts w:hint="eastAsia"/>
          <w:color w:val="auto"/>
          <w:highlight w:val="none"/>
          <w:lang w:bidi="en-US"/>
        </w:rPr>
        <w:tab/>
      </w:r>
      <w:r>
        <w:rPr>
          <w:rFonts w:hint="eastAsia"/>
          <w:color w:val="auto"/>
          <w:highlight w:val="none"/>
        </w:rPr>
        <w:t>承包人应经常组织应急预案演练，不断完善应急预案，提升应急管理水平。 发生突发事件时，迅速启动应急预案，开展各项应急处置工作。</w:t>
      </w:r>
    </w:p>
    <w:p>
      <w:pPr>
        <w:tabs>
          <w:tab w:val="left" w:pos="805"/>
        </w:tabs>
        <w:adjustRightInd w:val="0"/>
        <w:snapToGrid w:val="0"/>
        <w:spacing w:line="360" w:lineRule="auto"/>
        <w:ind w:firstLine="330" w:firstLineChars="150"/>
        <w:rPr>
          <w:color w:val="auto"/>
          <w:highlight w:val="none"/>
        </w:rPr>
      </w:pPr>
      <w:r>
        <w:rPr>
          <w:rFonts w:hint="eastAsia"/>
          <w:color w:val="auto"/>
          <w:highlight w:val="none"/>
          <w:lang w:bidi="en-US"/>
        </w:rPr>
        <w:t>（4）</w:t>
      </w:r>
      <w:r>
        <w:rPr>
          <w:rFonts w:hint="eastAsia"/>
          <w:color w:val="auto"/>
          <w:highlight w:val="none"/>
        </w:rPr>
        <w:t>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出资人不另行支付。</w:t>
      </w:r>
    </w:p>
    <w:p>
      <w:pPr>
        <w:adjustRightInd w:val="0"/>
        <w:snapToGrid w:val="0"/>
        <w:spacing w:line="360" w:lineRule="auto"/>
        <w:ind w:firstLine="500"/>
        <w:rPr>
          <w:color w:val="auto"/>
          <w:highlight w:val="none"/>
        </w:rPr>
      </w:pPr>
    </w:p>
    <w:p>
      <w:pPr>
        <w:adjustRightInd w:val="0"/>
        <w:snapToGrid w:val="0"/>
        <w:spacing w:line="360" w:lineRule="auto"/>
        <w:ind w:firstLine="500"/>
        <w:rPr>
          <w:color w:val="auto"/>
          <w:highlight w:val="none"/>
        </w:rPr>
      </w:pPr>
      <w:r>
        <w:rPr>
          <w:rFonts w:hint="eastAsia"/>
          <w:color w:val="auto"/>
          <w:highlight w:val="none"/>
        </w:rPr>
        <w:t>第</w:t>
      </w:r>
      <w:r>
        <w:rPr>
          <w:rFonts w:hint="eastAsia"/>
          <w:color w:val="auto"/>
          <w:highlight w:val="none"/>
          <w:lang w:bidi="en-US"/>
        </w:rPr>
        <w:t>9.2.5</w:t>
      </w:r>
      <w:r>
        <w:rPr>
          <w:rFonts w:hint="eastAsia"/>
          <w:color w:val="auto"/>
          <w:highlight w:val="none"/>
        </w:rPr>
        <w:t>项补充：</w:t>
      </w:r>
    </w:p>
    <w:p>
      <w:pPr>
        <w:adjustRightInd w:val="0"/>
        <w:snapToGrid w:val="0"/>
        <w:spacing w:line="360" w:lineRule="auto"/>
        <w:ind w:firstLine="500"/>
        <w:rPr>
          <w:color w:val="auto"/>
          <w:highlight w:val="none"/>
        </w:rPr>
      </w:pPr>
      <w:r>
        <w:rPr>
          <w:rFonts w:hint="eastAsia"/>
          <w:color w:val="auto"/>
          <w:highlight w:val="none"/>
        </w:rPr>
        <w:t>安全生产费用以固定金额形式计入工程量清单第100章中（安全生产费用为发包人公布的最高投标限价的1.5%）。</w:t>
      </w:r>
    </w:p>
    <w:p>
      <w:pPr>
        <w:adjustRightInd w:val="0"/>
        <w:snapToGrid w:val="0"/>
        <w:spacing w:line="360" w:lineRule="auto"/>
        <w:ind w:firstLine="500"/>
        <w:rPr>
          <w:color w:val="auto"/>
          <w:highlight w:val="none"/>
        </w:rPr>
      </w:pPr>
      <w:r>
        <w:rPr>
          <w:rFonts w:hint="eastAsia"/>
          <w:color w:val="auto"/>
          <w:highlight w:val="none"/>
        </w:rPr>
        <w:t>承包人中标后，经监理人和发包人同意，可对其投标时填报的安全生产费用各细目内容做合理的细微调整并做为最终支付依据。工程施工过程中，发包人将根据承包人安全生产措施的实施情况及工程进展经监理人签认后按进度支付安全生产费用。</w:t>
      </w:r>
    </w:p>
    <w:p>
      <w:pPr>
        <w:adjustRightInd w:val="0"/>
        <w:snapToGrid w:val="0"/>
        <w:spacing w:line="360" w:lineRule="auto"/>
        <w:ind w:firstLine="440" w:firstLineChars="200"/>
        <w:jc w:val="both"/>
        <w:rPr>
          <w:color w:val="auto"/>
          <w:highlight w:val="none"/>
        </w:rPr>
      </w:pPr>
      <w:r>
        <w:rPr>
          <w:rFonts w:hint="eastAsia"/>
          <w:color w:val="auto"/>
          <w:highlight w:val="none"/>
        </w:rPr>
        <w:t>根据交通运输部《关于开展公路水运工程平安工地建设活动的通知》（交质监发 〔2010〕</w:t>
      </w:r>
    </w:p>
    <w:p>
      <w:pPr>
        <w:adjustRightInd w:val="0"/>
        <w:snapToGrid w:val="0"/>
        <w:spacing w:line="360" w:lineRule="auto"/>
        <w:jc w:val="right"/>
        <w:rPr>
          <w:color w:val="auto"/>
          <w:highlight w:val="none"/>
        </w:rPr>
      </w:pPr>
      <w:r>
        <w:rPr>
          <w:rFonts w:hint="eastAsia"/>
          <w:color w:val="auto"/>
          <w:highlight w:val="none"/>
        </w:rPr>
        <w:t>132号）要求，承包人应认真履行主体责任，积极主动地开展“平安工地”创建活动。承包人由</w:t>
      </w:r>
    </w:p>
    <w:p>
      <w:pPr>
        <w:adjustRightInd w:val="0"/>
        <w:snapToGrid w:val="0"/>
        <w:spacing w:line="360" w:lineRule="auto"/>
        <w:ind w:right="440"/>
        <w:rPr>
          <w:color w:val="auto"/>
          <w:highlight w:val="none"/>
        </w:rPr>
      </w:pPr>
      <w:r>
        <w:rPr>
          <w:rFonts w:hint="eastAsia"/>
          <w:color w:val="auto"/>
          <w:highlight w:val="none"/>
        </w:rPr>
        <w:t>此所发生的一切费用均应计入安全生产费用中，出资人不另行支付。</w:t>
      </w:r>
    </w:p>
    <w:p>
      <w:pPr>
        <w:adjustRightInd w:val="0"/>
        <w:snapToGrid w:val="0"/>
        <w:spacing w:line="360" w:lineRule="auto"/>
        <w:ind w:firstLine="500"/>
        <w:rPr>
          <w:color w:val="auto"/>
          <w:highlight w:val="none"/>
        </w:rPr>
      </w:pPr>
      <w:r>
        <w:rPr>
          <w:rFonts w:hint="eastAsia"/>
          <w:color w:val="auto"/>
          <w:highlight w:val="none"/>
        </w:rPr>
        <w:t>承包人要认真贯彻“安全第一，预防为主、综合治理”安全生产方针，规范工程建设安全风险管理，把安全生产风险管理作为坚守安全生产“红线”、“底线”和建设 “平安交通”的重要举措和内容，根据辽宁省制定的现行制度办法，切实抓好风险管理的实施工作。项目总体风险评估由发包人组织统一进行评估，承包人根据总体风险评估结果开展专项风险评估工作。</w:t>
      </w:r>
    </w:p>
    <w:p>
      <w:pPr>
        <w:adjustRightInd w:val="0"/>
        <w:snapToGrid w:val="0"/>
        <w:spacing w:line="360" w:lineRule="auto"/>
        <w:ind w:firstLine="500"/>
        <w:rPr>
          <w:color w:val="auto"/>
          <w:highlight w:val="none"/>
        </w:rPr>
      </w:pPr>
      <w:r>
        <w:rPr>
          <w:rFonts w:hint="eastAsia"/>
          <w:color w:val="auto"/>
          <w:highlight w:val="none"/>
        </w:rPr>
        <w:t>发包人有权要求承包人完善安全生产设施、措施和条件，对不主动投入的承包人， 发包人有权直接为其追加安全生产投入，费用从承包人安全生产费中支出。如在项目开工前或施工过程中，发包人及上级主管单位对承包人的安全生产设施、设备进行检查，发现隐患而承包人未能在限期内完成整改的，发包人有权请第三方协助承包人代为整改，所需费用在计提的安全生产费中支付。若整改费用超过计提的安全生产费，</w:t>
      </w:r>
      <w:r>
        <w:rPr>
          <w:rFonts w:hint="eastAsia"/>
          <w:color w:val="auto"/>
          <w:highlight w:val="none"/>
          <w:lang w:val="en-US"/>
        </w:rPr>
        <w:t>出资人</w:t>
      </w:r>
      <w:r>
        <w:rPr>
          <w:rFonts w:hint="eastAsia"/>
          <w:color w:val="auto"/>
          <w:highlight w:val="none"/>
        </w:rPr>
        <w:t>有权从支付给承包人的进度款中直接扣留。</w:t>
      </w:r>
    </w:p>
    <w:p>
      <w:pPr>
        <w:adjustRightInd w:val="0"/>
        <w:snapToGrid w:val="0"/>
        <w:spacing w:line="360" w:lineRule="auto"/>
        <w:ind w:firstLine="500"/>
        <w:rPr>
          <w:color w:val="auto"/>
          <w:highlight w:val="none"/>
        </w:rPr>
      </w:pPr>
    </w:p>
    <w:p>
      <w:pPr>
        <w:adjustRightInd w:val="0"/>
        <w:snapToGrid w:val="0"/>
        <w:spacing w:line="360" w:lineRule="auto"/>
        <w:ind w:firstLine="500"/>
        <w:rPr>
          <w:color w:val="auto"/>
          <w:highlight w:val="none"/>
        </w:rPr>
      </w:pPr>
      <w:r>
        <w:rPr>
          <w:rFonts w:hint="eastAsia"/>
          <w:color w:val="auto"/>
          <w:highlight w:val="none"/>
        </w:rPr>
        <w:t>本款补充第</w:t>
      </w:r>
      <w:r>
        <w:rPr>
          <w:rFonts w:hint="eastAsia"/>
          <w:color w:val="auto"/>
          <w:highlight w:val="none"/>
          <w:lang w:bidi="en-US"/>
        </w:rPr>
        <w:t>9.2.12</w:t>
      </w:r>
      <w:r>
        <w:rPr>
          <w:rFonts w:hint="eastAsia"/>
          <w:color w:val="auto"/>
          <w:highlight w:val="none"/>
        </w:rPr>
        <w:t>项</w:t>
      </w:r>
      <w:r>
        <w:rPr>
          <w:rFonts w:hint="eastAsia" w:ascii="MS Mincho" w:hAnsi="MS Mincho" w:eastAsia="MS Mincho" w:cs="MS Mincho"/>
          <w:color w:val="auto"/>
          <w:highlight w:val="none"/>
        </w:rPr>
        <w:t>〜</w:t>
      </w:r>
      <w:r>
        <w:rPr>
          <w:rFonts w:hint="eastAsia"/>
          <w:color w:val="auto"/>
          <w:highlight w:val="none"/>
        </w:rPr>
        <w:t>第</w:t>
      </w:r>
      <w:r>
        <w:rPr>
          <w:rFonts w:hint="eastAsia"/>
          <w:color w:val="auto"/>
          <w:highlight w:val="none"/>
          <w:lang w:bidi="en-US"/>
        </w:rPr>
        <w:t>9.2.13</w:t>
      </w:r>
      <w:r>
        <w:rPr>
          <w:rFonts w:hint="eastAsia"/>
          <w:color w:val="auto"/>
          <w:highlight w:val="none"/>
        </w:rPr>
        <w:t>项：</w:t>
      </w:r>
    </w:p>
    <w:p>
      <w:pPr>
        <w:adjustRightInd w:val="0"/>
        <w:snapToGrid w:val="0"/>
        <w:spacing w:line="360" w:lineRule="auto"/>
        <w:ind w:firstLine="500"/>
        <w:rPr>
          <w:color w:val="auto"/>
          <w:highlight w:val="none"/>
        </w:rPr>
      </w:pPr>
      <w:r>
        <w:rPr>
          <w:rFonts w:hint="eastAsia"/>
          <w:color w:val="auto"/>
          <w:highlight w:val="none"/>
          <w:lang w:bidi="en-US"/>
        </w:rPr>
        <w:t>9.2.12</w:t>
      </w:r>
      <w:r>
        <w:rPr>
          <w:rFonts w:hint="eastAsia"/>
          <w:color w:val="auto"/>
          <w:highlight w:val="none"/>
        </w:rPr>
        <w:t>承包人须成立安全生产组织机构和独立的安全生产管理部门，配备专职安全生产管理人员，明确安全生产第一责任人、直接责任人及其职责，如责任人和专职安全管理人员发生变动，必须立即书面通知监理人和发包人。</w:t>
      </w:r>
    </w:p>
    <w:p>
      <w:pPr>
        <w:adjustRightInd w:val="0"/>
        <w:snapToGrid w:val="0"/>
        <w:spacing w:line="360" w:lineRule="auto"/>
        <w:ind w:firstLine="500"/>
        <w:rPr>
          <w:color w:val="auto"/>
          <w:highlight w:val="none"/>
        </w:rPr>
      </w:pPr>
      <w:r>
        <w:rPr>
          <w:rFonts w:hint="eastAsia"/>
          <w:color w:val="auto"/>
          <w:highlight w:val="none"/>
          <w:lang w:bidi="en-US"/>
        </w:rPr>
        <w:t>9.2.13</w:t>
      </w:r>
      <w:r>
        <w:rPr>
          <w:rFonts w:hint="eastAsia"/>
          <w:color w:val="auto"/>
          <w:highlight w:val="none"/>
        </w:rPr>
        <w:t>施工安全风险评估</w:t>
      </w:r>
    </w:p>
    <w:p>
      <w:pPr>
        <w:tabs>
          <w:tab w:val="left" w:pos="1133"/>
        </w:tabs>
        <w:adjustRightInd w:val="0"/>
        <w:snapToGrid w:val="0"/>
        <w:spacing w:line="360" w:lineRule="auto"/>
        <w:ind w:firstLine="640"/>
        <w:rPr>
          <w:color w:val="auto"/>
          <w:highlight w:val="none"/>
        </w:rPr>
      </w:pPr>
      <w:r>
        <w:rPr>
          <w:rFonts w:hint="eastAsia"/>
          <w:color w:val="auto"/>
          <w:highlight w:val="none"/>
          <w:lang w:bidi="en-US"/>
        </w:rPr>
        <w:t>（1）</w:t>
      </w:r>
      <w:r>
        <w:rPr>
          <w:rFonts w:hint="eastAsia"/>
          <w:color w:val="auto"/>
          <w:highlight w:val="none"/>
        </w:rPr>
        <w:t>承包人必须加强对重大危险源的管理，施工阶段风险源辨识与评价依据《公路桥梁和隧道工程施工安全风险评估指南》（试行）操作。承包人在工程开工前，必须进行重大危险源识别，建立危险源清单，对重大危险源建立管理方案和档案，过程中对危险源实行动态管理。</w:t>
      </w:r>
    </w:p>
    <w:p>
      <w:pPr>
        <w:tabs>
          <w:tab w:val="left" w:pos="1137"/>
        </w:tabs>
        <w:adjustRightInd w:val="0"/>
        <w:snapToGrid w:val="0"/>
        <w:spacing w:line="360" w:lineRule="auto"/>
        <w:ind w:firstLine="640"/>
        <w:rPr>
          <w:color w:val="auto"/>
          <w:highlight w:val="none"/>
        </w:rPr>
      </w:pPr>
      <w:r>
        <w:rPr>
          <w:rFonts w:hint="eastAsia"/>
          <w:color w:val="auto"/>
          <w:highlight w:val="none"/>
          <w:lang w:bidi="en-US"/>
        </w:rPr>
        <w:t>（2）</w:t>
      </w:r>
      <w:r>
        <w:rPr>
          <w:rFonts w:hint="eastAsia"/>
          <w:color w:val="auto"/>
          <w:highlight w:val="none"/>
        </w:rPr>
        <w:t>承包人应严格按照交通运输部《关于开展公路桥梁和隧道工程施工安全风险评估试行工作的通知》（交质监发〔2011〕217号）的要求，在施工期间开展安全风险评估工作，相关费用按照《企业安全生产费用提取和使用管理办法》（财企〔2012〕16 号）第十三条安全生产费用使用范围的规定，公路桥梁和隧道工程施工安全风险评估工作费用在项目安全生产费用中列支，出资人不另行支付。</w:t>
      </w:r>
    </w:p>
    <w:p>
      <w:pPr>
        <w:pStyle w:val="245"/>
        <w:shd w:val="clear" w:color="auto" w:fill="auto"/>
        <w:adjustRightInd w:val="0"/>
        <w:snapToGrid w:val="0"/>
        <w:spacing w:line="360" w:lineRule="auto"/>
        <w:jc w:val="left"/>
        <w:rPr>
          <w:rStyle w:val="238"/>
          <w:rFonts w:ascii="宋体" w:hAnsi="宋体" w:eastAsia="宋体"/>
          <w:color w:val="auto"/>
          <w:highlight w:val="none"/>
        </w:rPr>
      </w:pPr>
    </w:p>
    <w:p>
      <w:pPr>
        <w:adjustRightInd w:val="0"/>
        <w:snapToGrid w:val="0"/>
        <w:spacing w:line="360" w:lineRule="auto"/>
        <w:rPr>
          <w:b/>
          <w:bCs/>
          <w:color w:val="auto"/>
          <w:highlight w:val="none"/>
        </w:rPr>
      </w:pPr>
      <w:bookmarkStart w:id="3318" w:name="_Toc5953"/>
      <w:bookmarkStart w:id="3319" w:name="_Toc861"/>
      <w:bookmarkStart w:id="3320" w:name="_Toc20692"/>
      <w:bookmarkStart w:id="3321" w:name="_Toc31816"/>
      <w:bookmarkStart w:id="3322" w:name="_Toc988"/>
      <w:bookmarkStart w:id="3323" w:name="_Toc25625"/>
      <w:bookmarkStart w:id="3324" w:name="_Toc18092"/>
      <w:bookmarkStart w:id="3325" w:name="_Toc21842"/>
      <w:bookmarkStart w:id="3326" w:name="_Toc394"/>
      <w:r>
        <w:rPr>
          <w:rStyle w:val="238"/>
          <w:rFonts w:ascii="宋体" w:hAnsi="宋体" w:eastAsia="宋体"/>
          <w:b/>
          <w:bCs/>
          <w:color w:val="auto"/>
          <w:highlight w:val="none"/>
        </w:rPr>
        <w:t>9.4</w:t>
      </w:r>
      <w:r>
        <w:rPr>
          <w:rFonts w:hint="eastAsia"/>
          <w:b/>
          <w:bCs/>
          <w:color w:val="auto"/>
          <w:highlight w:val="none"/>
        </w:rPr>
        <w:t>环境保护</w:t>
      </w:r>
      <w:bookmarkEnd w:id="3318"/>
      <w:bookmarkEnd w:id="3319"/>
      <w:bookmarkEnd w:id="3320"/>
      <w:bookmarkEnd w:id="3321"/>
      <w:bookmarkEnd w:id="3322"/>
      <w:bookmarkEnd w:id="3323"/>
      <w:bookmarkEnd w:id="3324"/>
      <w:bookmarkEnd w:id="3325"/>
      <w:bookmarkEnd w:id="3326"/>
    </w:p>
    <w:p>
      <w:pPr>
        <w:adjustRightInd w:val="0"/>
        <w:snapToGrid w:val="0"/>
        <w:spacing w:line="360" w:lineRule="auto"/>
        <w:ind w:firstLine="500"/>
        <w:rPr>
          <w:color w:val="auto"/>
          <w:highlight w:val="none"/>
        </w:rPr>
      </w:pPr>
      <w:r>
        <w:rPr>
          <w:rFonts w:hint="eastAsia"/>
          <w:color w:val="auto"/>
          <w:highlight w:val="none"/>
        </w:rPr>
        <w:t>本款补充第</w:t>
      </w:r>
      <w:r>
        <w:rPr>
          <w:rFonts w:hint="eastAsia"/>
          <w:color w:val="auto"/>
          <w:highlight w:val="none"/>
          <w:lang w:bidi="en-US"/>
        </w:rPr>
        <w:t>9.4.</w:t>
      </w:r>
      <w:r>
        <w:rPr>
          <w:rFonts w:hint="eastAsia"/>
          <w:color w:val="auto"/>
          <w:highlight w:val="none"/>
        </w:rPr>
        <w:t>12</w:t>
      </w:r>
      <w:r>
        <w:rPr>
          <w:rFonts w:hint="eastAsia" w:ascii="MS Mincho" w:hAnsi="MS Mincho" w:eastAsia="MS Mincho" w:cs="MS Mincho"/>
          <w:color w:val="auto"/>
          <w:highlight w:val="none"/>
        </w:rPr>
        <w:t>〜</w:t>
      </w:r>
      <w:r>
        <w:rPr>
          <w:rFonts w:hint="eastAsia"/>
          <w:color w:val="auto"/>
          <w:highlight w:val="none"/>
          <w:lang w:bidi="en-US"/>
        </w:rPr>
        <w:t>9.4.</w:t>
      </w:r>
      <w:r>
        <w:rPr>
          <w:rFonts w:hint="eastAsia"/>
          <w:color w:val="auto"/>
          <w:highlight w:val="none"/>
        </w:rPr>
        <w:t>14项：</w:t>
      </w:r>
    </w:p>
    <w:p>
      <w:pPr>
        <w:adjustRightInd w:val="0"/>
        <w:snapToGrid w:val="0"/>
        <w:spacing w:line="360" w:lineRule="auto"/>
        <w:ind w:firstLine="500"/>
        <w:rPr>
          <w:color w:val="auto"/>
          <w:highlight w:val="none"/>
        </w:rPr>
      </w:pPr>
      <w:r>
        <w:rPr>
          <w:rFonts w:hint="eastAsia"/>
          <w:color w:val="auto"/>
          <w:highlight w:val="none"/>
          <w:lang w:bidi="en-US"/>
        </w:rPr>
        <w:t>9.4.12</w:t>
      </w:r>
      <w:r>
        <w:rPr>
          <w:rFonts w:hint="eastAsia"/>
          <w:color w:val="auto"/>
          <w:highlight w:val="none"/>
        </w:rPr>
        <w:t>承包人取（弃）土场的确定应取得监理人和发包人的同意。</w:t>
      </w:r>
    </w:p>
    <w:p>
      <w:pPr>
        <w:adjustRightInd w:val="0"/>
        <w:snapToGrid w:val="0"/>
        <w:spacing w:line="360" w:lineRule="auto"/>
        <w:ind w:firstLine="500"/>
        <w:rPr>
          <w:color w:val="auto"/>
          <w:highlight w:val="none"/>
        </w:rPr>
      </w:pPr>
      <w:r>
        <w:rPr>
          <w:rFonts w:hint="eastAsia"/>
          <w:color w:val="auto"/>
          <w:highlight w:val="none"/>
          <w:lang w:bidi="en-US"/>
        </w:rPr>
        <w:t>9.4.13</w:t>
      </w:r>
      <w:r>
        <w:rPr>
          <w:rFonts w:hint="eastAsia"/>
          <w:color w:val="auto"/>
          <w:highlight w:val="none"/>
        </w:rPr>
        <w:t>承包人应对施工人员进行环境保护知识的培训，提高文明施工意识。</w:t>
      </w:r>
    </w:p>
    <w:p>
      <w:pPr>
        <w:adjustRightInd w:val="0"/>
        <w:snapToGrid w:val="0"/>
        <w:spacing w:line="360" w:lineRule="auto"/>
        <w:ind w:firstLine="500"/>
        <w:rPr>
          <w:color w:val="auto"/>
          <w:highlight w:val="none"/>
        </w:rPr>
      </w:pPr>
      <w:r>
        <w:rPr>
          <w:rFonts w:hint="eastAsia"/>
          <w:color w:val="auto"/>
          <w:highlight w:val="none"/>
          <w:lang w:bidi="en-US"/>
        </w:rPr>
        <w:t>9.4.14</w:t>
      </w:r>
      <w:r>
        <w:rPr>
          <w:rFonts w:hint="eastAsia"/>
          <w:color w:val="auto"/>
          <w:highlight w:val="none"/>
        </w:rPr>
        <w:t>承包人施工期间的环保措施应达到环评报告批复文件（如有）及施工阶段环保监测单位（如有）、监理人、发包人的要求。承包人不采取环保措施或措施不满足监理人要求的，发包人有权另行委托第三方实施环保措施，由此造成的一切费用由承包人承担。</w:t>
      </w:r>
    </w:p>
    <w:p>
      <w:pPr>
        <w:pStyle w:val="245"/>
        <w:shd w:val="clear" w:color="auto" w:fill="auto"/>
        <w:adjustRightInd w:val="0"/>
        <w:snapToGrid w:val="0"/>
        <w:spacing w:line="360" w:lineRule="auto"/>
        <w:jc w:val="left"/>
        <w:rPr>
          <w:rStyle w:val="238"/>
          <w:rFonts w:ascii="宋体" w:hAnsi="宋体" w:eastAsia="宋体"/>
          <w:color w:val="auto"/>
          <w:highlight w:val="none"/>
        </w:rPr>
      </w:pPr>
    </w:p>
    <w:p>
      <w:pPr>
        <w:adjustRightInd w:val="0"/>
        <w:snapToGrid w:val="0"/>
        <w:spacing w:line="360" w:lineRule="auto"/>
        <w:rPr>
          <w:b/>
          <w:bCs/>
          <w:color w:val="auto"/>
          <w:highlight w:val="none"/>
        </w:rPr>
      </w:pPr>
      <w:bookmarkStart w:id="3327" w:name="_Toc3052"/>
      <w:bookmarkStart w:id="3328" w:name="_Toc26642"/>
      <w:bookmarkStart w:id="3329" w:name="_Toc1804"/>
      <w:bookmarkStart w:id="3330" w:name="_Toc14756"/>
      <w:bookmarkStart w:id="3331" w:name="_Toc31535"/>
      <w:bookmarkStart w:id="3332" w:name="_Toc4511"/>
      <w:bookmarkStart w:id="3333" w:name="_Toc4295"/>
      <w:bookmarkStart w:id="3334" w:name="_Toc20127"/>
      <w:bookmarkStart w:id="3335" w:name="_Toc24888"/>
      <w:r>
        <w:rPr>
          <w:rStyle w:val="238"/>
          <w:rFonts w:ascii="宋体" w:hAnsi="宋体" w:eastAsia="宋体"/>
          <w:b/>
          <w:bCs/>
          <w:color w:val="auto"/>
          <w:highlight w:val="none"/>
        </w:rPr>
        <w:t>9.5</w:t>
      </w:r>
      <w:r>
        <w:rPr>
          <w:rFonts w:hint="eastAsia"/>
          <w:b/>
          <w:bCs/>
          <w:color w:val="auto"/>
          <w:highlight w:val="none"/>
        </w:rPr>
        <w:t>事故处理</w:t>
      </w:r>
      <w:bookmarkEnd w:id="3327"/>
      <w:bookmarkEnd w:id="3328"/>
      <w:bookmarkEnd w:id="3329"/>
      <w:bookmarkEnd w:id="3330"/>
      <w:bookmarkEnd w:id="3331"/>
      <w:bookmarkEnd w:id="3332"/>
      <w:bookmarkEnd w:id="3333"/>
      <w:bookmarkEnd w:id="3334"/>
      <w:bookmarkEnd w:id="3335"/>
    </w:p>
    <w:p>
      <w:pPr>
        <w:adjustRightInd w:val="0"/>
        <w:snapToGrid w:val="0"/>
        <w:spacing w:line="360" w:lineRule="auto"/>
        <w:ind w:firstLine="500"/>
        <w:rPr>
          <w:color w:val="auto"/>
          <w:highlight w:val="none"/>
        </w:rPr>
      </w:pPr>
      <w:r>
        <w:rPr>
          <w:rFonts w:hint="eastAsia"/>
          <w:color w:val="auto"/>
          <w:highlight w:val="none"/>
        </w:rPr>
        <w:t>本款补充：</w:t>
      </w:r>
    </w:p>
    <w:p>
      <w:pPr>
        <w:adjustRightInd w:val="0"/>
        <w:snapToGrid w:val="0"/>
        <w:spacing w:line="360" w:lineRule="auto"/>
        <w:ind w:firstLine="500"/>
        <w:rPr>
          <w:color w:val="auto"/>
          <w:highlight w:val="none"/>
        </w:rPr>
      </w:pPr>
      <w:r>
        <w:rPr>
          <w:rFonts w:hint="eastAsia"/>
          <w:color w:val="auto"/>
          <w:highlight w:val="none"/>
        </w:rPr>
        <w:t xml:space="preserve">事故报告和调查处理执行《生产安全事故报告和调查处理条例》、《公路水运建设工程质量事故等级划分和报告制度》（交办安监〔2016） 146号）。 </w:t>
      </w:r>
    </w:p>
    <w:p>
      <w:pPr>
        <w:adjustRightInd w:val="0"/>
        <w:snapToGrid w:val="0"/>
        <w:spacing w:line="360" w:lineRule="auto"/>
        <w:ind w:left="500" w:right="2000"/>
        <w:rPr>
          <w:color w:val="auto"/>
          <w:highlight w:val="none"/>
        </w:rPr>
      </w:pPr>
    </w:p>
    <w:p>
      <w:pPr>
        <w:adjustRightInd w:val="0"/>
        <w:snapToGrid w:val="0"/>
        <w:spacing w:line="360" w:lineRule="auto"/>
        <w:ind w:left="500" w:right="2000"/>
        <w:rPr>
          <w:color w:val="auto"/>
          <w:highlight w:val="none"/>
        </w:rPr>
      </w:pPr>
      <w:r>
        <w:rPr>
          <w:rFonts w:hint="eastAsia"/>
          <w:b/>
          <w:bCs/>
          <w:color w:val="auto"/>
          <w:highlight w:val="none"/>
        </w:rPr>
        <w:t>本条补充第</w:t>
      </w:r>
      <w:r>
        <w:rPr>
          <w:rFonts w:hint="eastAsia"/>
          <w:b/>
          <w:bCs/>
          <w:color w:val="auto"/>
          <w:highlight w:val="none"/>
          <w:lang w:bidi="en-US"/>
        </w:rPr>
        <w:t>9.6</w:t>
      </w:r>
      <w:r>
        <w:rPr>
          <w:rFonts w:hint="eastAsia"/>
          <w:b/>
          <w:bCs/>
          <w:color w:val="auto"/>
          <w:highlight w:val="none"/>
        </w:rPr>
        <w:t>款：</w:t>
      </w:r>
    </w:p>
    <w:p>
      <w:pPr>
        <w:adjustRightInd w:val="0"/>
        <w:snapToGrid w:val="0"/>
        <w:spacing w:line="360" w:lineRule="auto"/>
        <w:rPr>
          <w:b/>
          <w:bCs/>
          <w:color w:val="auto"/>
          <w:highlight w:val="none"/>
        </w:rPr>
      </w:pPr>
      <w:bookmarkStart w:id="3336" w:name="_Toc4650"/>
      <w:bookmarkStart w:id="3337" w:name="_Toc26209"/>
      <w:bookmarkStart w:id="3338" w:name="_Toc2169"/>
      <w:bookmarkStart w:id="3339" w:name="_Toc8391"/>
      <w:bookmarkStart w:id="3340" w:name="_Toc12501"/>
      <w:bookmarkStart w:id="3341" w:name="_Toc26912"/>
      <w:bookmarkStart w:id="3342" w:name="_Toc30428"/>
      <w:bookmarkStart w:id="3343" w:name="_Toc16700"/>
      <w:bookmarkStart w:id="3344" w:name="_Toc8086"/>
      <w:r>
        <w:rPr>
          <w:rStyle w:val="238"/>
          <w:rFonts w:ascii="宋体" w:hAnsi="宋体" w:eastAsia="宋体"/>
          <w:b/>
          <w:bCs/>
          <w:color w:val="auto"/>
          <w:highlight w:val="none"/>
        </w:rPr>
        <w:t>9.6</w:t>
      </w:r>
      <w:r>
        <w:rPr>
          <w:rFonts w:hint="eastAsia"/>
          <w:b/>
          <w:bCs/>
          <w:color w:val="auto"/>
          <w:highlight w:val="none"/>
        </w:rPr>
        <w:t>其他要求</w:t>
      </w:r>
      <w:bookmarkEnd w:id="3336"/>
      <w:bookmarkEnd w:id="3337"/>
      <w:bookmarkEnd w:id="3338"/>
      <w:bookmarkEnd w:id="3339"/>
      <w:bookmarkEnd w:id="3340"/>
      <w:bookmarkEnd w:id="3341"/>
      <w:bookmarkEnd w:id="3342"/>
      <w:bookmarkEnd w:id="3343"/>
      <w:bookmarkEnd w:id="3344"/>
    </w:p>
    <w:p>
      <w:pPr>
        <w:adjustRightInd w:val="0"/>
        <w:snapToGrid w:val="0"/>
        <w:spacing w:line="360" w:lineRule="auto"/>
        <w:ind w:left="500"/>
        <w:rPr>
          <w:color w:val="auto"/>
          <w:highlight w:val="none"/>
        </w:rPr>
      </w:pPr>
      <w:r>
        <w:rPr>
          <w:rFonts w:hint="eastAsia"/>
          <w:color w:val="auto"/>
          <w:highlight w:val="none"/>
        </w:rPr>
        <w:t>承包人必须重视施工安全及环境保护，在管理方面要做好但不限于以下工作：</w:t>
      </w:r>
    </w:p>
    <w:p>
      <w:pPr>
        <w:tabs>
          <w:tab w:val="left" w:pos="1146"/>
        </w:tabs>
        <w:adjustRightInd w:val="0"/>
        <w:snapToGrid w:val="0"/>
        <w:spacing w:line="360" w:lineRule="auto"/>
        <w:ind w:right="160"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承包人应按国家和有关部门的规定，对施工现场人员和作业设备的防汛、防火、防风、防坠落、防雷击等进行安全管理，对施工现场加强交通安全管理、治安防范和消防安全防护措施，并承担由于措施不力造成的事故责任和由此发生的费用。</w:t>
      </w:r>
    </w:p>
    <w:p>
      <w:pPr>
        <w:tabs>
          <w:tab w:val="left" w:pos="1146"/>
        </w:tabs>
        <w:adjustRightInd w:val="0"/>
        <w:snapToGrid w:val="0"/>
        <w:spacing w:line="360" w:lineRule="auto"/>
        <w:ind w:right="160"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）承包人在高压线、管线、易燃、易爆地段或其他有害环境下作业时，作业前应提出安全保护措施，经监理人审查同意后实施。监理人的同意并不能免除承包人应承担的责任。防护措施费用由承包人承担。</w:t>
      </w:r>
    </w:p>
    <w:p>
      <w:pPr>
        <w:tabs>
          <w:tab w:val="left" w:pos="1146"/>
        </w:tabs>
        <w:adjustRightInd w:val="0"/>
        <w:snapToGrid w:val="0"/>
        <w:spacing w:line="360" w:lineRule="auto"/>
        <w:ind w:right="160"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）对施工场地周围管线和邻近建筑物、构筑物进行保护并承担有关费用，对己完成作业的管线、沟道应有明显的标识和警示措施，并按要求予以保护，因标识不全或安全防护设施不当(够)引起的</w:t>
      </w:r>
      <w:r>
        <w:rPr>
          <w:rFonts w:hint="eastAsia"/>
          <w:color w:val="auto"/>
          <w:highlight w:val="none"/>
          <w:lang w:val="en-US"/>
        </w:rPr>
        <w:t>任何</w:t>
      </w:r>
      <w:r>
        <w:rPr>
          <w:rFonts w:hint="eastAsia"/>
          <w:color w:val="auto"/>
          <w:highlight w:val="none"/>
        </w:rPr>
        <w:t>责任由承包人承担。</w:t>
      </w:r>
    </w:p>
    <w:p>
      <w:pPr>
        <w:tabs>
          <w:tab w:val="left" w:pos="1146"/>
        </w:tabs>
        <w:adjustRightInd w:val="0"/>
        <w:snapToGrid w:val="0"/>
        <w:spacing w:line="360" w:lineRule="auto"/>
        <w:ind w:right="160"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）遵守属地政府和行业主管部门对作业设备、作业噪音以及环境保护和安全生产文明施工等的管理规定，并按规定办理有关手续，因手续不全引起的一切责任均由承包人负责。</w:t>
      </w:r>
    </w:p>
    <w:p>
      <w:pPr>
        <w:tabs>
          <w:tab w:val="left" w:pos="1141"/>
        </w:tabs>
        <w:adjustRightInd w:val="0"/>
        <w:snapToGrid w:val="0"/>
        <w:spacing w:line="360" w:lineRule="auto"/>
        <w:ind w:right="160" w:firstLine="440" w:firstLineChars="200"/>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）由于承包人原因，在施工场地内及其毗邻地带造成的第三者人员伤亡和财产损失，由承包人负责偿。</w:t>
      </w:r>
    </w:p>
    <w:p>
      <w:pPr>
        <w:tabs>
          <w:tab w:val="left" w:pos="1146"/>
        </w:tabs>
        <w:adjustRightInd w:val="0"/>
        <w:snapToGrid w:val="0"/>
        <w:spacing w:line="360" w:lineRule="auto"/>
        <w:ind w:right="160" w:firstLine="440" w:firstLineChars="200"/>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）因承包人违法、违章作业，造成生态环境破坏损害、妨碍公共交通安全、危及区域交通和居民安全，降低防洪能力，或者影响其他承包人施工等后果的，承包人应 承担一切责任。因此使发包人受到行政管理部门处罚的，其后果由承包人承担。</w:t>
      </w:r>
    </w:p>
    <w:p>
      <w:pPr>
        <w:tabs>
          <w:tab w:val="left" w:pos="1136"/>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7</w:t>
      </w:r>
      <w:r>
        <w:rPr>
          <w:rFonts w:hint="eastAsia"/>
          <w:color w:val="auto"/>
          <w:highlight w:val="none"/>
        </w:rPr>
        <w:t>）因承包人原因造成施工现场存在重大职业健康、安全与环境保护隐患，未按照《辽宁省交通工程质量与安全监督局关于落实公路水运工程职业健康工作要求的意见》(辽交工监安发〔2017〕235号)遵照执行的，被发包人或监理人责令停工整顿的，其延误工期造成的损失由承包人承担。</w:t>
      </w:r>
    </w:p>
    <w:p>
      <w:pPr>
        <w:pStyle w:val="241"/>
        <w:keepNext/>
        <w:keepLines/>
        <w:shd w:val="clear" w:color="auto" w:fill="auto"/>
        <w:adjustRightInd w:val="0"/>
        <w:snapToGrid w:val="0"/>
        <w:spacing w:before="0" w:line="360" w:lineRule="auto"/>
        <w:ind w:firstLine="0"/>
        <w:jc w:val="left"/>
        <w:outlineLvl w:val="2"/>
        <w:rPr>
          <w:rFonts w:ascii="宋体" w:hAnsi="宋体" w:eastAsia="宋体"/>
          <w:color w:val="auto"/>
          <w:sz w:val="22"/>
          <w:szCs w:val="22"/>
          <w:highlight w:val="none"/>
        </w:rPr>
      </w:pPr>
      <w:bookmarkStart w:id="3345" w:name="bookmark26"/>
    </w:p>
    <w:p>
      <w:pPr>
        <w:adjustRightInd w:val="0"/>
        <w:snapToGrid w:val="0"/>
        <w:spacing w:line="360" w:lineRule="auto"/>
        <w:outlineLvl w:val="2"/>
        <w:rPr>
          <w:b/>
          <w:bCs/>
          <w:color w:val="auto"/>
          <w:highlight w:val="none"/>
          <w:lang w:val="en-US"/>
        </w:rPr>
      </w:pPr>
      <w:bookmarkStart w:id="3346" w:name="_Toc22965"/>
      <w:bookmarkStart w:id="3347" w:name="_Toc12874"/>
      <w:bookmarkStart w:id="3348" w:name="_Toc20744"/>
      <w:bookmarkStart w:id="3349" w:name="_Toc420"/>
      <w:bookmarkStart w:id="3350" w:name="_Toc27683"/>
      <w:bookmarkStart w:id="3351" w:name="_Toc11809"/>
      <w:bookmarkStart w:id="3352" w:name="_Toc6924"/>
      <w:bookmarkStart w:id="3353" w:name="_Toc3438"/>
      <w:bookmarkStart w:id="3354" w:name="_Toc7026"/>
      <w:bookmarkStart w:id="3355" w:name="_Toc8786"/>
      <w:bookmarkStart w:id="3356" w:name="_Toc26011"/>
      <w:bookmarkStart w:id="3357" w:name="_Toc31609"/>
      <w:bookmarkStart w:id="3358" w:name="_Toc10865"/>
      <w:bookmarkStart w:id="3359" w:name="_Toc31639"/>
      <w:bookmarkStart w:id="3360" w:name="_Toc22403"/>
      <w:bookmarkStart w:id="3361" w:name="_Toc25729"/>
      <w:bookmarkStart w:id="3362" w:name="_Toc8621"/>
      <w:bookmarkStart w:id="3363" w:name="_Toc24402"/>
      <w:bookmarkStart w:id="3364" w:name="_Toc31850"/>
      <w:bookmarkStart w:id="3365" w:name="_Toc30877"/>
      <w:bookmarkStart w:id="3366" w:name="_Toc13435"/>
      <w:r>
        <w:rPr>
          <w:rFonts w:hint="eastAsia"/>
          <w:b/>
          <w:bCs/>
          <w:color w:val="auto"/>
          <w:highlight w:val="none"/>
          <w:lang w:val="en-US"/>
        </w:rPr>
        <w:t>10.进度计划</w:t>
      </w:r>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p>
    <w:p>
      <w:pPr>
        <w:adjustRightInd w:val="0"/>
        <w:snapToGrid w:val="0"/>
        <w:spacing w:line="360" w:lineRule="auto"/>
        <w:rPr>
          <w:b/>
          <w:bCs/>
          <w:color w:val="auto"/>
          <w:highlight w:val="none"/>
        </w:rPr>
      </w:pPr>
      <w:bookmarkStart w:id="3367" w:name="_Toc25184"/>
      <w:bookmarkStart w:id="3368" w:name="_Toc7159"/>
      <w:bookmarkStart w:id="3369" w:name="_Toc28286"/>
      <w:bookmarkStart w:id="3370" w:name="_Toc997"/>
      <w:bookmarkStart w:id="3371" w:name="_Toc13967"/>
      <w:bookmarkStart w:id="3372" w:name="_Toc24440"/>
      <w:bookmarkStart w:id="3373" w:name="_Toc32117"/>
      <w:bookmarkStart w:id="3374" w:name="bookmark27"/>
      <w:bookmarkStart w:id="3375" w:name="_Toc11174"/>
      <w:bookmarkStart w:id="3376" w:name="_Toc24182"/>
      <w:bookmarkStart w:id="3377" w:name="_Toc14468"/>
      <w:bookmarkStart w:id="3378" w:name="_Toc531"/>
      <w:r>
        <w:rPr>
          <w:rFonts w:hint="eastAsia"/>
          <w:b/>
          <w:bCs/>
          <w:color w:val="auto"/>
          <w:highlight w:val="none"/>
          <w:lang w:bidi="en-US"/>
        </w:rPr>
        <w:t>10.1</w:t>
      </w:r>
      <w:r>
        <w:rPr>
          <w:rFonts w:hint="eastAsia"/>
          <w:b/>
          <w:bCs/>
          <w:color w:val="auto"/>
          <w:highlight w:val="none"/>
        </w:rPr>
        <w:t>合同进度计划</w:t>
      </w:r>
      <w:bookmarkEnd w:id="3367"/>
      <w:bookmarkEnd w:id="3368"/>
      <w:bookmarkEnd w:id="3369"/>
      <w:bookmarkEnd w:id="3370"/>
      <w:bookmarkEnd w:id="3371"/>
      <w:bookmarkEnd w:id="3372"/>
      <w:bookmarkEnd w:id="3373"/>
      <w:bookmarkEnd w:id="3374"/>
      <w:bookmarkEnd w:id="3375"/>
      <w:bookmarkEnd w:id="3376"/>
      <w:bookmarkEnd w:id="3377"/>
      <w:bookmarkEnd w:id="3378"/>
    </w:p>
    <w:p>
      <w:pPr>
        <w:adjustRightInd w:val="0"/>
        <w:snapToGrid w:val="0"/>
        <w:spacing w:line="360" w:lineRule="auto"/>
        <w:ind w:left="500"/>
        <w:rPr>
          <w:color w:val="auto"/>
          <w:highlight w:val="none"/>
        </w:rPr>
      </w:pPr>
      <w:r>
        <w:rPr>
          <w:rFonts w:hint="eastAsia"/>
          <w:color w:val="auto"/>
          <w:highlight w:val="none"/>
        </w:rPr>
        <w:t>本款补充：</w:t>
      </w:r>
    </w:p>
    <w:p>
      <w:pPr>
        <w:adjustRightInd w:val="0"/>
        <w:snapToGrid w:val="0"/>
        <w:spacing w:line="360" w:lineRule="auto"/>
        <w:ind w:right="600" w:firstLine="440" w:firstLineChars="200"/>
        <w:rPr>
          <w:color w:val="auto"/>
          <w:highlight w:val="none"/>
        </w:rPr>
      </w:pPr>
      <w:r>
        <w:rPr>
          <w:rFonts w:hint="eastAsia"/>
          <w:color w:val="auto"/>
          <w:highlight w:val="none"/>
        </w:rPr>
        <w:t>承包人编制施工方案的内容：</w:t>
      </w:r>
      <w:r>
        <w:rPr>
          <w:rFonts w:hint="eastAsia"/>
          <w:color w:val="auto"/>
          <w:highlight w:val="none"/>
          <w:u w:val="single"/>
        </w:rPr>
        <w:t>详见《项目专用合同条款数据表》</w:t>
      </w:r>
      <w:r>
        <w:rPr>
          <w:rStyle w:val="248"/>
          <w:rFonts w:hint="eastAsia" w:ascii="宋体" w:hAnsi="宋体" w:eastAsia="宋体" w:cs="宋体"/>
          <w:color w:val="auto"/>
          <w:highlight w:val="none"/>
        </w:rPr>
        <w:t>。</w:t>
      </w:r>
    </w:p>
    <w:p>
      <w:pPr>
        <w:adjustRightInd w:val="0"/>
        <w:snapToGrid w:val="0"/>
        <w:spacing w:line="360" w:lineRule="auto"/>
        <w:ind w:left="500"/>
        <w:rPr>
          <w:color w:val="auto"/>
          <w:highlight w:val="none"/>
        </w:rPr>
      </w:pPr>
    </w:p>
    <w:p>
      <w:pPr>
        <w:adjustRightInd w:val="0"/>
        <w:snapToGrid w:val="0"/>
        <w:spacing w:line="360" w:lineRule="auto"/>
        <w:ind w:left="500"/>
        <w:rPr>
          <w:color w:val="auto"/>
          <w:highlight w:val="none"/>
        </w:rPr>
      </w:pPr>
      <w:r>
        <w:rPr>
          <w:rFonts w:hint="eastAsia"/>
          <w:color w:val="auto"/>
          <w:highlight w:val="none"/>
        </w:rPr>
        <w:t>本条补充第</w:t>
      </w:r>
      <w:r>
        <w:rPr>
          <w:rFonts w:hint="eastAsia"/>
          <w:color w:val="auto"/>
          <w:highlight w:val="none"/>
          <w:lang w:bidi="en-US"/>
        </w:rPr>
        <w:t>10.5</w:t>
      </w:r>
      <w:r>
        <w:rPr>
          <w:rFonts w:hint="eastAsia"/>
          <w:color w:val="auto"/>
          <w:highlight w:val="none"/>
        </w:rPr>
        <w:t>款：</w:t>
      </w:r>
    </w:p>
    <w:p>
      <w:pPr>
        <w:adjustRightInd w:val="0"/>
        <w:snapToGrid w:val="0"/>
        <w:spacing w:line="360" w:lineRule="auto"/>
        <w:rPr>
          <w:b/>
          <w:bCs/>
          <w:color w:val="auto"/>
          <w:highlight w:val="none"/>
        </w:rPr>
      </w:pPr>
      <w:bookmarkStart w:id="3379" w:name="_Toc22990"/>
      <w:bookmarkStart w:id="3380" w:name="bookmark28"/>
      <w:bookmarkStart w:id="3381" w:name="_Toc23374"/>
      <w:bookmarkStart w:id="3382" w:name="_Toc31732"/>
      <w:bookmarkStart w:id="3383" w:name="_Toc2417"/>
      <w:bookmarkStart w:id="3384" w:name="_Toc11665"/>
      <w:bookmarkStart w:id="3385" w:name="_Toc2702"/>
      <w:bookmarkStart w:id="3386" w:name="_Toc32327"/>
      <w:bookmarkStart w:id="3387" w:name="_Toc17107"/>
      <w:bookmarkStart w:id="3388" w:name="_Toc29489"/>
      <w:bookmarkStart w:id="3389" w:name="_Toc26220"/>
      <w:bookmarkStart w:id="3390" w:name="_Toc14769"/>
      <w:r>
        <w:rPr>
          <w:b/>
          <w:bCs/>
          <w:color w:val="auto"/>
          <w:highlight w:val="none"/>
        </w:rPr>
        <w:t>10.5</w:t>
      </w:r>
      <w:r>
        <w:rPr>
          <w:rFonts w:hint="eastAsia"/>
          <w:b/>
          <w:bCs/>
          <w:color w:val="auto"/>
          <w:highlight w:val="none"/>
        </w:rPr>
        <w:t>未免除承包人的义务或责任</w:t>
      </w:r>
      <w:bookmarkEnd w:id="3379"/>
      <w:bookmarkEnd w:id="3380"/>
      <w:bookmarkEnd w:id="3381"/>
      <w:bookmarkEnd w:id="3382"/>
      <w:bookmarkEnd w:id="3383"/>
      <w:bookmarkEnd w:id="3384"/>
      <w:bookmarkEnd w:id="3385"/>
      <w:bookmarkEnd w:id="3386"/>
      <w:bookmarkEnd w:id="3387"/>
      <w:bookmarkEnd w:id="3388"/>
      <w:bookmarkEnd w:id="3389"/>
      <w:bookmarkEnd w:id="3390"/>
    </w:p>
    <w:p>
      <w:pPr>
        <w:adjustRightInd w:val="0"/>
        <w:snapToGrid w:val="0"/>
        <w:spacing w:line="360" w:lineRule="auto"/>
        <w:ind w:right="50"/>
        <w:jc w:val="right"/>
        <w:rPr>
          <w:color w:val="auto"/>
          <w:highlight w:val="none"/>
        </w:rPr>
      </w:pPr>
      <w:r>
        <w:rPr>
          <w:rFonts w:hint="eastAsia"/>
          <w:color w:val="auto"/>
          <w:highlight w:val="none"/>
        </w:rPr>
        <w:t xml:space="preserve">    承包人向监理人提交上述工程进度计划和说明，或年度施工计划，或合同用款计划，并取得</w:t>
      </w:r>
    </w:p>
    <w:p>
      <w:pPr>
        <w:adjustRightInd w:val="0"/>
        <w:snapToGrid w:val="0"/>
        <w:spacing w:line="360" w:lineRule="auto"/>
        <w:ind w:right="490"/>
        <w:rPr>
          <w:color w:val="auto"/>
          <w:highlight w:val="none"/>
        </w:rPr>
      </w:pPr>
      <w:r>
        <w:rPr>
          <w:rFonts w:hint="eastAsia"/>
          <w:color w:val="auto"/>
          <w:highlight w:val="none"/>
        </w:rPr>
        <w:t>监理人的同意，但不能因此而免除承包人根据合同规定应负的任何责任或义务。</w:t>
      </w:r>
    </w:p>
    <w:p>
      <w:pPr>
        <w:pStyle w:val="241"/>
        <w:keepNext/>
        <w:keepLines/>
        <w:shd w:val="clear" w:color="auto" w:fill="auto"/>
        <w:adjustRightInd w:val="0"/>
        <w:snapToGrid w:val="0"/>
        <w:spacing w:before="0" w:line="360" w:lineRule="auto"/>
        <w:ind w:firstLine="0"/>
        <w:jc w:val="left"/>
        <w:outlineLvl w:val="2"/>
        <w:rPr>
          <w:rFonts w:ascii="宋体" w:hAnsi="宋体" w:eastAsia="宋体"/>
          <w:color w:val="auto"/>
          <w:sz w:val="22"/>
          <w:szCs w:val="22"/>
          <w:highlight w:val="none"/>
        </w:rPr>
      </w:pPr>
      <w:bookmarkStart w:id="3391" w:name="bookmark29"/>
    </w:p>
    <w:p>
      <w:pPr>
        <w:adjustRightInd w:val="0"/>
        <w:snapToGrid w:val="0"/>
        <w:spacing w:line="360" w:lineRule="auto"/>
        <w:outlineLvl w:val="2"/>
        <w:rPr>
          <w:b/>
          <w:bCs/>
          <w:color w:val="auto"/>
          <w:highlight w:val="none"/>
          <w:lang w:val="en-US"/>
        </w:rPr>
      </w:pPr>
      <w:bookmarkStart w:id="3392" w:name="_Toc14681"/>
      <w:bookmarkStart w:id="3393" w:name="_Toc10295"/>
      <w:bookmarkStart w:id="3394" w:name="_Toc9240"/>
      <w:bookmarkStart w:id="3395" w:name="_Toc123"/>
      <w:bookmarkStart w:id="3396" w:name="_Toc28668"/>
      <w:bookmarkStart w:id="3397" w:name="_Toc29097"/>
      <w:bookmarkStart w:id="3398" w:name="_Toc31480"/>
      <w:bookmarkStart w:id="3399" w:name="_Toc13146"/>
      <w:bookmarkStart w:id="3400" w:name="_Toc14398"/>
      <w:bookmarkStart w:id="3401" w:name="_Toc22810"/>
      <w:bookmarkStart w:id="3402" w:name="_Toc11509"/>
      <w:bookmarkStart w:id="3403" w:name="_Toc12437"/>
      <w:bookmarkStart w:id="3404" w:name="_Toc19039"/>
      <w:bookmarkStart w:id="3405" w:name="_Toc7718"/>
      <w:bookmarkStart w:id="3406" w:name="_Toc3023"/>
      <w:bookmarkStart w:id="3407" w:name="_Toc3126"/>
      <w:bookmarkStart w:id="3408" w:name="_Toc15475"/>
      <w:bookmarkStart w:id="3409" w:name="_Toc19719"/>
      <w:bookmarkStart w:id="3410" w:name="_Toc25607"/>
      <w:bookmarkStart w:id="3411" w:name="_Toc30792"/>
      <w:bookmarkStart w:id="3412" w:name="_Toc22573"/>
      <w:r>
        <w:rPr>
          <w:rFonts w:hint="eastAsia"/>
          <w:b/>
          <w:bCs/>
          <w:color w:val="auto"/>
          <w:highlight w:val="none"/>
          <w:lang w:val="en-US"/>
        </w:rPr>
        <w:t>11.开工和竣工</w:t>
      </w:r>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p>
    <w:p>
      <w:pPr>
        <w:adjustRightInd w:val="0"/>
        <w:snapToGrid w:val="0"/>
        <w:spacing w:line="360" w:lineRule="auto"/>
        <w:rPr>
          <w:b/>
          <w:bCs/>
          <w:color w:val="auto"/>
          <w:highlight w:val="none"/>
        </w:rPr>
      </w:pPr>
      <w:bookmarkStart w:id="3413" w:name="_Toc17193"/>
      <w:bookmarkStart w:id="3414" w:name="_Toc10108"/>
      <w:bookmarkStart w:id="3415" w:name="_Toc28297"/>
      <w:bookmarkStart w:id="3416" w:name="_Toc23270"/>
      <w:bookmarkStart w:id="3417" w:name="_Toc7182"/>
      <w:bookmarkStart w:id="3418" w:name="_Toc27659"/>
      <w:bookmarkStart w:id="3419" w:name="_Toc2877"/>
      <w:bookmarkStart w:id="3420" w:name="_Toc25579"/>
      <w:bookmarkStart w:id="3421" w:name="_Toc9807"/>
      <w:bookmarkStart w:id="3422" w:name="_Toc11566"/>
      <w:bookmarkStart w:id="3423" w:name="_Toc27093"/>
      <w:bookmarkStart w:id="3424" w:name="bookmark30"/>
      <w:r>
        <w:rPr>
          <w:rFonts w:hint="eastAsia"/>
          <w:b/>
          <w:bCs/>
          <w:color w:val="auto"/>
          <w:highlight w:val="none"/>
          <w:lang w:bidi="en-US"/>
        </w:rPr>
        <w:t>11.1</w:t>
      </w:r>
      <w:r>
        <w:rPr>
          <w:rFonts w:hint="eastAsia"/>
          <w:b/>
          <w:bCs/>
          <w:color w:val="auto"/>
          <w:highlight w:val="none"/>
        </w:rPr>
        <w:t>开工</w:t>
      </w:r>
      <w:bookmarkEnd w:id="3413"/>
      <w:bookmarkEnd w:id="3414"/>
      <w:bookmarkEnd w:id="3415"/>
      <w:bookmarkEnd w:id="3416"/>
      <w:bookmarkEnd w:id="3417"/>
      <w:bookmarkEnd w:id="3418"/>
      <w:bookmarkEnd w:id="3419"/>
      <w:bookmarkEnd w:id="3420"/>
      <w:bookmarkEnd w:id="3421"/>
      <w:bookmarkEnd w:id="3422"/>
      <w:bookmarkEnd w:id="3423"/>
      <w:bookmarkEnd w:id="3424"/>
    </w:p>
    <w:p>
      <w:pPr>
        <w:adjustRightInd w:val="0"/>
        <w:snapToGrid w:val="0"/>
        <w:spacing w:line="360" w:lineRule="auto"/>
        <w:ind w:firstLine="500"/>
        <w:rPr>
          <w:color w:val="auto"/>
          <w:highlight w:val="none"/>
          <w:lang w:val="en-US"/>
        </w:rPr>
      </w:pPr>
      <w:r>
        <w:rPr>
          <w:rFonts w:hint="eastAsia"/>
          <w:color w:val="auto"/>
          <w:highlight w:val="none"/>
        </w:rPr>
        <w:t>第</w:t>
      </w:r>
      <w:r>
        <w:rPr>
          <w:rStyle w:val="239"/>
          <w:rFonts w:hint="eastAsia" w:ascii="宋体" w:hAnsi="宋体" w:eastAsia="宋体"/>
          <w:color w:val="auto"/>
          <w:sz w:val="22"/>
          <w:szCs w:val="22"/>
          <w:highlight w:val="none"/>
          <w:lang w:eastAsia="zh-CN"/>
        </w:rPr>
        <w:t>11.1.1</w:t>
      </w:r>
      <w:r>
        <w:rPr>
          <w:rFonts w:hint="eastAsia"/>
          <w:color w:val="auto"/>
          <w:highlight w:val="none"/>
        </w:rPr>
        <w:t>项细化为：</w:t>
      </w:r>
      <w:r>
        <w:rPr>
          <w:color w:val="auto"/>
          <w:highlight w:val="none"/>
          <w:u w:val="single"/>
        </w:rPr>
        <w:t>详见《项目专用合同条款数据表》</w:t>
      </w:r>
      <w:r>
        <w:rPr>
          <w:rFonts w:hint="eastAsia"/>
          <w:color w:val="auto"/>
          <w:highlight w:val="none"/>
          <w:u w:val="single"/>
          <w:lang w:val="en-US"/>
        </w:rPr>
        <w:t xml:space="preserve">  </w:t>
      </w:r>
      <w:r>
        <w:rPr>
          <w:rFonts w:hint="eastAsia"/>
          <w:color w:val="auto"/>
          <w:highlight w:val="none"/>
          <w:lang w:val="en-US"/>
        </w:rPr>
        <w:t>。</w:t>
      </w:r>
    </w:p>
    <w:p>
      <w:pPr>
        <w:pStyle w:val="243"/>
        <w:keepNext/>
        <w:keepLines/>
        <w:shd w:val="clear" w:color="auto" w:fill="auto"/>
        <w:adjustRightInd w:val="0"/>
        <w:snapToGrid w:val="0"/>
        <w:spacing w:line="360" w:lineRule="auto"/>
        <w:ind w:firstLine="0"/>
        <w:jc w:val="left"/>
        <w:outlineLvl w:val="9"/>
        <w:rPr>
          <w:rFonts w:ascii="宋体" w:hAnsi="宋体" w:eastAsia="宋体"/>
          <w:color w:val="auto"/>
          <w:highlight w:val="none"/>
          <w:lang w:bidi="en-US"/>
        </w:rPr>
      </w:pPr>
      <w:bookmarkStart w:id="3425" w:name="bookmark31"/>
    </w:p>
    <w:p>
      <w:pPr>
        <w:adjustRightInd w:val="0"/>
        <w:snapToGrid w:val="0"/>
        <w:spacing w:line="360" w:lineRule="auto"/>
        <w:rPr>
          <w:b/>
          <w:bCs/>
          <w:color w:val="auto"/>
          <w:highlight w:val="none"/>
          <w:lang w:bidi="en-US"/>
        </w:rPr>
      </w:pPr>
      <w:bookmarkStart w:id="3426" w:name="_Toc25217"/>
      <w:bookmarkStart w:id="3427" w:name="_Toc2028"/>
      <w:bookmarkStart w:id="3428" w:name="_Toc20549"/>
      <w:bookmarkStart w:id="3429" w:name="_Toc24348"/>
      <w:bookmarkStart w:id="3430" w:name="_Toc11561"/>
      <w:bookmarkStart w:id="3431" w:name="_Toc282"/>
      <w:bookmarkStart w:id="3432" w:name="_Toc3030"/>
      <w:bookmarkStart w:id="3433" w:name="_Toc21432"/>
      <w:bookmarkStart w:id="3434" w:name="_Toc7817"/>
      <w:bookmarkStart w:id="3435" w:name="_Toc27125"/>
      <w:bookmarkStart w:id="3436" w:name="_Toc13812"/>
      <w:r>
        <w:rPr>
          <w:rFonts w:hint="eastAsia"/>
          <w:b/>
          <w:bCs/>
          <w:color w:val="auto"/>
          <w:highlight w:val="none"/>
          <w:lang w:bidi="en-US"/>
        </w:rPr>
        <w:t>11.2竣工</w:t>
      </w:r>
      <w:bookmarkEnd w:id="3425"/>
      <w:bookmarkEnd w:id="3426"/>
      <w:bookmarkEnd w:id="3427"/>
      <w:bookmarkEnd w:id="3428"/>
      <w:bookmarkEnd w:id="3429"/>
      <w:bookmarkEnd w:id="3430"/>
      <w:bookmarkEnd w:id="3431"/>
      <w:bookmarkEnd w:id="3432"/>
      <w:bookmarkEnd w:id="3433"/>
      <w:bookmarkEnd w:id="3434"/>
      <w:bookmarkEnd w:id="3435"/>
      <w:bookmarkEnd w:id="3436"/>
    </w:p>
    <w:p>
      <w:pPr>
        <w:adjustRightInd w:val="0"/>
        <w:snapToGrid w:val="0"/>
        <w:spacing w:line="360" w:lineRule="auto"/>
        <w:ind w:firstLine="500"/>
        <w:rPr>
          <w:color w:val="auto"/>
          <w:highlight w:val="none"/>
        </w:rPr>
      </w:pPr>
      <w:r>
        <w:rPr>
          <w:rFonts w:hint="eastAsia"/>
          <w:color w:val="auto"/>
          <w:highlight w:val="none"/>
        </w:rPr>
        <w:t>本款补充：</w:t>
      </w:r>
    </w:p>
    <w:p>
      <w:pPr>
        <w:adjustRightInd w:val="0"/>
        <w:snapToGrid w:val="0"/>
        <w:spacing w:line="360" w:lineRule="auto"/>
        <w:ind w:firstLine="500"/>
        <w:rPr>
          <w:color w:val="auto"/>
          <w:highlight w:val="none"/>
        </w:rPr>
      </w:pPr>
      <w:r>
        <w:rPr>
          <w:rFonts w:hint="eastAsia"/>
          <w:color w:val="auto"/>
          <w:highlight w:val="none"/>
        </w:rPr>
        <w:t>承包人应确保本项目在发包人要求的期限内完工，并在合同价格中充分考虑为保证按时完工所需的人员、设备、材料（包括模板）等各项投入，出资人将不另行支付费用。</w:t>
      </w:r>
    </w:p>
    <w:p>
      <w:pPr>
        <w:pStyle w:val="243"/>
        <w:keepNext/>
        <w:keepLines/>
        <w:shd w:val="clear" w:color="auto" w:fill="auto"/>
        <w:adjustRightInd w:val="0"/>
        <w:snapToGrid w:val="0"/>
        <w:spacing w:line="360" w:lineRule="auto"/>
        <w:ind w:firstLine="0"/>
        <w:jc w:val="left"/>
        <w:outlineLvl w:val="9"/>
        <w:rPr>
          <w:rStyle w:val="238"/>
          <w:rFonts w:ascii="宋体" w:hAnsi="宋体" w:eastAsia="宋体"/>
          <w:color w:val="auto"/>
          <w:highlight w:val="none"/>
        </w:rPr>
      </w:pPr>
      <w:bookmarkStart w:id="3437" w:name="bookmark32"/>
    </w:p>
    <w:p>
      <w:pPr>
        <w:adjustRightInd w:val="0"/>
        <w:snapToGrid w:val="0"/>
        <w:spacing w:line="360" w:lineRule="auto"/>
        <w:rPr>
          <w:b/>
          <w:bCs/>
          <w:color w:val="auto"/>
          <w:highlight w:val="none"/>
          <w:lang w:bidi="en-US"/>
        </w:rPr>
      </w:pPr>
      <w:bookmarkStart w:id="3438" w:name="_Toc12995"/>
      <w:bookmarkStart w:id="3439" w:name="_Toc19494"/>
      <w:bookmarkStart w:id="3440" w:name="_Toc5919"/>
      <w:bookmarkStart w:id="3441" w:name="_Toc18538"/>
      <w:bookmarkStart w:id="3442" w:name="_Toc11204"/>
      <w:bookmarkStart w:id="3443" w:name="_Toc8446"/>
      <w:bookmarkStart w:id="3444" w:name="_Toc5907"/>
      <w:bookmarkStart w:id="3445" w:name="_Toc31408"/>
      <w:bookmarkStart w:id="3446" w:name="_Toc32217"/>
      <w:bookmarkStart w:id="3447" w:name="_Toc32722"/>
      <w:bookmarkStart w:id="3448" w:name="_Toc6541"/>
      <w:r>
        <w:rPr>
          <w:b/>
          <w:bCs/>
          <w:color w:val="auto"/>
          <w:highlight w:val="none"/>
          <w:lang w:bidi="en-US"/>
        </w:rPr>
        <w:t>11.4</w:t>
      </w:r>
      <w:r>
        <w:rPr>
          <w:rFonts w:hint="eastAsia"/>
          <w:b/>
          <w:bCs/>
          <w:color w:val="auto"/>
          <w:highlight w:val="none"/>
          <w:lang w:bidi="en-US"/>
        </w:rPr>
        <w:t>异常恶劣的气候条件</w:t>
      </w:r>
      <w:bookmarkEnd w:id="3437"/>
      <w:bookmarkEnd w:id="3438"/>
      <w:bookmarkEnd w:id="3439"/>
      <w:bookmarkEnd w:id="3440"/>
      <w:bookmarkEnd w:id="3441"/>
      <w:bookmarkEnd w:id="3442"/>
      <w:bookmarkEnd w:id="3443"/>
      <w:bookmarkEnd w:id="3444"/>
      <w:bookmarkEnd w:id="3445"/>
      <w:bookmarkEnd w:id="3446"/>
      <w:bookmarkEnd w:id="3447"/>
      <w:bookmarkEnd w:id="3448"/>
    </w:p>
    <w:p>
      <w:pPr>
        <w:adjustRightInd w:val="0"/>
        <w:snapToGrid w:val="0"/>
        <w:spacing w:line="360" w:lineRule="auto"/>
        <w:ind w:firstLine="500"/>
        <w:rPr>
          <w:color w:val="auto"/>
          <w:highlight w:val="none"/>
        </w:rPr>
      </w:pPr>
      <w:r>
        <w:rPr>
          <w:rFonts w:hint="eastAsia"/>
          <w:color w:val="auto"/>
          <w:highlight w:val="none"/>
        </w:rPr>
        <w:t>本款细化为：</w:t>
      </w:r>
    </w:p>
    <w:p>
      <w:pPr>
        <w:adjustRightInd w:val="0"/>
        <w:snapToGrid w:val="0"/>
        <w:spacing w:line="360" w:lineRule="auto"/>
        <w:ind w:firstLine="500"/>
        <w:rPr>
          <w:color w:val="auto"/>
          <w:highlight w:val="none"/>
        </w:rPr>
      </w:pPr>
      <w:r>
        <w:rPr>
          <w:rFonts w:hint="eastAsia"/>
          <w:color w:val="auto"/>
          <w:highlight w:val="none"/>
        </w:rPr>
        <w:t>异常气候是指项目所在地30年以上一遇的罕.见气候现象（包括温度、降水、降雪、 风等）。异常恶劣的气候条件，指发生烈度八度（含八度）以上地震、龙卷风、工地受 淹超过桥梁设计洪水水位以及不利的降水等引起的延误的情况。</w:t>
      </w:r>
    </w:p>
    <w:p>
      <w:pPr>
        <w:adjustRightInd w:val="0"/>
        <w:snapToGrid w:val="0"/>
        <w:spacing w:line="360" w:lineRule="auto"/>
        <w:ind w:firstLine="500"/>
        <w:rPr>
          <w:color w:val="auto"/>
          <w:highlight w:val="none"/>
        </w:rPr>
      </w:pPr>
      <w:r>
        <w:rPr>
          <w:rFonts w:hint="eastAsia"/>
          <w:color w:val="auto"/>
          <w:highlight w:val="none"/>
        </w:rPr>
        <w:t>上述不利降水的衡量标准如下：</w:t>
      </w:r>
    </w:p>
    <w:p>
      <w:pPr>
        <w:tabs>
          <w:tab w:val="left" w:pos="834"/>
        </w:tabs>
        <w:adjustRightInd w:val="0"/>
        <w:snapToGrid w:val="0"/>
        <w:spacing w:line="360" w:lineRule="auto"/>
        <w:ind w:firstLine="440" w:firstLineChars="200"/>
        <w:rPr>
          <w:color w:val="auto"/>
          <w:highlight w:val="none"/>
        </w:rPr>
      </w:pPr>
      <w:r>
        <w:rPr>
          <w:rFonts w:hint="eastAsia"/>
          <w:color w:val="auto"/>
          <w:highlight w:val="none"/>
          <w:lang w:val="en-US"/>
        </w:rPr>
        <w:t>a.</w:t>
      </w:r>
      <w:r>
        <w:rPr>
          <w:rFonts w:hint="eastAsia"/>
          <w:color w:val="auto"/>
          <w:highlight w:val="none"/>
        </w:rPr>
        <w:t>按本省气象部门统计的降水资料，取最近二十年的平均降水天数为标准；</w:t>
      </w:r>
    </w:p>
    <w:p>
      <w:pPr>
        <w:tabs>
          <w:tab w:val="left" w:pos="829"/>
        </w:tabs>
        <w:adjustRightInd w:val="0"/>
        <w:snapToGrid w:val="0"/>
        <w:spacing w:line="360" w:lineRule="auto"/>
        <w:ind w:firstLine="440" w:firstLineChars="200"/>
        <w:rPr>
          <w:color w:val="auto"/>
          <w:highlight w:val="none"/>
        </w:rPr>
      </w:pPr>
      <w:r>
        <w:rPr>
          <w:rFonts w:hint="eastAsia"/>
          <w:color w:val="auto"/>
          <w:highlight w:val="none"/>
          <w:lang w:val="en-US"/>
        </w:rPr>
        <w:t>b.</w:t>
      </w:r>
      <w:r>
        <w:rPr>
          <w:rFonts w:hint="eastAsia"/>
          <w:color w:val="auto"/>
          <w:highlight w:val="none"/>
        </w:rPr>
        <w:t>按实际统计的年降水天数与a所指的年降水天数之差，每年计算一次；监理人将根据承包人的申请予以评定，监理人评定恶劣气候对工程的影响还将考虑用施工期限内其它月份的异常良好的气候的时间予以补偿。异常气候在每一个月对工程进度影响的评定应在整个合同期内予以累计。</w:t>
      </w:r>
    </w:p>
    <w:p>
      <w:pPr>
        <w:tabs>
          <w:tab w:val="left" w:pos="858"/>
        </w:tabs>
        <w:adjustRightInd w:val="0"/>
        <w:snapToGrid w:val="0"/>
        <w:spacing w:line="360" w:lineRule="auto"/>
        <w:ind w:firstLine="440" w:firstLineChars="200"/>
        <w:rPr>
          <w:color w:val="auto"/>
          <w:highlight w:val="none"/>
        </w:rPr>
      </w:pPr>
      <w:r>
        <w:rPr>
          <w:rFonts w:hint="eastAsia"/>
          <w:color w:val="auto"/>
          <w:highlight w:val="none"/>
          <w:lang w:val="en-US"/>
        </w:rPr>
        <w:t>c.</w:t>
      </w:r>
      <w:r>
        <w:rPr>
          <w:rFonts w:hint="eastAsia"/>
          <w:color w:val="auto"/>
          <w:highlight w:val="none"/>
        </w:rPr>
        <w:t>不考虑每一降水过程后所影响的施工时间。</w:t>
      </w:r>
    </w:p>
    <w:p>
      <w:pPr>
        <w:pStyle w:val="243"/>
        <w:keepNext/>
        <w:keepLines/>
        <w:shd w:val="clear" w:color="auto" w:fill="auto"/>
        <w:adjustRightInd w:val="0"/>
        <w:snapToGrid w:val="0"/>
        <w:spacing w:line="360" w:lineRule="auto"/>
        <w:ind w:firstLine="0"/>
        <w:jc w:val="left"/>
        <w:outlineLvl w:val="9"/>
        <w:rPr>
          <w:rStyle w:val="238"/>
          <w:rFonts w:ascii="宋体" w:hAnsi="宋体" w:eastAsia="宋体"/>
          <w:color w:val="auto"/>
          <w:highlight w:val="none"/>
        </w:rPr>
      </w:pPr>
      <w:bookmarkStart w:id="3449" w:name="bookmark33"/>
    </w:p>
    <w:p>
      <w:pPr>
        <w:adjustRightInd w:val="0"/>
        <w:snapToGrid w:val="0"/>
        <w:spacing w:line="360" w:lineRule="auto"/>
        <w:rPr>
          <w:b/>
          <w:bCs/>
          <w:color w:val="auto"/>
          <w:highlight w:val="none"/>
        </w:rPr>
      </w:pPr>
      <w:bookmarkStart w:id="3450" w:name="_Toc23137"/>
      <w:bookmarkStart w:id="3451" w:name="_Toc16952"/>
      <w:bookmarkStart w:id="3452" w:name="_Toc21412"/>
      <w:bookmarkStart w:id="3453" w:name="_Toc28250"/>
      <w:bookmarkStart w:id="3454" w:name="_Toc24605"/>
      <w:bookmarkStart w:id="3455" w:name="_Toc23878"/>
      <w:bookmarkStart w:id="3456" w:name="_Toc15574"/>
      <w:bookmarkStart w:id="3457" w:name="_Toc15073"/>
      <w:bookmarkStart w:id="3458" w:name="_Toc26182"/>
      <w:bookmarkStart w:id="3459" w:name="_Toc4492"/>
      <w:bookmarkStart w:id="3460" w:name="_Toc5830"/>
      <w:r>
        <w:rPr>
          <w:rStyle w:val="238"/>
          <w:rFonts w:ascii="宋体" w:hAnsi="宋体" w:eastAsia="宋体"/>
          <w:b/>
          <w:bCs/>
          <w:color w:val="auto"/>
          <w:highlight w:val="none"/>
        </w:rPr>
        <w:t>11.5</w:t>
      </w:r>
      <w:r>
        <w:rPr>
          <w:rFonts w:hint="eastAsia"/>
          <w:b/>
          <w:bCs/>
          <w:color w:val="auto"/>
          <w:highlight w:val="none"/>
        </w:rPr>
        <w:t>承包人的工期延误</w:t>
      </w:r>
      <w:bookmarkEnd w:id="3449"/>
      <w:bookmarkEnd w:id="3450"/>
      <w:bookmarkEnd w:id="3451"/>
      <w:bookmarkEnd w:id="3452"/>
      <w:bookmarkEnd w:id="3453"/>
      <w:bookmarkEnd w:id="3454"/>
      <w:bookmarkEnd w:id="3455"/>
      <w:bookmarkEnd w:id="3456"/>
      <w:bookmarkEnd w:id="3457"/>
      <w:bookmarkEnd w:id="3458"/>
      <w:bookmarkEnd w:id="3459"/>
      <w:bookmarkEnd w:id="3460"/>
    </w:p>
    <w:p>
      <w:pPr>
        <w:pStyle w:val="264"/>
        <w:adjustRightInd w:val="0"/>
        <w:snapToGrid w:val="0"/>
        <w:spacing w:line="360" w:lineRule="auto"/>
        <w:ind w:firstLine="420" w:firstLineChars="200"/>
        <w:jc w:val="both"/>
        <w:rPr>
          <w:color w:val="auto"/>
          <w:sz w:val="21"/>
          <w:szCs w:val="21"/>
          <w:highlight w:val="none"/>
        </w:rPr>
      </w:pPr>
      <w:r>
        <w:rPr>
          <w:rFonts w:hint="eastAsia"/>
          <w:color w:val="auto"/>
          <w:sz w:val="21"/>
          <w:szCs w:val="21"/>
          <w:highlight w:val="none"/>
        </w:rPr>
        <w:t xml:space="preserve">本款第(3)目细化为： </w:t>
      </w:r>
      <w:r>
        <w:rPr>
          <w:rFonts w:hint="eastAsia"/>
          <w:color w:val="auto"/>
          <w:sz w:val="21"/>
          <w:szCs w:val="21"/>
          <w:highlight w:val="none"/>
          <w:u w:val="single"/>
        </w:rPr>
        <w:t>详见《项目专用合同条款数据表》</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本款第(5)目细化为：</w:t>
      </w:r>
      <w:r>
        <w:rPr>
          <w:rFonts w:hint="eastAsia"/>
          <w:color w:val="auto"/>
          <w:sz w:val="21"/>
          <w:szCs w:val="21"/>
          <w:highlight w:val="none"/>
        </w:rPr>
        <w:tab/>
      </w:r>
      <w:r>
        <w:rPr>
          <w:rFonts w:hint="eastAsia"/>
          <w:color w:val="auto"/>
          <w:sz w:val="21"/>
          <w:szCs w:val="21"/>
          <w:highlight w:val="none"/>
          <w:u w:val="single"/>
        </w:rPr>
        <w:t>详见《项目专用合同条款数据表》</w:t>
      </w:r>
      <w:r>
        <w:rPr>
          <w:rFonts w:hint="eastAsia"/>
          <w:color w:val="auto"/>
          <w:sz w:val="21"/>
          <w:szCs w:val="21"/>
          <w:highlight w:val="none"/>
        </w:rPr>
        <w:t>。</w:t>
      </w:r>
    </w:p>
    <w:p>
      <w:pPr>
        <w:pStyle w:val="243"/>
        <w:keepNext/>
        <w:keepLines/>
        <w:shd w:val="clear" w:color="auto" w:fill="auto"/>
        <w:adjustRightInd w:val="0"/>
        <w:snapToGrid w:val="0"/>
        <w:spacing w:line="360" w:lineRule="auto"/>
        <w:ind w:firstLine="0"/>
        <w:outlineLvl w:val="9"/>
        <w:rPr>
          <w:rFonts w:ascii="宋体" w:hAnsi="宋体" w:eastAsia="宋体"/>
          <w:color w:val="auto"/>
          <w:highlight w:val="none"/>
          <w:lang w:bidi="en-US"/>
        </w:rPr>
      </w:pPr>
      <w:bookmarkStart w:id="3461" w:name="bookmark34"/>
    </w:p>
    <w:p>
      <w:pPr>
        <w:adjustRightInd w:val="0"/>
        <w:snapToGrid w:val="0"/>
        <w:spacing w:line="360" w:lineRule="auto"/>
        <w:rPr>
          <w:b/>
          <w:bCs/>
          <w:color w:val="auto"/>
          <w:highlight w:val="none"/>
        </w:rPr>
      </w:pPr>
      <w:bookmarkStart w:id="3462" w:name="_Toc1662"/>
      <w:bookmarkStart w:id="3463" w:name="_Toc26798"/>
      <w:bookmarkStart w:id="3464" w:name="_Toc17379"/>
      <w:bookmarkStart w:id="3465" w:name="_Toc10350"/>
      <w:bookmarkStart w:id="3466" w:name="_Toc7370"/>
      <w:bookmarkStart w:id="3467" w:name="_Toc11001"/>
      <w:bookmarkStart w:id="3468" w:name="_Toc23385"/>
      <w:bookmarkStart w:id="3469" w:name="_Toc23648"/>
      <w:bookmarkStart w:id="3470" w:name="_Toc26609"/>
      <w:bookmarkStart w:id="3471" w:name="_Toc669"/>
      <w:bookmarkStart w:id="3472" w:name="_Toc1635"/>
      <w:r>
        <w:rPr>
          <w:rFonts w:hint="eastAsia"/>
          <w:b/>
          <w:bCs/>
          <w:color w:val="auto"/>
          <w:highlight w:val="none"/>
        </w:rPr>
        <w:t>11.6工期提前</w:t>
      </w:r>
      <w:bookmarkEnd w:id="3461"/>
      <w:bookmarkEnd w:id="3462"/>
      <w:bookmarkEnd w:id="3463"/>
      <w:bookmarkEnd w:id="3464"/>
      <w:bookmarkEnd w:id="3465"/>
      <w:bookmarkEnd w:id="3466"/>
      <w:bookmarkEnd w:id="3467"/>
      <w:bookmarkEnd w:id="3468"/>
      <w:bookmarkEnd w:id="3469"/>
      <w:bookmarkEnd w:id="3470"/>
      <w:bookmarkEnd w:id="3471"/>
      <w:bookmarkEnd w:id="3472"/>
    </w:p>
    <w:p>
      <w:pPr>
        <w:adjustRightInd w:val="0"/>
        <w:snapToGrid w:val="0"/>
        <w:spacing w:line="360" w:lineRule="auto"/>
        <w:ind w:firstLine="520"/>
        <w:rPr>
          <w:color w:val="auto"/>
          <w:highlight w:val="none"/>
        </w:rPr>
      </w:pPr>
      <w:r>
        <w:rPr>
          <w:rFonts w:hint="eastAsia"/>
          <w:color w:val="auto"/>
          <w:highlight w:val="none"/>
        </w:rPr>
        <w:t>本条修改为：</w:t>
      </w:r>
    </w:p>
    <w:p>
      <w:pPr>
        <w:adjustRightInd w:val="0"/>
        <w:snapToGrid w:val="0"/>
        <w:spacing w:line="360" w:lineRule="auto"/>
        <w:ind w:firstLine="520"/>
        <w:rPr>
          <w:color w:val="auto"/>
          <w:highlight w:val="none"/>
        </w:rPr>
      </w:pPr>
      <w:r>
        <w:rPr>
          <w:rFonts w:hint="eastAsia"/>
          <w:color w:val="auto"/>
          <w:highlight w:val="none"/>
        </w:rPr>
        <w:t>发包人要求承包人提前完工，或承包人提出提前完工的建议能够给发包人带来效益的，应由监理人与承包人共同协商采取加快工程进度的措施和修订合同进度计划。承包人必须采取有效措施，确保工程质量，承包人由此增加的费用，发包人不另行计量支付。</w:t>
      </w:r>
    </w:p>
    <w:p>
      <w:pPr>
        <w:pStyle w:val="241"/>
        <w:keepNext/>
        <w:keepLines/>
        <w:shd w:val="clear" w:color="auto" w:fill="auto"/>
        <w:tabs>
          <w:tab w:val="left" w:pos="493"/>
        </w:tabs>
        <w:adjustRightInd w:val="0"/>
        <w:snapToGrid w:val="0"/>
        <w:spacing w:before="0" w:line="360" w:lineRule="auto"/>
        <w:ind w:firstLine="0"/>
        <w:outlineLvl w:val="2"/>
        <w:rPr>
          <w:rFonts w:ascii="宋体" w:hAnsi="宋体" w:eastAsia="宋体"/>
          <w:color w:val="auto"/>
          <w:sz w:val="22"/>
          <w:szCs w:val="22"/>
          <w:highlight w:val="none"/>
        </w:rPr>
      </w:pPr>
      <w:bookmarkStart w:id="3473" w:name="bookmark35"/>
    </w:p>
    <w:p>
      <w:pPr>
        <w:adjustRightInd w:val="0"/>
        <w:snapToGrid w:val="0"/>
        <w:spacing w:line="360" w:lineRule="auto"/>
        <w:outlineLvl w:val="2"/>
        <w:rPr>
          <w:b/>
          <w:bCs/>
          <w:color w:val="auto"/>
          <w:highlight w:val="none"/>
          <w:lang w:val="en-US"/>
        </w:rPr>
      </w:pPr>
      <w:bookmarkStart w:id="3474" w:name="_Toc5964"/>
      <w:bookmarkStart w:id="3475" w:name="_Toc371"/>
      <w:bookmarkStart w:id="3476" w:name="_Toc2254"/>
      <w:bookmarkStart w:id="3477" w:name="_Toc14027"/>
      <w:bookmarkStart w:id="3478" w:name="_Toc10689"/>
      <w:bookmarkStart w:id="3479" w:name="_Toc30531"/>
      <w:bookmarkStart w:id="3480" w:name="_Toc2539"/>
      <w:bookmarkStart w:id="3481" w:name="_Toc21275"/>
      <w:bookmarkStart w:id="3482" w:name="_Toc28915"/>
      <w:bookmarkStart w:id="3483" w:name="_Toc9414"/>
      <w:bookmarkStart w:id="3484" w:name="_Toc24317"/>
      <w:bookmarkStart w:id="3485" w:name="_Toc19347"/>
      <w:bookmarkStart w:id="3486" w:name="_Toc10359"/>
      <w:bookmarkStart w:id="3487" w:name="_Toc9762"/>
      <w:bookmarkStart w:id="3488" w:name="_Toc22265"/>
      <w:bookmarkStart w:id="3489" w:name="_Toc10542"/>
      <w:bookmarkStart w:id="3490" w:name="_Toc2389"/>
      <w:bookmarkStart w:id="3491" w:name="_Toc7344"/>
      <w:bookmarkStart w:id="3492" w:name="_Toc29171"/>
      <w:bookmarkStart w:id="3493" w:name="_Toc4210"/>
      <w:bookmarkStart w:id="3494" w:name="_Toc16740"/>
      <w:r>
        <w:rPr>
          <w:rFonts w:hint="eastAsia"/>
          <w:b/>
          <w:bCs/>
          <w:color w:val="auto"/>
          <w:highlight w:val="none"/>
          <w:lang w:val="en-US"/>
        </w:rPr>
        <w:t>12.暂停施工</w:t>
      </w:r>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pPr>
        <w:adjustRightInd w:val="0"/>
        <w:snapToGrid w:val="0"/>
        <w:spacing w:line="360" w:lineRule="auto"/>
        <w:rPr>
          <w:b/>
          <w:bCs/>
          <w:color w:val="auto"/>
          <w:highlight w:val="none"/>
        </w:rPr>
      </w:pPr>
      <w:bookmarkStart w:id="3495" w:name="_Toc18873"/>
      <w:bookmarkStart w:id="3496" w:name="_Toc20713"/>
      <w:bookmarkStart w:id="3497" w:name="_Toc652"/>
      <w:bookmarkStart w:id="3498" w:name="_Toc24282"/>
      <w:bookmarkStart w:id="3499" w:name="_Toc13881"/>
      <w:bookmarkStart w:id="3500" w:name="_Toc26890"/>
      <w:bookmarkStart w:id="3501" w:name="_Toc7286"/>
      <w:bookmarkStart w:id="3502" w:name="_Toc24890"/>
      <w:bookmarkStart w:id="3503" w:name="_Toc17801"/>
      <w:bookmarkStart w:id="3504" w:name="bookmark36"/>
      <w:bookmarkStart w:id="3505" w:name="_Toc15505"/>
      <w:bookmarkStart w:id="3506" w:name="_Toc6324"/>
      <w:r>
        <w:rPr>
          <w:rFonts w:hint="eastAsia"/>
          <w:b/>
          <w:bCs/>
          <w:color w:val="auto"/>
          <w:highlight w:val="none"/>
        </w:rPr>
        <w:t>12.1承包人暂停施工的责任</w:t>
      </w:r>
      <w:bookmarkEnd w:id="3495"/>
      <w:bookmarkEnd w:id="3496"/>
      <w:bookmarkEnd w:id="3497"/>
      <w:bookmarkEnd w:id="3498"/>
      <w:bookmarkEnd w:id="3499"/>
      <w:bookmarkEnd w:id="3500"/>
      <w:bookmarkEnd w:id="3501"/>
      <w:bookmarkEnd w:id="3502"/>
      <w:bookmarkEnd w:id="3503"/>
      <w:bookmarkEnd w:id="3504"/>
      <w:bookmarkEnd w:id="3505"/>
      <w:bookmarkEnd w:id="3506"/>
    </w:p>
    <w:p>
      <w:pPr>
        <w:adjustRightInd w:val="0"/>
        <w:snapToGrid w:val="0"/>
        <w:spacing w:line="360" w:lineRule="auto"/>
        <w:ind w:firstLine="520"/>
        <w:rPr>
          <w:color w:val="auto"/>
          <w:highlight w:val="none"/>
          <w:lang w:val="en-US"/>
        </w:rPr>
      </w:pPr>
      <w:r>
        <w:rPr>
          <w:rFonts w:hint="eastAsia"/>
          <w:color w:val="auto"/>
          <w:highlight w:val="none"/>
          <w:lang w:bidi="en-US"/>
        </w:rPr>
        <w:t>12.1 (6)</w:t>
      </w:r>
      <w:r>
        <w:rPr>
          <w:rFonts w:hint="eastAsia"/>
          <w:color w:val="auto"/>
          <w:highlight w:val="none"/>
        </w:rPr>
        <w:t>由承包人承担的其他暂停施工：</w:t>
      </w:r>
      <w:r>
        <w:rPr>
          <w:rFonts w:hint="eastAsia"/>
          <w:color w:val="auto"/>
          <w:highlight w:val="none"/>
          <w:u w:val="single"/>
          <w:lang w:val="en-US"/>
        </w:rPr>
        <w:t xml:space="preserve">  </w:t>
      </w:r>
      <w:r>
        <w:rPr>
          <w:rStyle w:val="248"/>
          <w:rFonts w:ascii="宋体" w:hAnsi="宋体" w:eastAsia="宋体"/>
          <w:color w:val="auto"/>
          <w:highlight w:val="none"/>
        </w:rPr>
        <w:t>无</w:t>
      </w:r>
      <w:r>
        <w:rPr>
          <w:rStyle w:val="248"/>
          <w:rFonts w:hint="eastAsia"/>
          <w:color w:val="auto"/>
          <w:highlight w:val="none"/>
          <w:lang w:val="en-US"/>
        </w:rPr>
        <w:t xml:space="preserve">    </w:t>
      </w:r>
      <w:r>
        <w:rPr>
          <w:rStyle w:val="248"/>
          <w:rFonts w:hint="eastAsia"/>
          <w:color w:val="auto"/>
          <w:highlight w:val="none"/>
          <w:u w:val="none"/>
          <w:lang w:val="en-US"/>
        </w:rPr>
        <w:t>。</w:t>
      </w:r>
    </w:p>
    <w:p>
      <w:pPr>
        <w:pStyle w:val="243"/>
        <w:keepNext/>
        <w:keepLines/>
        <w:shd w:val="clear" w:color="auto" w:fill="auto"/>
        <w:adjustRightInd w:val="0"/>
        <w:snapToGrid w:val="0"/>
        <w:spacing w:line="360" w:lineRule="auto"/>
        <w:ind w:firstLine="0"/>
        <w:outlineLvl w:val="9"/>
        <w:rPr>
          <w:rFonts w:ascii="宋体" w:hAnsi="宋体" w:eastAsia="宋体"/>
          <w:color w:val="auto"/>
          <w:highlight w:val="none"/>
          <w:lang w:bidi="en-US"/>
        </w:rPr>
      </w:pPr>
      <w:bookmarkStart w:id="3507" w:name="bookmark37"/>
    </w:p>
    <w:p>
      <w:pPr>
        <w:adjustRightInd w:val="0"/>
        <w:snapToGrid w:val="0"/>
        <w:spacing w:line="360" w:lineRule="auto"/>
        <w:rPr>
          <w:color w:val="auto"/>
          <w:highlight w:val="none"/>
        </w:rPr>
      </w:pPr>
      <w:bookmarkStart w:id="3508" w:name="_Toc334"/>
      <w:bookmarkStart w:id="3509" w:name="_Toc28113"/>
      <w:bookmarkStart w:id="3510" w:name="_Toc27392"/>
      <w:bookmarkStart w:id="3511" w:name="_Toc13509"/>
      <w:bookmarkStart w:id="3512" w:name="_Toc19922"/>
      <w:bookmarkStart w:id="3513" w:name="_Toc26036"/>
      <w:bookmarkStart w:id="3514" w:name="_Toc17919"/>
      <w:bookmarkStart w:id="3515" w:name="_Toc21600"/>
      <w:bookmarkStart w:id="3516" w:name="_Toc32392"/>
      <w:bookmarkStart w:id="3517" w:name="_Toc24863"/>
      <w:bookmarkStart w:id="3518" w:name="_Toc23421"/>
      <w:r>
        <w:rPr>
          <w:rFonts w:hint="eastAsia"/>
          <w:color w:val="auto"/>
          <w:highlight w:val="none"/>
        </w:rPr>
        <w:t>12.2发包人暂停施工的责任：</w:t>
      </w:r>
      <w:bookmarkEnd w:id="3507"/>
      <w:bookmarkEnd w:id="3508"/>
      <w:bookmarkEnd w:id="3509"/>
      <w:bookmarkEnd w:id="3510"/>
      <w:bookmarkEnd w:id="3511"/>
      <w:bookmarkEnd w:id="3512"/>
      <w:bookmarkEnd w:id="3513"/>
      <w:bookmarkEnd w:id="3514"/>
      <w:bookmarkEnd w:id="3515"/>
      <w:bookmarkEnd w:id="3516"/>
      <w:bookmarkEnd w:id="3517"/>
      <w:bookmarkEnd w:id="3518"/>
    </w:p>
    <w:p>
      <w:pPr>
        <w:adjustRightInd w:val="0"/>
        <w:snapToGrid w:val="0"/>
        <w:spacing w:line="360" w:lineRule="auto"/>
        <w:ind w:firstLine="520"/>
        <w:rPr>
          <w:color w:val="auto"/>
          <w:highlight w:val="none"/>
        </w:rPr>
      </w:pPr>
      <w:r>
        <w:rPr>
          <w:rFonts w:hint="eastAsia"/>
          <w:color w:val="auto"/>
          <w:highlight w:val="none"/>
        </w:rPr>
        <w:t>监理人在与承包人协商并报经发包人批准后应确定：</w:t>
      </w:r>
    </w:p>
    <w:p>
      <w:pPr>
        <w:tabs>
          <w:tab w:val="left" w:pos="1215"/>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）根据合同规定承包人应得的延长工期；</w:t>
      </w:r>
    </w:p>
    <w:p>
      <w:pPr>
        <w:tabs>
          <w:tab w:val="left" w:pos="1215"/>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）因这种暂时停工给承包人的费用及利润补偿，监理人应就此通知承包人，并抄送发包人。</w:t>
      </w:r>
    </w:p>
    <w:p>
      <w:pPr>
        <w:tabs>
          <w:tab w:val="left" w:pos="1215"/>
        </w:tabs>
        <w:adjustRightInd w:val="0"/>
        <w:snapToGrid w:val="0"/>
        <w:spacing w:line="360" w:lineRule="auto"/>
        <w:ind w:firstLine="440" w:firstLineChars="200"/>
        <w:rPr>
          <w:color w:val="auto"/>
          <w:highlight w:val="none"/>
        </w:rPr>
      </w:pPr>
    </w:p>
    <w:p>
      <w:pPr>
        <w:adjustRightInd w:val="0"/>
        <w:snapToGrid w:val="0"/>
        <w:spacing w:line="360" w:lineRule="auto"/>
        <w:outlineLvl w:val="2"/>
        <w:rPr>
          <w:b/>
          <w:bCs/>
          <w:color w:val="auto"/>
          <w:highlight w:val="none"/>
          <w:lang w:val="en-US"/>
        </w:rPr>
      </w:pPr>
      <w:bookmarkStart w:id="3519" w:name="_Toc1021"/>
      <w:bookmarkStart w:id="3520" w:name="_Toc12694"/>
      <w:bookmarkStart w:id="3521" w:name="_Toc2711"/>
      <w:bookmarkStart w:id="3522" w:name="_Toc4486"/>
      <w:bookmarkStart w:id="3523" w:name="_Toc2743"/>
      <w:bookmarkStart w:id="3524" w:name="_Toc17836"/>
      <w:bookmarkStart w:id="3525" w:name="bookmark38"/>
      <w:bookmarkStart w:id="3526" w:name="_Toc3423"/>
      <w:bookmarkStart w:id="3527" w:name="_Toc10000"/>
      <w:bookmarkStart w:id="3528" w:name="_Toc21269"/>
      <w:bookmarkStart w:id="3529" w:name="_Toc31702"/>
      <w:bookmarkStart w:id="3530" w:name="_Toc31736"/>
      <w:bookmarkStart w:id="3531" w:name="_Toc10817"/>
      <w:bookmarkStart w:id="3532" w:name="_Toc14075"/>
      <w:bookmarkStart w:id="3533" w:name="_Toc25995"/>
      <w:bookmarkStart w:id="3534" w:name="_Toc22600"/>
      <w:bookmarkStart w:id="3535" w:name="_Toc8924"/>
      <w:bookmarkStart w:id="3536" w:name="_Toc6866"/>
      <w:bookmarkStart w:id="3537" w:name="_Toc3575"/>
      <w:bookmarkStart w:id="3538" w:name="_Toc436"/>
      <w:bookmarkStart w:id="3539" w:name="_Toc19930"/>
      <w:bookmarkStart w:id="3540" w:name="_Toc13210"/>
      <w:r>
        <w:rPr>
          <w:rFonts w:hint="eastAsia"/>
          <w:b/>
          <w:bCs/>
          <w:color w:val="auto"/>
          <w:highlight w:val="none"/>
          <w:lang w:val="en-US"/>
        </w:rPr>
        <w:t>13.工程质量</w:t>
      </w:r>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p>
    <w:p>
      <w:pPr>
        <w:adjustRightInd w:val="0"/>
        <w:snapToGrid w:val="0"/>
        <w:spacing w:line="360" w:lineRule="auto"/>
        <w:rPr>
          <w:b/>
          <w:bCs/>
          <w:color w:val="auto"/>
          <w:highlight w:val="none"/>
        </w:rPr>
      </w:pPr>
      <w:bookmarkStart w:id="3541" w:name="_Toc28588"/>
      <w:bookmarkStart w:id="3542" w:name="_Toc6311"/>
      <w:bookmarkStart w:id="3543" w:name="_Toc7247"/>
      <w:bookmarkStart w:id="3544" w:name="_Toc24879"/>
      <w:bookmarkStart w:id="3545" w:name="_Toc5246"/>
      <w:bookmarkStart w:id="3546" w:name="_Toc26621"/>
      <w:bookmarkStart w:id="3547" w:name="_Toc28292"/>
      <w:bookmarkStart w:id="3548" w:name="_Toc27096"/>
      <w:bookmarkStart w:id="3549" w:name="_Toc24615"/>
      <w:r>
        <w:rPr>
          <w:b/>
          <w:bCs/>
          <w:color w:val="auto"/>
          <w:highlight w:val="none"/>
        </w:rPr>
        <w:t>13.1</w:t>
      </w:r>
      <w:r>
        <w:rPr>
          <w:rFonts w:hint="eastAsia"/>
          <w:b/>
          <w:bCs/>
          <w:color w:val="auto"/>
          <w:highlight w:val="none"/>
        </w:rPr>
        <w:t>工程质量要求</w:t>
      </w:r>
      <w:bookmarkEnd w:id="3541"/>
      <w:bookmarkEnd w:id="3542"/>
      <w:bookmarkEnd w:id="3543"/>
      <w:bookmarkEnd w:id="3544"/>
      <w:bookmarkEnd w:id="3545"/>
      <w:bookmarkEnd w:id="3546"/>
      <w:bookmarkEnd w:id="3547"/>
      <w:bookmarkEnd w:id="3548"/>
      <w:bookmarkEnd w:id="3549"/>
    </w:p>
    <w:p>
      <w:pPr>
        <w:adjustRightInd w:val="0"/>
        <w:snapToGrid w:val="0"/>
        <w:spacing w:line="360" w:lineRule="auto"/>
        <w:ind w:firstLine="520"/>
        <w:rPr>
          <w:color w:val="auto"/>
          <w:highlight w:val="none"/>
        </w:rPr>
      </w:pPr>
      <w:r>
        <w:rPr>
          <w:rFonts w:hint="eastAsia"/>
          <w:color w:val="auto"/>
          <w:highlight w:val="none"/>
        </w:rPr>
        <w:t>本款补充第</w:t>
      </w:r>
      <w:r>
        <w:rPr>
          <w:rFonts w:hint="eastAsia"/>
          <w:color w:val="auto"/>
          <w:highlight w:val="none"/>
          <w:lang w:bidi="en-US"/>
        </w:rPr>
        <w:t>13.1.6</w:t>
      </w:r>
      <w:r>
        <w:rPr>
          <w:rFonts w:hint="eastAsia"/>
          <w:color w:val="auto"/>
          <w:highlight w:val="none"/>
        </w:rPr>
        <w:t>项：</w:t>
      </w:r>
    </w:p>
    <w:p>
      <w:pPr>
        <w:adjustRightInd w:val="0"/>
        <w:snapToGrid w:val="0"/>
        <w:spacing w:line="360" w:lineRule="auto"/>
        <w:ind w:firstLine="520"/>
        <w:rPr>
          <w:color w:val="auto"/>
          <w:highlight w:val="none"/>
        </w:rPr>
      </w:pPr>
      <w:r>
        <w:rPr>
          <w:rFonts w:hint="eastAsia"/>
          <w:color w:val="auto"/>
          <w:highlight w:val="none"/>
          <w:lang w:bidi="en-US"/>
        </w:rPr>
        <w:t>13.1.6</w:t>
      </w:r>
      <w:r>
        <w:rPr>
          <w:rFonts w:hint="eastAsia"/>
          <w:color w:val="auto"/>
          <w:highlight w:val="none"/>
        </w:rPr>
        <w:t>由于承包人的原因未达到质量目标要求的，应无条件采取措施补救，直至工程质量目标。如经过补救仍未达到质量目标要求的，发包人有权按合同条款</w:t>
      </w:r>
      <w:r>
        <w:rPr>
          <w:rStyle w:val="239"/>
          <w:rFonts w:hint="eastAsia" w:ascii="宋体" w:hAnsi="宋体" w:eastAsia="宋体"/>
          <w:color w:val="auto"/>
          <w:sz w:val="22"/>
          <w:szCs w:val="22"/>
          <w:highlight w:val="none"/>
          <w:lang w:eastAsia="zh-CN"/>
        </w:rPr>
        <w:t>22.1.2</w:t>
      </w:r>
      <w:r>
        <w:rPr>
          <w:rFonts w:hint="eastAsia"/>
          <w:color w:val="auto"/>
          <w:highlight w:val="none"/>
        </w:rPr>
        <w:t>项的规定进行处理。</w:t>
      </w:r>
    </w:p>
    <w:p>
      <w:pPr>
        <w:adjustRightInd w:val="0"/>
        <w:snapToGrid w:val="0"/>
        <w:spacing w:line="360" w:lineRule="auto"/>
        <w:ind w:right="6900"/>
        <w:jc w:val="right"/>
        <w:rPr>
          <w:color w:val="auto"/>
          <w:highlight w:val="none"/>
          <w:lang w:bidi="en-US"/>
        </w:rPr>
      </w:pPr>
    </w:p>
    <w:p>
      <w:pPr>
        <w:adjustRightInd w:val="0"/>
        <w:snapToGrid w:val="0"/>
        <w:spacing w:line="360" w:lineRule="auto"/>
        <w:rPr>
          <w:b/>
          <w:bCs/>
          <w:color w:val="auto"/>
          <w:highlight w:val="none"/>
        </w:rPr>
      </w:pPr>
      <w:bookmarkStart w:id="3550" w:name="_Toc27"/>
      <w:bookmarkStart w:id="3551" w:name="_Toc26545"/>
      <w:bookmarkStart w:id="3552" w:name="_Toc10601"/>
      <w:bookmarkStart w:id="3553" w:name="_Toc7258"/>
      <w:bookmarkStart w:id="3554" w:name="_Toc31867"/>
      <w:bookmarkStart w:id="3555" w:name="_Toc8017"/>
      <w:bookmarkStart w:id="3556" w:name="_Toc30695"/>
      <w:bookmarkStart w:id="3557" w:name="_Toc29162"/>
      <w:bookmarkStart w:id="3558" w:name="_Toc25131"/>
      <w:r>
        <w:rPr>
          <w:rFonts w:hint="eastAsia"/>
          <w:b/>
          <w:bCs/>
          <w:color w:val="auto"/>
          <w:highlight w:val="none"/>
        </w:rPr>
        <w:t>13.6</w:t>
      </w:r>
      <w:r>
        <w:rPr>
          <w:b/>
          <w:bCs/>
          <w:color w:val="auto"/>
          <w:highlight w:val="none"/>
        </w:rPr>
        <w:t>清除不合格工程</w:t>
      </w:r>
      <w:bookmarkEnd w:id="3550"/>
      <w:bookmarkEnd w:id="3551"/>
      <w:bookmarkEnd w:id="3552"/>
      <w:bookmarkEnd w:id="3553"/>
      <w:bookmarkEnd w:id="3554"/>
      <w:bookmarkEnd w:id="3555"/>
      <w:bookmarkEnd w:id="3556"/>
      <w:bookmarkEnd w:id="3557"/>
      <w:bookmarkEnd w:id="3558"/>
    </w:p>
    <w:p>
      <w:pPr>
        <w:adjustRightInd w:val="0"/>
        <w:snapToGrid w:val="0"/>
        <w:spacing w:line="360" w:lineRule="auto"/>
        <w:ind w:right="6900"/>
        <w:jc w:val="center"/>
        <w:rPr>
          <w:color w:val="auto"/>
          <w:highlight w:val="none"/>
        </w:rPr>
      </w:pPr>
      <w:r>
        <w:rPr>
          <w:rFonts w:hint="eastAsia"/>
          <w:color w:val="auto"/>
          <w:highlight w:val="none"/>
        </w:rPr>
        <w:t>第</w:t>
      </w:r>
      <w:r>
        <w:rPr>
          <w:rFonts w:hint="eastAsia"/>
          <w:color w:val="auto"/>
          <w:highlight w:val="none"/>
          <w:lang w:bidi="en-US"/>
        </w:rPr>
        <w:t>13.6.1</w:t>
      </w:r>
      <w:r>
        <w:rPr>
          <w:rFonts w:hint="eastAsia"/>
          <w:color w:val="auto"/>
          <w:highlight w:val="none"/>
        </w:rPr>
        <w:t>填补充：</w:t>
      </w:r>
    </w:p>
    <w:p>
      <w:pPr>
        <w:adjustRightInd w:val="0"/>
        <w:snapToGrid w:val="0"/>
        <w:spacing w:line="360" w:lineRule="auto"/>
        <w:ind w:firstLine="520"/>
        <w:rPr>
          <w:color w:val="auto"/>
          <w:highlight w:val="none"/>
        </w:rPr>
      </w:pPr>
      <w:r>
        <w:rPr>
          <w:rFonts w:hint="eastAsia"/>
          <w:color w:val="auto"/>
          <w:highlight w:val="none"/>
        </w:rPr>
        <w:t>监理人征得发包人同意后有权要求承包人更换不符合要求的料场，承包人必须接受。</w:t>
      </w:r>
    </w:p>
    <w:p>
      <w:pPr>
        <w:pStyle w:val="241"/>
        <w:keepNext/>
        <w:keepLines/>
        <w:shd w:val="clear" w:color="auto" w:fill="auto"/>
        <w:adjustRightInd w:val="0"/>
        <w:snapToGrid w:val="0"/>
        <w:spacing w:before="0" w:line="360" w:lineRule="auto"/>
        <w:ind w:firstLine="0"/>
        <w:jc w:val="left"/>
        <w:outlineLvl w:val="9"/>
        <w:rPr>
          <w:rFonts w:ascii="宋体" w:hAnsi="宋体" w:eastAsia="宋体"/>
          <w:color w:val="auto"/>
          <w:sz w:val="22"/>
          <w:szCs w:val="22"/>
          <w:highlight w:val="none"/>
        </w:rPr>
      </w:pPr>
      <w:bookmarkStart w:id="3559" w:name="bookmark39"/>
    </w:p>
    <w:p>
      <w:pPr>
        <w:adjustRightInd w:val="0"/>
        <w:snapToGrid w:val="0"/>
        <w:spacing w:line="360" w:lineRule="auto"/>
        <w:rPr>
          <w:b/>
          <w:bCs/>
          <w:color w:val="auto"/>
          <w:highlight w:val="none"/>
          <w:lang w:val="en-US"/>
        </w:rPr>
      </w:pPr>
      <w:bookmarkStart w:id="3560" w:name="_Toc10781"/>
      <w:bookmarkStart w:id="3561" w:name="_Toc12202"/>
      <w:bookmarkStart w:id="3562" w:name="_Toc25221"/>
      <w:bookmarkStart w:id="3563" w:name="_Toc6415"/>
      <w:bookmarkStart w:id="3564" w:name="_Toc27403"/>
      <w:bookmarkStart w:id="3565" w:name="_Toc17303"/>
      <w:bookmarkStart w:id="3566" w:name="_Toc21452"/>
      <w:bookmarkStart w:id="3567" w:name="_Toc15848"/>
      <w:bookmarkStart w:id="3568" w:name="_Toc27570"/>
      <w:bookmarkStart w:id="3569" w:name="_Toc32234"/>
      <w:bookmarkStart w:id="3570" w:name="_Toc25795"/>
      <w:bookmarkStart w:id="3571" w:name="_Toc23810"/>
      <w:bookmarkStart w:id="3572" w:name="_Toc30941"/>
      <w:r>
        <w:rPr>
          <w:rFonts w:hint="eastAsia"/>
          <w:b/>
          <w:bCs/>
          <w:color w:val="auto"/>
          <w:highlight w:val="none"/>
          <w:lang w:val="en-US"/>
        </w:rPr>
        <w:t>14.试验和检验费用</w:t>
      </w:r>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p>
    <w:p>
      <w:pPr>
        <w:adjustRightInd w:val="0"/>
        <w:snapToGrid w:val="0"/>
        <w:spacing w:line="360" w:lineRule="auto"/>
        <w:ind w:firstLine="520"/>
        <w:rPr>
          <w:color w:val="auto"/>
          <w:highlight w:val="none"/>
        </w:rPr>
      </w:pPr>
      <w:r>
        <w:rPr>
          <w:rFonts w:hint="eastAsia"/>
          <w:color w:val="auto"/>
          <w:highlight w:val="none"/>
        </w:rPr>
        <w:t>本条补充：</w:t>
      </w:r>
    </w:p>
    <w:p>
      <w:pPr>
        <w:adjustRightInd w:val="0"/>
        <w:snapToGrid w:val="0"/>
        <w:spacing w:line="360" w:lineRule="auto"/>
        <w:ind w:firstLine="52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）外委试验：合同内的单位工程所用的材料</w:t>
      </w:r>
      <w:r>
        <w:rPr>
          <w:rFonts w:hint="eastAsia"/>
          <w:color w:val="auto"/>
          <w:highlight w:val="none"/>
          <w:lang w:val="en-US"/>
        </w:rPr>
        <w:t>无法</w:t>
      </w:r>
      <w:r>
        <w:rPr>
          <w:rFonts w:hint="eastAsia"/>
          <w:color w:val="auto"/>
          <w:highlight w:val="none"/>
        </w:rPr>
        <w:t>由项目各级试验室检测的，由承包人、监理人按规定的频率共同取样，由承包人送至发包人批准认可的检测机构进行检测，费用由承包人承担，检测成果由所有相关单位无偿共享。</w:t>
      </w:r>
    </w:p>
    <w:p>
      <w:pPr>
        <w:adjustRightInd w:val="0"/>
        <w:snapToGrid w:val="0"/>
        <w:spacing w:line="360" w:lineRule="auto"/>
        <w:ind w:firstLine="520"/>
        <w:rPr>
          <w:color w:val="auto"/>
          <w:highlight w:val="none"/>
        </w:rPr>
      </w:pPr>
    </w:p>
    <w:p>
      <w:pPr>
        <w:adjustRightInd w:val="0"/>
        <w:snapToGrid w:val="0"/>
        <w:spacing w:line="360" w:lineRule="auto"/>
        <w:ind w:firstLine="520"/>
        <w:rPr>
          <w:color w:val="auto"/>
          <w:highlight w:val="none"/>
        </w:rPr>
      </w:pPr>
      <w:r>
        <w:rPr>
          <w:rFonts w:hint="eastAsia"/>
          <w:color w:val="auto"/>
          <w:highlight w:val="none"/>
        </w:rPr>
        <w:t>本条补充第</w:t>
      </w:r>
      <w:r>
        <w:rPr>
          <w:rFonts w:hint="eastAsia"/>
          <w:color w:val="auto"/>
          <w:highlight w:val="none"/>
          <w:lang w:bidi="en-US"/>
        </w:rPr>
        <w:t>14.5</w:t>
      </w:r>
      <w:r>
        <w:rPr>
          <w:rFonts w:hint="eastAsia" w:ascii="MS Mincho" w:hAnsi="MS Mincho" w:eastAsia="MS Mincho" w:cs="MS Mincho"/>
          <w:color w:val="auto"/>
          <w:highlight w:val="none"/>
        </w:rPr>
        <w:t>〜</w:t>
      </w:r>
      <w:r>
        <w:rPr>
          <w:rFonts w:hint="eastAsia"/>
          <w:color w:val="auto"/>
          <w:highlight w:val="none"/>
          <w:lang w:bidi="en-US"/>
        </w:rPr>
        <w:t>14.6</w:t>
      </w:r>
      <w:r>
        <w:rPr>
          <w:rFonts w:hint="eastAsia"/>
          <w:color w:val="auto"/>
          <w:highlight w:val="none"/>
        </w:rPr>
        <w:t>款：</w:t>
      </w:r>
    </w:p>
    <w:p>
      <w:pPr>
        <w:adjustRightInd w:val="0"/>
        <w:snapToGrid w:val="0"/>
        <w:spacing w:line="360" w:lineRule="auto"/>
        <w:rPr>
          <w:b/>
          <w:bCs/>
          <w:color w:val="auto"/>
          <w:highlight w:val="none"/>
        </w:rPr>
      </w:pPr>
      <w:bookmarkStart w:id="3573" w:name="_Toc17894"/>
      <w:bookmarkStart w:id="3574" w:name="_Toc18814"/>
      <w:bookmarkStart w:id="3575" w:name="_Toc3585"/>
      <w:bookmarkStart w:id="3576" w:name="_Toc5165"/>
      <w:bookmarkStart w:id="3577" w:name="_Toc15290"/>
      <w:bookmarkStart w:id="3578" w:name="_Toc4312"/>
      <w:bookmarkStart w:id="3579" w:name="_Toc25697"/>
      <w:bookmarkStart w:id="3580" w:name="_Toc28464"/>
      <w:bookmarkStart w:id="3581" w:name="_Toc18594"/>
      <w:r>
        <w:rPr>
          <w:b/>
          <w:bCs/>
          <w:color w:val="auto"/>
          <w:highlight w:val="none"/>
        </w:rPr>
        <w:t>14.5</w:t>
      </w:r>
      <w:r>
        <w:rPr>
          <w:rFonts w:hint="eastAsia"/>
          <w:b/>
          <w:bCs/>
          <w:color w:val="auto"/>
          <w:highlight w:val="none"/>
        </w:rPr>
        <w:t>独立的检查</w:t>
      </w:r>
      <w:bookmarkEnd w:id="3573"/>
      <w:bookmarkEnd w:id="3574"/>
      <w:bookmarkEnd w:id="3575"/>
      <w:bookmarkEnd w:id="3576"/>
      <w:bookmarkEnd w:id="3577"/>
      <w:bookmarkEnd w:id="3578"/>
      <w:bookmarkEnd w:id="3579"/>
      <w:bookmarkEnd w:id="3580"/>
      <w:bookmarkEnd w:id="3581"/>
    </w:p>
    <w:p>
      <w:pPr>
        <w:adjustRightInd w:val="0"/>
        <w:snapToGrid w:val="0"/>
        <w:spacing w:line="360" w:lineRule="auto"/>
        <w:ind w:firstLine="520"/>
        <w:rPr>
          <w:color w:val="auto"/>
          <w:highlight w:val="none"/>
        </w:rPr>
      </w:pPr>
      <w:r>
        <w:rPr>
          <w:rFonts w:hint="eastAsia"/>
          <w:color w:val="auto"/>
          <w:highlight w:val="none"/>
        </w:rPr>
        <w:t>当承包人与监理人就材料或设备的检验结果发生争端时，双方应将材料或设备的检查和检验委托给一家独立于双方的检验单位。该检验单位必须具有国家技术监督局和专业机构的认证资格。当该独立检验单位材料或设备的检验结果证明监理人检验的结果是正确的，则承包人应接受监理人的指令，并承担委托检验费，否则，委托费应由监理人承担。</w:t>
      </w:r>
    </w:p>
    <w:p>
      <w:pPr>
        <w:adjustRightInd w:val="0"/>
        <w:snapToGrid w:val="0"/>
        <w:spacing w:line="360" w:lineRule="auto"/>
        <w:rPr>
          <w:color w:val="auto"/>
          <w:highlight w:val="none"/>
          <w:lang w:bidi="en-US"/>
        </w:rPr>
      </w:pPr>
    </w:p>
    <w:p>
      <w:pPr>
        <w:adjustRightInd w:val="0"/>
        <w:snapToGrid w:val="0"/>
        <w:spacing w:line="360" w:lineRule="auto"/>
        <w:rPr>
          <w:b/>
          <w:bCs/>
          <w:color w:val="auto"/>
          <w:highlight w:val="none"/>
        </w:rPr>
      </w:pPr>
      <w:bookmarkStart w:id="3582" w:name="_Toc26720"/>
      <w:bookmarkStart w:id="3583" w:name="_Toc12719"/>
      <w:bookmarkStart w:id="3584" w:name="_Toc3008"/>
      <w:bookmarkStart w:id="3585" w:name="_Toc14128"/>
      <w:bookmarkStart w:id="3586" w:name="_Toc22969"/>
      <w:bookmarkStart w:id="3587" w:name="_Toc11756"/>
      <w:bookmarkStart w:id="3588" w:name="_Toc428"/>
      <w:bookmarkStart w:id="3589" w:name="_Toc29579"/>
      <w:bookmarkStart w:id="3590" w:name="_Toc19164"/>
      <w:r>
        <w:rPr>
          <w:rFonts w:hint="eastAsia"/>
          <w:b/>
          <w:bCs/>
          <w:color w:val="auto"/>
          <w:highlight w:val="none"/>
        </w:rPr>
        <w:t>14.6</w:t>
      </w:r>
      <w:r>
        <w:rPr>
          <w:b/>
          <w:bCs/>
          <w:color w:val="auto"/>
          <w:highlight w:val="none"/>
        </w:rPr>
        <w:t>试验室</w:t>
      </w:r>
      <w:bookmarkEnd w:id="3582"/>
      <w:bookmarkEnd w:id="3583"/>
      <w:bookmarkEnd w:id="3584"/>
      <w:bookmarkEnd w:id="3585"/>
      <w:bookmarkEnd w:id="3586"/>
      <w:bookmarkEnd w:id="3587"/>
      <w:bookmarkEnd w:id="3588"/>
      <w:bookmarkEnd w:id="3589"/>
      <w:bookmarkEnd w:id="3590"/>
    </w:p>
    <w:p>
      <w:pPr>
        <w:adjustRightInd w:val="0"/>
        <w:snapToGrid w:val="0"/>
        <w:spacing w:line="360" w:lineRule="auto"/>
        <w:ind w:firstLine="520"/>
        <w:rPr>
          <w:color w:val="auto"/>
          <w:highlight w:val="none"/>
        </w:rPr>
      </w:pPr>
      <w:r>
        <w:rPr>
          <w:rFonts w:hint="eastAsia"/>
          <w:color w:val="auto"/>
          <w:highlight w:val="none"/>
        </w:rPr>
        <w:t>承包人的试验室必须满足项目《专用合同条款数据表》中规定的相关要求。如果承包人试验室被认定不合格，承包人应尽快按要求进行改正。在此之前，承包人应委托监理人及发包人批准的试验室开展各项试验和检验，并承担费用。监理人在必要时可以使用承包人的试验检测设备，承包人应无条件提供。</w:t>
      </w:r>
    </w:p>
    <w:p>
      <w:pPr>
        <w:pStyle w:val="241"/>
        <w:keepNext/>
        <w:keepLines/>
        <w:shd w:val="clear" w:color="auto" w:fill="auto"/>
        <w:adjustRightInd w:val="0"/>
        <w:snapToGrid w:val="0"/>
        <w:spacing w:before="0" w:line="360" w:lineRule="auto"/>
        <w:ind w:firstLine="0"/>
        <w:jc w:val="left"/>
        <w:outlineLvl w:val="2"/>
        <w:rPr>
          <w:rFonts w:ascii="宋体" w:hAnsi="宋体" w:eastAsia="宋体" w:cs="宋体"/>
          <w:b/>
          <w:bCs/>
          <w:color w:val="auto"/>
          <w:spacing w:val="0"/>
          <w:sz w:val="22"/>
          <w:szCs w:val="22"/>
          <w:highlight w:val="none"/>
          <w:lang w:bidi="zh-CN"/>
        </w:rPr>
      </w:pPr>
      <w:bookmarkStart w:id="3591" w:name="bookmark40"/>
    </w:p>
    <w:p>
      <w:pPr>
        <w:adjustRightInd w:val="0"/>
        <w:snapToGrid w:val="0"/>
        <w:spacing w:line="360" w:lineRule="auto"/>
        <w:outlineLvl w:val="2"/>
        <w:rPr>
          <w:b/>
          <w:bCs/>
          <w:color w:val="auto"/>
          <w:highlight w:val="none"/>
          <w:lang w:val="en-US"/>
        </w:rPr>
      </w:pPr>
      <w:bookmarkStart w:id="3592" w:name="_Toc31240"/>
      <w:bookmarkStart w:id="3593" w:name="_Toc26993"/>
      <w:bookmarkStart w:id="3594" w:name="_Toc12818"/>
      <w:bookmarkStart w:id="3595" w:name="_Toc31032"/>
      <w:bookmarkStart w:id="3596" w:name="_Toc10635"/>
      <w:bookmarkStart w:id="3597" w:name="_Toc22310"/>
      <w:bookmarkStart w:id="3598" w:name="_Toc31646"/>
      <w:bookmarkStart w:id="3599" w:name="_Toc11066"/>
      <w:bookmarkStart w:id="3600" w:name="_Toc24555"/>
      <w:bookmarkStart w:id="3601" w:name="_Toc21363"/>
      <w:bookmarkStart w:id="3602" w:name="_Toc2983"/>
      <w:bookmarkStart w:id="3603" w:name="_Toc28544"/>
      <w:bookmarkStart w:id="3604" w:name="_Toc14083"/>
      <w:bookmarkStart w:id="3605" w:name="_Toc11573"/>
      <w:bookmarkStart w:id="3606" w:name="_Toc22280"/>
      <w:bookmarkStart w:id="3607" w:name="_Toc30991"/>
      <w:bookmarkStart w:id="3608" w:name="_Toc6674"/>
      <w:bookmarkStart w:id="3609" w:name="_Toc25685"/>
      <w:bookmarkStart w:id="3610" w:name="_Toc21725"/>
      <w:bookmarkStart w:id="3611" w:name="_Toc28105"/>
      <w:bookmarkStart w:id="3612" w:name="_Toc32738"/>
      <w:r>
        <w:rPr>
          <w:rFonts w:hint="eastAsia"/>
          <w:b/>
          <w:bCs/>
          <w:color w:val="auto"/>
          <w:highlight w:val="none"/>
          <w:lang w:val="en-US"/>
        </w:rPr>
        <w:t>15.变更</w:t>
      </w:r>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p>
    <w:p>
      <w:pPr>
        <w:adjustRightInd w:val="0"/>
        <w:snapToGrid w:val="0"/>
        <w:spacing w:line="360" w:lineRule="auto"/>
        <w:rPr>
          <w:b/>
          <w:bCs/>
          <w:color w:val="auto"/>
          <w:highlight w:val="none"/>
        </w:rPr>
      </w:pPr>
      <w:bookmarkStart w:id="3613" w:name="_Toc32218"/>
      <w:bookmarkStart w:id="3614" w:name="_Toc16488"/>
      <w:bookmarkStart w:id="3615" w:name="_Toc19572"/>
      <w:bookmarkStart w:id="3616" w:name="_Toc25920"/>
      <w:bookmarkStart w:id="3617" w:name="_Toc21814"/>
      <w:bookmarkStart w:id="3618" w:name="_Toc26405"/>
      <w:bookmarkStart w:id="3619" w:name="_Toc8696"/>
      <w:bookmarkStart w:id="3620" w:name="_Toc14198"/>
      <w:bookmarkStart w:id="3621" w:name="_Toc3941"/>
      <w:r>
        <w:rPr>
          <w:b/>
          <w:bCs/>
          <w:color w:val="auto"/>
          <w:highlight w:val="none"/>
        </w:rPr>
        <w:t>15.3</w:t>
      </w:r>
      <w:r>
        <w:rPr>
          <w:rFonts w:hint="eastAsia"/>
          <w:b/>
          <w:bCs/>
          <w:color w:val="auto"/>
          <w:highlight w:val="none"/>
        </w:rPr>
        <w:t>变更程序</w:t>
      </w:r>
      <w:bookmarkEnd w:id="3613"/>
      <w:bookmarkEnd w:id="3614"/>
      <w:bookmarkEnd w:id="3615"/>
      <w:bookmarkEnd w:id="3616"/>
      <w:bookmarkEnd w:id="3617"/>
      <w:bookmarkEnd w:id="3618"/>
      <w:bookmarkEnd w:id="3619"/>
      <w:bookmarkEnd w:id="3620"/>
      <w:bookmarkEnd w:id="3621"/>
    </w:p>
    <w:p>
      <w:pPr>
        <w:adjustRightInd w:val="0"/>
        <w:snapToGrid w:val="0"/>
        <w:spacing w:line="360" w:lineRule="auto"/>
        <w:ind w:firstLine="520"/>
        <w:rPr>
          <w:color w:val="auto"/>
          <w:highlight w:val="none"/>
        </w:rPr>
      </w:pPr>
      <w:r>
        <w:rPr>
          <w:rFonts w:hint="eastAsia"/>
          <w:color w:val="auto"/>
          <w:highlight w:val="none"/>
        </w:rPr>
        <w:t>第</w:t>
      </w:r>
      <w:r>
        <w:rPr>
          <w:rFonts w:hint="eastAsia"/>
          <w:color w:val="auto"/>
          <w:highlight w:val="none"/>
          <w:lang w:bidi="en-US"/>
        </w:rPr>
        <w:t>15.3.4</w:t>
      </w:r>
      <w:r>
        <w:rPr>
          <w:rFonts w:hint="eastAsia"/>
          <w:color w:val="auto"/>
          <w:highlight w:val="none"/>
        </w:rPr>
        <w:t>项细化为：</w:t>
      </w:r>
      <w:r>
        <w:rPr>
          <w:rStyle w:val="248"/>
          <w:rFonts w:ascii="宋体" w:hAnsi="宋体" w:eastAsia="宋体"/>
          <w:color w:val="auto"/>
          <w:highlight w:val="none"/>
        </w:rPr>
        <w:t>详见《项目专用合同条款数据表》</w:t>
      </w:r>
      <w:r>
        <w:rPr>
          <w:rFonts w:hint="eastAsia"/>
          <w:color w:val="auto"/>
          <w:highlight w:val="none"/>
        </w:rPr>
        <w:t>。</w:t>
      </w:r>
    </w:p>
    <w:p>
      <w:pPr>
        <w:adjustRightInd w:val="0"/>
        <w:snapToGrid w:val="0"/>
        <w:spacing w:line="360" w:lineRule="auto"/>
        <w:ind w:firstLine="520"/>
        <w:rPr>
          <w:color w:val="auto"/>
          <w:highlight w:val="none"/>
        </w:rPr>
      </w:pPr>
      <w:r>
        <w:rPr>
          <w:rFonts w:hint="eastAsia"/>
          <w:color w:val="auto"/>
          <w:highlight w:val="none"/>
        </w:rPr>
        <w:t>本款补充第</w:t>
      </w:r>
      <w:r>
        <w:rPr>
          <w:rFonts w:hint="eastAsia"/>
          <w:color w:val="auto"/>
          <w:highlight w:val="none"/>
          <w:lang w:bidi="en-US"/>
        </w:rPr>
        <w:t>15.3.5</w:t>
      </w:r>
      <w:r>
        <w:rPr>
          <w:rFonts w:hint="eastAsia"/>
          <w:color w:val="auto"/>
          <w:highlight w:val="none"/>
        </w:rPr>
        <w:t>项：</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p>
    <w:p>
      <w:pPr>
        <w:pStyle w:val="245"/>
        <w:shd w:val="clear" w:color="auto" w:fill="auto"/>
        <w:adjustRightInd w:val="0"/>
        <w:snapToGrid w:val="0"/>
        <w:spacing w:line="360" w:lineRule="auto"/>
        <w:jc w:val="left"/>
        <w:rPr>
          <w:rStyle w:val="238"/>
          <w:rFonts w:ascii="宋体" w:hAnsi="宋体" w:eastAsia="宋体"/>
          <w:color w:val="auto"/>
          <w:highlight w:val="none"/>
        </w:rPr>
      </w:pPr>
    </w:p>
    <w:p>
      <w:pPr>
        <w:adjustRightInd w:val="0"/>
        <w:snapToGrid w:val="0"/>
        <w:spacing w:line="360" w:lineRule="auto"/>
        <w:rPr>
          <w:b/>
          <w:bCs/>
          <w:color w:val="auto"/>
          <w:highlight w:val="none"/>
        </w:rPr>
      </w:pPr>
      <w:bookmarkStart w:id="3622" w:name="_Toc17426"/>
      <w:bookmarkStart w:id="3623" w:name="_Toc29785"/>
      <w:bookmarkStart w:id="3624" w:name="_Toc30810"/>
      <w:bookmarkStart w:id="3625" w:name="_Toc7897"/>
      <w:bookmarkStart w:id="3626" w:name="_Toc8205"/>
      <w:bookmarkStart w:id="3627" w:name="_Toc15092"/>
      <w:bookmarkStart w:id="3628" w:name="_Toc6579"/>
      <w:bookmarkStart w:id="3629" w:name="_Toc27150"/>
      <w:bookmarkStart w:id="3630" w:name="_Toc28790"/>
      <w:r>
        <w:rPr>
          <w:b/>
          <w:bCs/>
          <w:color w:val="auto"/>
          <w:highlight w:val="none"/>
        </w:rPr>
        <w:t>15.4</w:t>
      </w:r>
      <w:r>
        <w:rPr>
          <w:rFonts w:hint="eastAsia"/>
          <w:b/>
          <w:bCs/>
          <w:color w:val="auto"/>
          <w:highlight w:val="none"/>
        </w:rPr>
        <w:t>变更的估价原则</w:t>
      </w:r>
      <w:bookmarkEnd w:id="3622"/>
      <w:bookmarkEnd w:id="3623"/>
      <w:bookmarkEnd w:id="3624"/>
      <w:bookmarkEnd w:id="3625"/>
      <w:bookmarkEnd w:id="3626"/>
      <w:bookmarkEnd w:id="3627"/>
      <w:bookmarkEnd w:id="3628"/>
      <w:bookmarkEnd w:id="3629"/>
      <w:bookmarkEnd w:id="3630"/>
    </w:p>
    <w:p>
      <w:pPr>
        <w:adjustRightInd w:val="0"/>
        <w:snapToGrid w:val="0"/>
        <w:spacing w:line="360" w:lineRule="auto"/>
        <w:ind w:firstLine="520"/>
        <w:rPr>
          <w:color w:val="auto"/>
          <w:highlight w:val="none"/>
        </w:rPr>
      </w:pPr>
      <w:r>
        <w:rPr>
          <w:rFonts w:hint="eastAsia"/>
          <w:color w:val="auto"/>
          <w:highlight w:val="none"/>
        </w:rPr>
        <w:t>本款约定为：</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p>
    <w:p>
      <w:pPr>
        <w:adjustRightInd w:val="0"/>
        <w:snapToGrid w:val="0"/>
        <w:spacing w:line="360" w:lineRule="auto"/>
        <w:rPr>
          <w:color w:val="auto"/>
          <w:highlight w:val="none"/>
          <w:lang w:eastAsia="en-US" w:bidi="en-US"/>
        </w:rPr>
      </w:pPr>
    </w:p>
    <w:p>
      <w:pPr>
        <w:adjustRightInd w:val="0"/>
        <w:snapToGrid w:val="0"/>
        <w:spacing w:line="360" w:lineRule="auto"/>
        <w:rPr>
          <w:b/>
          <w:bCs/>
          <w:color w:val="auto"/>
          <w:highlight w:val="none"/>
        </w:rPr>
      </w:pPr>
      <w:bookmarkStart w:id="3631" w:name="_Toc11844"/>
      <w:bookmarkStart w:id="3632" w:name="_Toc14418"/>
      <w:bookmarkStart w:id="3633" w:name="_Toc20719"/>
      <w:bookmarkStart w:id="3634" w:name="_Toc26140"/>
      <w:bookmarkStart w:id="3635" w:name="_Toc26266"/>
      <w:bookmarkStart w:id="3636" w:name="_Toc19261"/>
      <w:bookmarkStart w:id="3637" w:name="_Toc12077"/>
      <w:bookmarkStart w:id="3638" w:name="_Toc10739"/>
      <w:bookmarkStart w:id="3639" w:name="_Toc23237"/>
      <w:r>
        <w:rPr>
          <w:rFonts w:hint="eastAsia"/>
          <w:b/>
          <w:bCs/>
          <w:color w:val="auto"/>
          <w:highlight w:val="none"/>
        </w:rPr>
        <w:t>15.7</w:t>
      </w:r>
      <w:r>
        <w:rPr>
          <w:b/>
          <w:bCs/>
          <w:color w:val="auto"/>
          <w:highlight w:val="none"/>
        </w:rPr>
        <w:t>计日工</w:t>
      </w:r>
      <w:bookmarkEnd w:id="3631"/>
      <w:bookmarkEnd w:id="3632"/>
      <w:bookmarkEnd w:id="3633"/>
      <w:bookmarkEnd w:id="3634"/>
      <w:bookmarkEnd w:id="3635"/>
      <w:bookmarkEnd w:id="3636"/>
      <w:bookmarkEnd w:id="3637"/>
      <w:bookmarkEnd w:id="3638"/>
      <w:bookmarkEnd w:id="3639"/>
    </w:p>
    <w:p>
      <w:pPr>
        <w:adjustRightInd w:val="0"/>
        <w:snapToGrid w:val="0"/>
        <w:spacing w:line="360" w:lineRule="auto"/>
        <w:ind w:firstLine="520"/>
        <w:rPr>
          <w:color w:val="auto"/>
          <w:highlight w:val="none"/>
        </w:rPr>
      </w:pPr>
      <w:r>
        <w:rPr>
          <w:rFonts w:hint="eastAsia"/>
          <w:color w:val="auto"/>
          <w:highlight w:val="none"/>
        </w:rPr>
        <w:t>本款不适用。</w:t>
      </w:r>
    </w:p>
    <w:p>
      <w:pPr>
        <w:adjustRightInd w:val="0"/>
        <w:snapToGrid w:val="0"/>
        <w:spacing w:line="360" w:lineRule="auto"/>
        <w:rPr>
          <w:color w:val="auto"/>
          <w:highlight w:val="none"/>
          <w:lang w:val="en-US"/>
        </w:rPr>
      </w:pPr>
      <w:bookmarkStart w:id="3640" w:name="bookmark41"/>
    </w:p>
    <w:p>
      <w:pPr>
        <w:adjustRightInd w:val="0"/>
        <w:snapToGrid w:val="0"/>
        <w:spacing w:line="360" w:lineRule="auto"/>
        <w:outlineLvl w:val="2"/>
        <w:rPr>
          <w:b/>
          <w:bCs/>
          <w:color w:val="auto"/>
          <w:highlight w:val="none"/>
          <w:lang w:val="en-US"/>
        </w:rPr>
      </w:pPr>
      <w:bookmarkStart w:id="3641" w:name="_Toc11547"/>
      <w:bookmarkStart w:id="3642" w:name="_Toc24524"/>
      <w:bookmarkStart w:id="3643" w:name="_Toc16981"/>
      <w:bookmarkStart w:id="3644" w:name="_Toc8716"/>
      <w:bookmarkStart w:id="3645" w:name="_Toc27661"/>
      <w:bookmarkStart w:id="3646" w:name="_Toc20534"/>
      <w:bookmarkStart w:id="3647" w:name="_Toc29609"/>
      <w:bookmarkStart w:id="3648" w:name="_Toc8052"/>
      <w:bookmarkStart w:id="3649" w:name="_Toc5156"/>
      <w:bookmarkStart w:id="3650" w:name="_Toc26253"/>
      <w:bookmarkStart w:id="3651" w:name="_Toc20330"/>
      <w:bookmarkStart w:id="3652" w:name="_Toc19407"/>
      <w:bookmarkStart w:id="3653" w:name="_Toc14302"/>
      <w:bookmarkStart w:id="3654" w:name="_Toc4489"/>
      <w:bookmarkStart w:id="3655" w:name="_Toc20966"/>
      <w:bookmarkStart w:id="3656" w:name="_Toc1888"/>
      <w:bookmarkStart w:id="3657" w:name="_Toc27022"/>
      <w:bookmarkStart w:id="3658" w:name="_Toc26289"/>
      <w:bookmarkStart w:id="3659" w:name="_Toc3608"/>
      <w:bookmarkStart w:id="3660" w:name="_Toc14071"/>
      <w:bookmarkStart w:id="3661" w:name="_Toc2787"/>
      <w:bookmarkStart w:id="3662" w:name="_Toc1839"/>
      <w:r>
        <w:rPr>
          <w:rFonts w:hint="eastAsia"/>
          <w:b/>
          <w:bCs/>
          <w:color w:val="auto"/>
          <w:highlight w:val="none"/>
          <w:lang w:val="en-US"/>
        </w:rPr>
        <w:t>16.价格调整</w:t>
      </w:r>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p>
    <w:p>
      <w:pPr>
        <w:adjustRightInd w:val="0"/>
        <w:snapToGrid w:val="0"/>
        <w:spacing w:line="360" w:lineRule="auto"/>
        <w:rPr>
          <w:b/>
          <w:bCs/>
          <w:color w:val="auto"/>
          <w:highlight w:val="none"/>
        </w:rPr>
      </w:pPr>
      <w:bookmarkStart w:id="3663" w:name="_Toc23133"/>
      <w:bookmarkStart w:id="3664" w:name="_Toc15753"/>
      <w:bookmarkStart w:id="3665" w:name="bookmark42"/>
      <w:bookmarkStart w:id="3666" w:name="_Toc6553"/>
      <w:bookmarkStart w:id="3667" w:name="_Toc24376"/>
      <w:bookmarkStart w:id="3668" w:name="_Toc32629"/>
      <w:bookmarkStart w:id="3669" w:name="_Toc28889"/>
      <w:bookmarkStart w:id="3670" w:name="_Toc19942"/>
      <w:bookmarkStart w:id="3671" w:name="_Toc6411"/>
      <w:bookmarkStart w:id="3672" w:name="_Toc7077"/>
      <w:bookmarkStart w:id="3673" w:name="_Toc8822"/>
      <w:bookmarkStart w:id="3674" w:name="_Toc3250"/>
      <w:r>
        <w:rPr>
          <w:b/>
          <w:bCs/>
          <w:color w:val="auto"/>
          <w:highlight w:val="none"/>
        </w:rPr>
        <w:t>16.1</w:t>
      </w:r>
      <w:r>
        <w:rPr>
          <w:rFonts w:hint="eastAsia"/>
          <w:b/>
          <w:bCs/>
          <w:color w:val="auto"/>
          <w:highlight w:val="none"/>
        </w:rPr>
        <w:t>物价波动引起的价格调整</w:t>
      </w:r>
      <w:bookmarkEnd w:id="3663"/>
      <w:bookmarkEnd w:id="3664"/>
      <w:bookmarkEnd w:id="3665"/>
      <w:bookmarkEnd w:id="3666"/>
      <w:bookmarkEnd w:id="3667"/>
      <w:bookmarkEnd w:id="3668"/>
      <w:bookmarkEnd w:id="3669"/>
      <w:bookmarkEnd w:id="3670"/>
      <w:bookmarkEnd w:id="3671"/>
      <w:bookmarkEnd w:id="3672"/>
      <w:bookmarkEnd w:id="3673"/>
      <w:bookmarkEnd w:id="3674"/>
    </w:p>
    <w:p>
      <w:pPr>
        <w:adjustRightInd w:val="0"/>
        <w:snapToGrid w:val="0"/>
        <w:spacing w:line="360" w:lineRule="auto"/>
        <w:ind w:firstLine="520"/>
        <w:rPr>
          <w:color w:val="auto"/>
          <w:sz w:val="21"/>
          <w:szCs w:val="21"/>
          <w:highlight w:val="none"/>
          <w:lang w:val="en-US"/>
        </w:rPr>
      </w:pPr>
      <w:r>
        <w:rPr>
          <w:rFonts w:hint="eastAsia"/>
          <w:color w:val="auto"/>
          <w:sz w:val="21"/>
          <w:szCs w:val="21"/>
          <w:highlight w:val="none"/>
        </w:rPr>
        <w:t>本款约定为：</w:t>
      </w:r>
      <w:r>
        <w:rPr>
          <w:rStyle w:val="248"/>
          <w:rFonts w:hint="eastAsia" w:ascii="宋体" w:hAnsi="宋体" w:eastAsia="宋体" w:cs="宋体"/>
          <w:color w:val="auto"/>
          <w:sz w:val="21"/>
          <w:szCs w:val="21"/>
          <w:highlight w:val="none"/>
        </w:rPr>
        <w:t>详见《项目专用合同条款数据表》</w:t>
      </w:r>
      <w:r>
        <w:rPr>
          <w:rStyle w:val="248"/>
          <w:rFonts w:hint="eastAsia" w:cs="宋体"/>
          <w:color w:val="auto"/>
          <w:sz w:val="21"/>
          <w:szCs w:val="21"/>
          <w:highlight w:val="none"/>
          <w:lang w:val="en-US"/>
        </w:rPr>
        <w:t xml:space="preserve">   </w:t>
      </w:r>
      <w:r>
        <w:rPr>
          <w:rStyle w:val="248"/>
          <w:rFonts w:hint="eastAsia" w:cs="宋体"/>
          <w:color w:val="auto"/>
          <w:sz w:val="21"/>
          <w:szCs w:val="21"/>
          <w:highlight w:val="none"/>
          <w:u w:val="none"/>
          <w:lang w:val="en-US"/>
        </w:rPr>
        <w:t>。</w:t>
      </w:r>
    </w:p>
    <w:p>
      <w:pPr>
        <w:adjustRightInd w:val="0"/>
        <w:snapToGrid w:val="0"/>
        <w:spacing w:line="360" w:lineRule="auto"/>
        <w:ind w:firstLine="540"/>
        <w:rPr>
          <w:color w:val="auto"/>
          <w:sz w:val="21"/>
          <w:szCs w:val="21"/>
          <w:highlight w:val="none"/>
        </w:rPr>
      </w:pPr>
      <w:r>
        <w:rPr>
          <w:rFonts w:hint="eastAsia"/>
          <w:color w:val="auto"/>
          <w:sz w:val="21"/>
          <w:szCs w:val="21"/>
          <w:highlight w:val="none"/>
        </w:rPr>
        <w:t>本条补充第</w:t>
      </w:r>
      <w:r>
        <w:rPr>
          <w:rFonts w:hint="eastAsia"/>
          <w:color w:val="auto"/>
          <w:sz w:val="21"/>
          <w:szCs w:val="21"/>
          <w:highlight w:val="none"/>
          <w:lang w:val="en-US" w:bidi="en-US"/>
        </w:rPr>
        <w:t>16.3</w:t>
      </w:r>
      <w:r>
        <w:rPr>
          <w:rFonts w:hint="eastAsia"/>
          <w:color w:val="auto"/>
          <w:sz w:val="21"/>
          <w:szCs w:val="21"/>
          <w:highlight w:val="none"/>
          <w:lang w:val="en-US"/>
        </w:rPr>
        <w:t>款</w:t>
      </w:r>
      <w:r>
        <w:rPr>
          <w:rFonts w:hint="eastAsia"/>
          <w:color w:val="auto"/>
          <w:sz w:val="21"/>
          <w:szCs w:val="21"/>
          <w:highlight w:val="none"/>
        </w:rPr>
        <w:t>、第</w:t>
      </w:r>
      <w:r>
        <w:rPr>
          <w:rFonts w:hint="eastAsia"/>
          <w:color w:val="auto"/>
          <w:sz w:val="21"/>
          <w:szCs w:val="21"/>
          <w:highlight w:val="none"/>
          <w:lang w:val="en-US" w:bidi="en-US"/>
        </w:rPr>
        <w:t>16.4</w:t>
      </w:r>
      <w:r>
        <w:rPr>
          <w:rFonts w:hint="eastAsia"/>
          <w:color w:val="auto"/>
          <w:sz w:val="21"/>
          <w:szCs w:val="21"/>
          <w:highlight w:val="none"/>
        </w:rPr>
        <w:t xml:space="preserve">款: </w:t>
      </w:r>
      <w:r>
        <w:rPr>
          <w:rFonts w:hint="eastAsia"/>
          <w:color w:val="auto"/>
          <w:sz w:val="21"/>
          <w:szCs w:val="21"/>
          <w:highlight w:val="none"/>
          <w:u w:val="single"/>
        </w:rPr>
        <w:t>详见《项目专用合同条款数据表》</w:t>
      </w:r>
      <w:r>
        <w:rPr>
          <w:rFonts w:hint="eastAsia"/>
          <w:color w:val="auto"/>
          <w:sz w:val="21"/>
          <w:szCs w:val="21"/>
          <w:highlight w:val="none"/>
          <w:u w:val="single"/>
          <w:lang w:val="en-US"/>
        </w:rPr>
        <w:t xml:space="preserve">  </w:t>
      </w:r>
      <w:r>
        <w:rPr>
          <w:rFonts w:hint="eastAsia"/>
          <w:color w:val="auto"/>
          <w:sz w:val="21"/>
          <w:szCs w:val="21"/>
          <w:highlight w:val="none"/>
        </w:rPr>
        <w:t>。</w:t>
      </w:r>
    </w:p>
    <w:p>
      <w:pPr>
        <w:adjustRightInd w:val="0"/>
        <w:snapToGrid w:val="0"/>
        <w:spacing w:line="360" w:lineRule="auto"/>
        <w:rPr>
          <w:color w:val="auto"/>
          <w:highlight w:val="none"/>
          <w:lang w:val="en-US"/>
        </w:rPr>
      </w:pPr>
      <w:bookmarkStart w:id="3675" w:name="bookmark44"/>
    </w:p>
    <w:p>
      <w:pPr>
        <w:adjustRightInd w:val="0"/>
        <w:snapToGrid w:val="0"/>
        <w:spacing w:line="360" w:lineRule="auto"/>
        <w:outlineLvl w:val="2"/>
        <w:rPr>
          <w:b/>
          <w:bCs/>
          <w:color w:val="auto"/>
          <w:highlight w:val="none"/>
          <w:lang w:val="en-US"/>
        </w:rPr>
      </w:pPr>
      <w:bookmarkStart w:id="3676" w:name="_Toc19612"/>
      <w:bookmarkStart w:id="3677" w:name="_Toc14799"/>
      <w:bookmarkStart w:id="3678" w:name="_Toc20238"/>
      <w:bookmarkStart w:id="3679" w:name="_Toc22721"/>
      <w:bookmarkStart w:id="3680" w:name="_Toc2790"/>
      <w:bookmarkStart w:id="3681" w:name="_Toc3867"/>
      <w:bookmarkStart w:id="3682" w:name="_Toc5770"/>
      <w:bookmarkStart w:id="3683" w:name="_Toc30726"/>
      <w:bookmarkStart w:id="3684" w:name="_Toc13402"/>
      <w:bookmarkStart w:id="3685" w:name="_Toc14440"/>
      <w:bookmarkStart w:id="3686" w:name="_Toc24915"/>
      <w:bookmarkStart w:id="3687" w:name="_Toc2291"/>
      <w:bookmarkStart w:id="3688" w:name="_Toc15855"/>
      <w:bookmarkStart w:id="3689" w:name="_Toc742"/>
      <w:bookmarkStart w:id="3690" w:name="_Toc14866"/>
      <w:bookmarkStart w:id="3691" w:name="_Toc15511"/>
      <w:bookmarkStart w:id="3692" w:name="_Toc32255"/>
      <w:bookmarkStart w:id="3693" w:name="_Toc29990"/>
      <w:bookmarkStart w:id="3694" w:name="_Toc24334"/>
      <w:bookmarkStart w:id="3695" w:name="_Toc17309"/>
      <w:bookmarkStart w:id="3696" w:name="_Toc16785"/>
      <w:bookmarkStart w:id="3697" w:name="_Toc10133"/>
      <w:r>
        <w:rPr>
          <w:rFonts w:hint="eastAsia"/>
          <w:b/>
          <w:bCs/>
          <w:color w:val="auto"/>
          <w:highlight w:val="none"/>
          <w:lang w:val="en-US"/>
        </w:rPr>
        <w:t>17.计量与支付</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p>
    <w:p>
      <w:pPr>
        <w:pStyle w:val="247"/>
        <w:shd w:val="clear" w:color="auto" w:fill="auto"/>
        <w:adjustRightInd w:val="0"/>
        <w:snapToGrid w:val="0"/>
        <w:spacing w:line="360" w:lineRule="auto"/>
        <w:jc w:val="left"/>
        <w:rPr>
          <w:rFonts w:ascii="宋体" w:hAnsi="宋体" w:eastAsia="宋体"/>
          <w:b/>
          <w:bCs/>
          <w:color w:val="auto"/>
          <w:sz w:val="22"/>
          <w:szCs w:val="22"/>
          <w:highlight w:val="none"/>
        </w:rPr>
      </w:pPr>
      <w:bookmarkStart w:id="3698" w:name="_Toc2939"/>
      <w:bookmarkStart w:id="3699" w:name="_Toc29699"/>
      <w:bookmarkStart w:id="3700" w:name="_Toc27923"/>
      <w:bookmarkStart w:id="3701" w:name="_Toc20250"/>
      <w:bookmarkStart w:id="3702" w:name="_Toc12616"/>
      <w:bookmarkStart w:id="3703" w:name="_Toc16760"/>
      <w:bookmarkStart w:id="3704" w:name="_Toc5771"/>
      <w:bookmarkStart w:id="3705" w:name="_Toc14142"/>
      <w:bookmarkStart w:id="3706" w:name="_Toc21879"/>
      <w:r>
        <w:rPr>
          <w:rFonts w:hint="eastAsia"/>
          <w:b/>
          <w:bCs/>
          <w:color w:val="auto"/>
          <w:highlight w:val="none"/>
        </w:rPr>
        <w:t>17.1</w:t>
      </w:r>
      <w:r>
        <w:rPr>
          <w:b/>
          <w:bCs/>
          <w:color w:val="auto"/>
          <w:highlight w:val="none"/>
        </w:rPr>
        <w:t>计量</w:t>
      </w:r>
      <w:bookmarkEnd w:id="3698"/>
      <w:bookmarkEnd w:id="3699"/>
      <w:bookmarkEnd w:id="3700"/>
      <w:bookmarkEnd w:id="3701"/>
      <w:bookmarkEnd w:id="3702"/>
      <w:bookmarkEnd w:id="3703"/>
      <w:bookmarkEnd w:id="3704"/>
      <w:bookmarkEnd w:id="3705"/>
      <w:bookmarkEnd w:id="3706"/>
    </w:p>
    <w:p>
      <w:pPr>
        <w:adjustRightInd w:val="0"/>
        <w:snapToGrid w:val="0"/>
        <w:spacing w:line="360" w:lineRule="auto"/>
        <w:ind w:firstLine="440" w:firstLineChars="200"/>
        <w:rPr>
          <w:rFonts w:cs="PMingLiU"/>
          <w:color w:val="auto"/>
          <w:highlight w:val="none"/>
        </w:rPr>
      </w:pPr>
      <w:r>
        <w:rPr>
          <w:rFonts w:hint="eastAsia" w:cs="PMingLiU"/>
          <w:color w:val="auto"/>
          <w:highlight w:val="none"/>
        </w:rPr>
        <w:t>17.1.3计量周期</w:t>
      </w:r>
    </w:p>
    <w:p>
      <w:pPr>
        <w:adjustRightInd w:val="0"/>
        <w:snapToGrid w:val="0"/>
        <w:spacing w:line="360" w:lineRule="auto"/>
        <w:ind w:firstLine="550" w:firstLineChars="250"/>
        <w:rPr>
          <w:rFonts w:cs="PMingLiU"/>
          <w:color w:val="auto"/>
          <w:highlight w:val="none"/>
          <w:lang w:val="en-US"/>
        </w:rPr>
      </w:pPr>
      <w:r>
        <w:rPr>
          <w:rFonts w:hint="eastAsia" w:cs="PMingLiU"/>
          <w:color w:val="auto"/>
          <w:highlight w:val="none"/>
        </w:rPr>
        <w:t>本项约定为：详见</w:t>
      </w:r>
      <w:r>
        <w:rPr>
          <w:rFonts w:hint="eastAsia" w:cs="PMingLiU"/>
          <w:color w:val="auto"/>
          <w:highlight w:val="none"/>
          <w:u w:val="single"/>
        </w:rPr>
        <w:t>《项目专用合同条款数据表》</w:t>
      </w:r>
      <w:r>
        <w:rPr>
          <w:rFonts w:hint="eastAsia" w:cs="PMingLiU"/>
          <w:color w:val="auto"/>
          <w:highlight w:val="none"/>
          <w:u w:val="single"/>
          <w:lang w:val="en-US"/>
        </w:rPr>
        <w:t xml:space="preserve">    </w:t>
      </w:r>
      <w:r>
        <w:rPr>
          <w:rFonts w:hint="eastAsia" w:cs="PMingLiU"/>
          <w:color w:val="auto"/>
          <w:highlight w:val="none"/>
          <w:lang w:val="en-US"/>
        </w:rPr>
        <w:t>。</w:t>
      </w:r>
    </w:p>
    <w:p>
      <w:pPr>
        <w:adjustRightInd w:val="0"/>
        <w:snapToGrid w:val="0"/>
        <w:spacing w:line="360" w:lineRule="auto"/>
        <w:ind w:firstLine="440" w:firstLineChars="200"/>
        <w:rPr>
          <w:rFonts w:cs="PMingLiU"/>
          <w:color w:val="auto"/>
          <w:highlight w:val="none"/>
        </w:rPr>
      </w:pPr>
      <w:r>
        <w:rPr>
          <w:rFonts w:hint="eastAsia" w:cs="PMingLiU"/>
          <w:color w:val="auto"/>
          <w:highlight w:val="none"/>
        </w:rPr>
        <w:t>17.1.4单价子目的计量</w:t>
      </w:r>
    </w:p>
    <w:p>
      <w:pPr>
        <w:adjustRightInd w:val="0"/>
        <w:snapToGrid w:val="0"/>
        <w:spacing w:line="360" w:lineRule="auto"/>
        <w:ind w:firstLine="660" w:firstLineChars="300"/>
        <w:rPr>
          <w:rFonts w:cs="PMingLiU"/>
          <w:color w:val="auto"/>
          <w:highlight w:val="none"/>
          <w:lang w:val="en-US"/>
        </w:rPr>
      </w:pPr>
      <w:r>
        <w:rPr>
          <w:rFonts w:hint="eastAsia" w:cs="PMingLiU"/>
          <w:color w:val="auto"/>
          <w:highlight w:val="none"/>
        </w:rPr>
        <w:t>本项补充：详见</w:t>
      </w:r>
      <w:r>
        <w:rPr>
          <w:rFonts w:hint="eastAsia" w:cs="PMingLiU"/>
          <w:color w:val="auto"/>
          <w:highlight w:val="none"/>
          <w:u w:val="single"/>
        </w:rPr>
        <w:t>《项目专用合同条款数据表》</w:t>
      </w:r>
      <w:r>
        <w:rPr>
          <w:rFonts w:hint="eastAsia" w:cs="PMingLiU"/>
          <w:color w:val="auto"/>
          <w:highlight w:val="none"/>
          <w:u w:val="single"/>
          <w:lang w:val="en-US"/>
        </w:rPr>
        <w:t xml:space="preserve">    </w:t>
      </w:r>
      <w:r>
        <w:rPr>
          <w:rFonts w:hint="eastAsia" w:cs="PMingLiU"/>
          <w:color w:val="auto"/>
          <w:highlight w:val="none"/>
          <w:lang w:val="en-US"/>
        </w:rPr>
        <w:t>。</w:t>
      </w:r>
    </w:p>
    <w:p>
      <w:pPr>
        <w:adjustRightInd w:val="0"/>
        <w:snapToGrid w:val="0"/>
        <w:spacing w:line="360" w:lineRule="auto"/>
        <w:rPr>
          <w:color w:val="auto"/>
          <w:highlight w:val="none"/>
          <w:lang w:val="en-US"/>
        </w:rPr>
      </w:pPr>
      <w:r>
        <w:rPr>
          <w:rFonts w:hint="eastAsia"/>
          <w:color w:val="auto"/>
          <w:highlight w:val="none"/>
        </w:rPr>
        <w:t xml:space="preserve"> </w:t>
      </w:r>
      <w:r>
        <w:rPr>
          <w:rFonts w:hint="eastAsia"/>
          <w:color w:val="auto"/>
          <w:highlight w:val="none"/>
          <w:lang w:val="en-US"/>
        </w:rPr>
        <w:t xml:space="preserve">   </w:t>
      </w:r>
      <w:r>
        <w:rPr>
          <w:rFonts w:hint="eastAsia"/>
          <w:color w:val="auto"/>
          <w:highlight w:val="none"/>
        </w:rPr>
        <w:t>17.1.5本项目工程量清单中总额价子目的支付原则和支付进度:</w:t>
      </w:r>
      <w:r>
        <w:rPr>
          <w:rFonts w:hint="eastAsia"/>
          <w:color w:val="auto"/>
          <w:highlight w:val="none"/>
          <w:u w:val="single"/>
        </w:rPr>
        <w:t>详见《项目专用合同条款数据表》</w:t>
      </w:r>
      <w:r>
        <w:rPr>
          <w:rFonts w:hint="eastAsia"/>
          <w:color w:val="auto"/>
          <w:highlight w:val="none"/>
          <w:u w:val="single"/>
          <w:lang w:val="en-US"/>
        </w:rPr>
        <w:t xml:space="preserve">   </w:t>
      </w:r>
      <w:r>
        <w:rPr>
          <w:rFonts w:hint="eastAsia"/>
          <w:color w:val="auto"/>
          <w:highlight w:val="none"/>
          <w:lang w:val="en-US"/>
        </w:rPr>
        <w:t>。</w:t>
      </w:r>
    </w:p>
    <w:p>
      <w:pPr>
        <w:adjustRightInd w:val="0"/>
        <w:snapToGrid w:val="0"/>
        <w:spacing w:line="360" w:lineRule="auto"/>
        <w:rPr>
          <w:color w:val="auto"/>
          <w:highlight w:val="none"/>
        </w:rPr>
      </w:pPr>
    </w:p>
    <w:p>
      <w:pPr>
        <w:adjustRightInd w:val="0"/>
        <w:snapToGrid w:val="0"/>
        <w:spacing w:line="360" w:lineRule="auto"/>
        <w:rPr>
          <w:b/>
          <w:bCs/>
          <w:color w:val="auto"/>
          <w:highlight w:val="none"/>
        </w:rPr>
      </w:pPr>
      <w:bookmarkStart w:id="3707" w:name="_Toc5664"/>
      <w:bookmarkStart w:id="3708" w:name="_Toc15243"/>
      <w:bookmarkStart w:id="3709" w:name="_Toc20423"/>
      <w:bookmarkStart w:id="3710" w:name="_Toc5442"/>
      <w:bookmarkStart w:id="3711" w:name="_Toc19008"/>
      <w:bookmarkStart w:id="3712" w:name="_Toc21342"/>
      <w:bookmarkStart w:id="3713" w:name="_Toc29807"/>
      <w:bookmarkStart w:id="3714" w:name="_Toc13084"/>
      <w:bookmarkStart w:id="3715" w:name="_Toc5915"/>
      <w:r>
        <w:rPr>
          <w:rFonts w:hint="eastAsia"/>
          <w:b/>
          <w:bCs/>
          <w:color w:val="auto"/>
          <w:highlight w:val="none"/>
        </w:rPr>
        <w:t>17.2预付款</w:t>
      </w:r>
      <w:bookmarkEnd w:id="3707"/>
      <w:bookmarkEnd w:id="3708"/>
      <w:bookmarkEnd w:id="3709"/>
      <w:bookmarkEnd w:id="3710"/>
      <w:bookmarkEnd w:id="3711"/>
      <w:bookmarkEnd w:id="3712"/>
      <w:bookmarkEnd w:id="3713"/>
      <w:bookmarkEnd w:id="3714"/>
      <w:bookmarkEnd w:id="3715"/>
    </w:p>
    <w:p>
      <w:pPr>
        <w:adjustRightInd w:val="0"/>
        <w:snapToGrid w:val="0"/>
        <w:spacing w:line="360" w:lineRule="auto"/>
        <w:ind w:firstLine="540"/>
        <w:rPr>
          <w:color w:val="auto"/>
          <w:highlight w:val="none"/>
        </w:rPr>
      </w:pPr>
      <w:r>
        <w:rPr>
          <w:rFonts w:hint="eastAsia"/>
          <w:color w:val="auto"/>
          <w:highlight w:val="none"/>
        </w:rPr>
        <w:t>本款</w:t>
      </w:r>
      <w:r>
        <w:rPr>
          <w:rFonts w:hint="eastAsia"/>
          <w:color w:val="auto"/>
          <w:highlight w:val="none"/>
          <w:lang w:val="en-US"/>
        </w:rPr>
        <w:t>补充</w:t>
      </w:r>
      <w:r>
        <w:rPr>
          <w:rFonts w:hint="eastAsia"/>
          <w:color w:val="auto"/>
          <w:highlight w:val="none"/>
        </w:rPr>
        <w:t>：</w:t>
      </w:r>
      <w:r>
        <w:rPr>
          <w:rStyle w:val="248"/>
          <w:rFonts w:ascii="宋体" w:hAnsi="宋体" w:eastAsia="宋体"/>
          <w:color w:val="auto"/>
          <w:highlight w:val="none"/>
        </w:rPr>
        <w:t>详见《项目专用合同条款数据表》</w:t>
      </w:r>
      <w:r>
        <w:rPr>
          <w:rFonts w:hint="eastAsia"/>
          <w:color w:val="auto"/>
          <w:highlight w:val="none"/>
        </w:rPr>
        <w:t>。</w:t>
      </w:r>
    </w:p>
    <w:p>
      <w:pPr>
        <w:adjustRightInd w:val="0"/>
        <w:snapToGrid w:val="0"/>
        <w:spacing w:line="360" w:lineRule="auto"/>
        <w:ind w:firstLine="540"/>
        <w:rPr>
          <w:color w:val="auto"/>
          <w:highlight w:val="none"/>
        </w:rPr>
      </w:pPr>
    </w:p>
    <w:p>
      <w:pPr>
        <w:adjustRightInd w:val="0"/>
        <w:snapToGrid w:val="0"/>
        <w:spacing w:line="360" w:lineRule="auto"/>
        <w:ind w:firstLine="540"/>
        <w:rPr>
          <w:b/>
          <w:bCs/>
          <w:color w:val="auto"/>
          <w:highlight w:val="none"/>
        </w:rPr>
      </w:pPr>
      <w:r>
        <w:rPr>
          <w:rFonts w:hint="eastAsia"/>
          <w:b/>
          <w:bCs/>
          <w:color w:val="auto"/>
          <w:highlight w:val="none"/>
        </w:rPr>
        <w:t>本款第</w:t>
      </w:r>
      <w:r>
        <w:rPr>
          <w:rStyle w:val="238"/>
          <w:rFonts w:ascii="宋体" w:hAnsi="宋体" w:eastAsia="宋体"/>
          <w:b/>
          <w:bCs/>
          <w:color w:val="auto"/>
          <w:sz w:val="22"/>
          <w:highlight w:val="none"/>
        </w:rPr>
        <w:t>17.3.5</w:t>
      </w:r>
      <w:r>
        <w:rPr>
          <w:rFonts w:hint="eastAsia"/>
          <w:b/>
          <w:bCs/>
          <w:color w:val="auto"/>
          <w:highlight w:val="none"/>
        </w:rPr>
        <w:t>项修改为：</w:t>
      </w:r>
    </w:p>
    <w:p>
      <w:pPr>
        <w:adjustRightInd w:val="0"/>
        <w:snapToGrid w:val="0"/>
        <w:spacing w:line="360" w:lineRule="auto"/>
        <w:rPr>
          <w:b/>
          <w:bCs/>
          <w:color w:val="auto"/>
          <w:highlight w:val="none"/>
        </w:rPr>
      </w:pPr>
      <w:r>
        <w:rPr>
          <w:b/>
          <w:bCs/>
          <w:color w:val="auto"/>
          <w:highlight w:val="none"/>
        </w:rPr>
        <w:t>17.3.5</w:t>
      </w:r>
      <w:r>
        <w:rPr>
          <w:rFonts w:hint="eastAsia"/>
          <w:b/>
          <w:bCs/>
          <w:color w:val="auto"/>
          <w:highlight w:val="none"/>
        </w:rPr>
        <w:t>农民工工资保证金</w:t>
      </w:r>
    </w:p>
    <w:p>
      <w:pPr>
        <w:adjustRightInd w:val="0"/>
        <w:snapToGrid w:val="0"/>
        <w:spacing w:line="360" w:lineRule="auto"/>
        <w:ind w:firstLine="540"/>
        <w:rPr>
          <w:color w:val="auto"/>
          <w:highlight w:val="none"/>
        </w:rPr>
      </w:pPr>
      <w:r>
        <w:rPr>
          <w:rFonts w:hint="eastAsia"/>
          <w:color w:val="auto"/>
          <w:highlight w:val="none"/>
        </w:rPr>
        <w:t>为确保施工过程中农民工工资实时、足额发放到位，承包人必须按规定提交农民工工资保证金。农民工工资保证金的额度、提交形式、使用范围、扣留条件、返还时间及其他约定详见《项目专用合同条款数据表》。</w:t>
      </w:r>
    </w:p>
    <w:p>
      <w:pPr>
        <w:adjustRightInd w:val="0"/>
        <w:snapToGrid w:val="0"/>
        <w:spacing w:line="360" w:lineRule="auto"/>
        <w:ind w:firstLine="540"/>
        <w:rPr>
          <w:color w:val="auto"/>
          <w:highlight w:val="none"/>
        </w:rPr>
      </w:pPr>
    </w:p>
    <w:p>
      <w:pPr>
        <w:adjustRightInd w:val="0"/>
        <w:snapToGrid w:val="0"/>
        <w:spacing w:line="360" w:lineRule="auto"/>
        <w:ind w:firstLine="540"/>
        <w:rPr>
          <w:color w:val="auto"/>
          <w:highlight w:val="none"/>
        </w:rPr>
      </w:pPr>
      <w:r>
        <w:rPr>
          <w:rFonts w:hint="eastAsia"/>
          <w:color w:val="auto"/>
          <w:highlight w:val="none"/>
        </w:rPr>
        <w:t>本款补充第</w:t>
      </w:r>
      <w:r>
        <w:rPr>
          <w:rStyle w:val="238"/>
          <w:rFonts w:ascii="宋体" w:hAnsi="宋体" w:eastAsia="宋体"/>
          <w:color w:val="auto"/>
          <w:sz w:val="22"/>
          <w:highlight w:val="none"/>
        </w:rPr>
        <w:t>17.3.6</w:t>
      </w:r>
      <w:r>
        <w:rPr>
          <w:rFonts w:hint="eastAsia"/>
          <w:color w:val="auto"/>
          <w:highlight w:val="none"/>
        </w:rPr>
        <w:t>项：</w:t>
      </w:r>
    </w:p>
    <w:p>
      <w:pPr>
        <w:adjustRightInd w:val="0"/>
        <w:snapToGrid w:val="0"/>
        <w:spacing w:line="360" w:lineRule="auto"/>
        <w:rPr>
          <w:b/>
          <w:bCs/>
          <w:color w:val="auto"/>
          <w:highlight w:val="none"/>
        </w:rPr>
      </w:pPr>
      <w:r>
        <w:rPr>
          <w:b/>
          <w:bCs/>
          <w:color w:val="auto"/>
          <w:highlight w:val="none"/>
        </w:rPr>
        <w:t>17.3.6</w:t>
      </w:r>
      <w:r>
        <w:rPr>
          <w:rFonts w:hint="eastAsia"/>
          <w:b/>
          <w:bCs/>
          <w:color w:val="auto"/>
          <w:highlight w:val="none"/>
        </w:rPr>
        <w:t>工程进度付款的结算原则</w:t>
      </w:r>
    </w:p>
    <w:p>
      <w:pPr>
        <w:adjustRightInd w:val="0"/>
        <w:snapToGrid w:val="0"/>
        <w:spacing w:line="360" w:lineRule="auto"/>
        <w:ind w:firstLine="540"/>
        <w:rPr>
          <w:color w:val="auto"/>
          <w:highlight w:val="none"/>
        </w:rPr>
      </w:pPr>
      <w:r>
        <w:rPr>
          <w:rFonts w:hint="eastAsia"/>
          <w:color w:val="auto"/>
          <w:highlight w:val="none"/>
        </w:rPr>
        <w:t>工程进度付款的结算原则：</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r>
        <w:rPr>
          <w:rStyle w:val="249"/>
          <w:rFonts w:hint="eastAsia"/>
          <w:color w:val="auto"/>
          <w:highlight w:val="none"/>
          <w:u w:val="none"/>
        </w:rPr>
        <w:t>。</w:t>
      </w:r>
    </w:p>
    <w:p>
      <w:pPr>
        <w:pStyle w:val="245"/>
        <w:shd w:val="clear" w:color="auto" w:fill="auto"/>
        <w:adjustRightInd w:val="0"/>
        <w:snapToGrid w:val="0"/>
        <w:spacing w:line="360" w:lineRule="auto"/>
        <w:jc w:val="left"/>
        <w:rPr>
          <w:rStyle w:val="238"/>
          <w:rFonts w:ascii="宋体" w:hAnsi="宋体" w:eastAsia="宋体"/>
          <w:color w:val="auto"/>
          <w:highlight w:val="none"/>
        </w:rPr>
      </w:pPr>
    </w:p>
    <w:p>
      <w:pPr>
        <w:adjustRightInd w:val="0"/>
        <w:snapToGrid w:val="0"/>
        <w:spacing w:line="360" w:lineRule="auto"/>
        <w:rPr>
          <w:b/>
          <w:bCs/>
          <w:color w:val="auto"/>
          <w:highlight w:val="none"/>
        </w:rPr>
      </w:pPr>
      <w:r>
        <w:rPr>
          <w:b/>
          <w:bCs/>
          <w:color w:val="auto"/>
          <w:highlight w:val="none"/>
        </w:rPr>
        <w:t>17.4</w:t>
      </w:r>
      <w:r>
        <w:rPr>
          <w:rFonts w:hint="eastAsia"/>
          <w:b/>
          <w:bCs/>
          <w:color w:val="auto"/>
          <w:highlight w:val="none"/>
        </w:rPr>
        <w:t>质量保证金</w:t>
      </w:r>
    </w:p>
    <w:p>
      <w:pPr>
        <w:adjustRightInd w:val="0"/>
        <w:snapToGrid w:val="0"/>
        <w:spacing w:line="360" w:lineRule="auto"/>
        <w:ind w:left="540"/>
        <w:rPr>
          <w:rStyle w:val="249"/>
          <w:rFonts w:ascii="宋体" w:hAnsi="宋体" w:eastAsia="宋体"/>
          <w:color w:val="auto"/>
          <w:highlight w:val="none"/>
        </w:rPr>
      </w:pPr>
      <w:r>
        <w:rPr>
          <w:rFonts w:hint="eastAsia"/>
          <w:color w:val="auto"/>
          <w:highlight w:val="none"/>
        </w:rPr>
        <w:t>第</w:t>
      </w:r>
      <w:r>
        <w:rPr>
          <w:rStyle w:val="238"/>
          <w:rFonts w:ascii="宋体" w:hAnsi="宋体" w:eastAsia="宋体"/>
          <w:color w:val="auto"/>
          <w:sz w:val="22"/>
          <w:highlight w:val="none"/>
        </w:rPr>
        <w:t>17.4.1</w:t>
      </w:r>
      <w:r>
        <w:rPr>
          <w:rFonts w:hint="eastAsia"/>
          <w:color w:val="auto"/>
          <w:highlight w:val="none"/>
        </w:rPr>
        <w:t>项补充：</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r>
        <w:rPr>
          <w:rStyle w:val="249"/>
          <w:rFonts w:hint="eastAsia"/>
          <w:color w:val="auto"/>
          <w:highlight w:val="none"/>
          <w:u w:val="none"/>
        </w:rPr>
        <w:t>。</w:t>
      </w:r>
    </w:p>
    <w:p>
      <w:pPr>
        <w:adjustRightInd w:val="0"/>
        <w:snapToGrid w:val="0"/>
        <w:spacing w:line="360" w:lineRule="auto"/>
        <w:ind w:left="540"/>
        <w:rPr>
          <w:color w:val="auto"/>
          <w:highlight w:val="none"/>
        </w:rPr>
      </w:pPr>
      <w:r>
        <w:rPr>
          <w:rFonts w:hint="eastAsia"/>
          <w:color w:val="auto"/>
          <w:highlight w:val="none"/>
        </w:rPr>
        <w:t>第</w:t>
      </w:r>
      <w:r>
        <w:rPr>
          <w:rStyle w:val="238"/>
          <w:rFonts w:ascii="宋体" w:hAnsi="宋体" w:eastAsia="宋体"/>
          <w:color w:val="auto"/>
          <w:sz w:val="22"/>
          <w:highlight w:val="none"/>
        </w:rPr>
        <w:t>17.4.2</w:t>
      </w:r>
      <w:r>
        <w:rPr>
          <w:rFonts w:hint="eastAsia"/>
          <w:color w:val="auto"/>
          <w:highlight w:val="none"/>
        </w:rPr>
        <w:t>项细化为：</w:t>
      </w:r>
    </w:p>
    <w:p>
      <w:pPr>
        <w:adjustRightInd w:val="0"/>
        <w:snapToGrid w:val="0"/>
        <w:spacing w:line="360" w:lineRule="auto"/>
        <w:ind w:firstLine="540"/>
        <w:rPr>
          <w:color w:val="auto"/>
          <w:highlight w:val="none"/>
        </w:rPr>
      </w:pPr>
      <w:r>
        <w:rPr>
          <w:rFonts w:hint="eastAsia"/>
          <w:color w:val="auto"/>
          <w:highlight w:val="none"/>
        </w:rPr>
        <w:t>在第</w:t>
      </w:r>
      <w:r>
        <w:rPr>
          <w:rStyle w:val="238"/>
          <w:rFonts w:ascii="宋体" w:hAnsi="宋体" w:eastAsia="宋体"/>
          <w:color w:val="auto"/>
          <w:sz w:val="22"/>
          <w:highlight w:val="none"/>
        </w:rPr>
        <w:t>1.1.4.5</w:t>
      </w:r>
      <w:r>
        <w:rPr>
          <w:rFonts w:hint="eastAsia"/>
          <w:color w:val="auto"/>
          <w:highlight w:val="none"/>
        </w:rPr>
        <w:t>目约定的缺陷责任期满后，承包人向发包人申请到期应返还承包人剩余的质暈保证金金额，发包人应会同承包人按照合同约定的内容核实承包人是否完成缺陷责任和依据审计结论（如有）核实承包人是否返还需承包人返还的工程款。如无异议，发包人应当在核实后将剩余质量保证金返还承包人。</w:t>
      </w:r>
    </w:p>
    <w:p>
      <w:pPr>
        <w:adjustRightInd w:val="0"/>
        <w:snapToGrid w:val="0"/>
        <w:spacing w:line="360" w:lineRule="auto"/>
        <w:ind w:firstLine="520"/>
        <w:rPr>
          <w:color w:val="auto"/>
          <w:highlight w:val="none"/>
        </w:rPr>
      </w:pPr>
      <w:r>
        <w:rPr>
          <w:rFonts w:hint="eastAsia"/>
          <w:color w:val="auto"/>
          <w:highlight w:val="none"/>
        </w:rPr>
        <w:t>第</w:t>
      </w:r>
      <w:r>
        <w:rPr>
          <w:rFonts w:hint="eastAsia"/>
          <w:color w:val="auto"/>
          <w:highlight w:val="none"/>
          <w:lang w:bidi="en-US"/>
        </w:rPr>
        <w:t>17.4.3</w:t>
      </w:r>
      <w:r>
        <w:rPr>
          <w:rFonts w:hint="eastAsia"/>
          <w:color w:val="auto"/>
          <w:highlight w:val="none"/>
        </w:rPr>
        <w:t>项细化为：</w:t>
      </w:r>
    </w:p>
    <w:p>
      <w:pPr>
        <w:adjustRightInd w:val="0"/>
        <w:snapToGrid w:val="0"/>
        <w:spacing w:line="360" w:lineRule="auto"/>
        <w:ind w:firstLine="520"/>
        <w:rPr>
          <w:color w:val="auto"/>
          <w:highlight w:val="none"/>
        </w:rPr>
      </w:pPr>
      <w:r>
        <w:rPr>
          <w:rFonts w:hint="eastAsia"/>
          <w:color w:val="auto"/>
          <w:highlight w:val="none"/>
        </w:rPr>
        <w:t>在第</w:t>
      </w:r>
      <w:r>
        <w:rPr>
          <w:rFonts w:hint="eastAsia"/>
          <w:color w:val="auto"/>
          <w:highlight w:val="none"/>
          <w:lang w:bidi="en-US"/>
        </w:rPr>
        <w:t>1.1.4.5</w:t>
      </w:r>
      <w:r>
        <w:rPr>
          <w:rFonts w:hint="eastAsia"/>
          <w:color w:val="auto"/>
          <w:highlight w:val="none"/>
        </w:rPr>
        <w:t>目约定的缺陷责任期满时，承包人没有完成缺陷责任的，发包人有权扣留</w:t>
      </w:r>
      <w:r>
        <w:rPr>
          <w:rFonts w:hint="eastAsia"/>
          <w:color w:val="auto"/>
          <w:highlight w:val="none"/>
          <w:lang w:bidi="en-US"/>
        </w:rPr>
        <w:t>（</w:t>
      </w:r>
      <w:r>
        <w:rPr>
          <w:rFonts w:hint="eastAsia"/>
          <w:color w:val="auto"/>
          <w:highlight w:val="none"/>
        </w:rPr>
        <w:t>或动用承包人的质量保证金保函）与未履行责任</w:t>
      </w:r>
      <w:r>
        <w:rPr>
          <w:rFonts w:hint="eastAsia"/>
          <w:color w:val="auto"/>
          <w:highlight w:val="none"/>
          <w:lang w:val="en-US"/>
        </w:rPr>
        <w:t>剩余</w:t>
      </w:r>
      <w:r>
        <w:rPr>
          <w:rFonts w:hint="eastAsia"/>
          <w:color w:val="auto"/>
          <w:highlight w:val="none"/>
        </w:rPr>
        <w:t>工作所需金额相应的质量保证金余额，并有权根据第</w:t>
      </w:r>
      <w:r>
        <w:rPr>
          <w:rFonts w:hint="eastAsia"/>
          <w:color w:val="auto"/>
          <w:highlight w:val="none"/>
          <w:lang w:bidi="en-US"/>
        </w:rPr>
        <w:t>19.3</w:t>
      </w:r>
      <w:r>
        <w:rPr>
          <w:rFonts w:hint="eastAsia"/>
          <w:color w:val="auto"/>
          <w:highlight w:val="none"/>
        </w:rPr>
        <w:t>款约定要求延长缺陷责任期，直至完成剩余工作为止。</w:t>
      </w:r>
    </w:p>
    <w:p>
      <w:pPr>
        <w:adjustRightInd w:val="0"/>
        <w:snapToGrid w:val="0"/>
        <w:spacing w:line="360" w:lineRule="auto"/>
        <w:ind w:firstLine="520"/>
        <w:rPr>
          <w:color w:val="auto"/>
          <w:highlight w:val="none"/>
        </w:rPr>
      </w:pPr>
      <w:r>
        <w:rPr>
          <w:rFonts w:hint="eastAsia"/>
          <w:color w:val="auto"/>
          <w:highlight w:val="none"/>
        </w:rPr>
        <w:t>依据审计结论（如有）需承包人返还工程款时，承包人应按发包人要求的时限及时返还，否则，发包人有权扣减</w:t>
      </w:r>
      <w:r>
        <w:rPr>
          <w:rFonts w:hint="eastAsia"/>
          <w:color w:val="auto"/>
          <w:highlight w:val="none"/>
          <w:lang w:bidi="en-US"/>
        </w:rPr>
        <w:t>（</w:t>
      </w:r>
      <w:r>
        <w:rPr>
          <w:rFonts w:hint="eastAsia"/>
          <w:color w:val="auto"/>
          <w:highlight w:val="none"/>
        </w:rPr>
        <w:t>或动用承包人的质量保证金保函）相应的质量保证金予以抵扣。</w:t>
      </w:r>
    </w:p>
    <w:p>
      <w:pPr>
        <w:pStyle w:val="241"/>
        <w:keepNext/>
        <w:keepLines/>
        <w:shd w:val="clear" w:color="auto" w:fill="auto"/>
        <w:tabs>
          <w:tab w:val="left" w:pos="498"/>
        </w:tabs>
        <w:adjustRightInd w:val="0"/>
        <w:snapToGrid w:val="0"/>
        <w:spacing w:before="0" w:line="360" w:lineRule="auto"/>
        <w:ind w:firstLine="0"/>
        <w:outlineLvl w:val="2"/>
        <w:rPr>
          <w:rFonts w:ascii="宋体" w:hAnsi="宋体" w:eastAsia="宋体"/>
          <w:color w:val="auto"/>
          <w:sz w:val="22"/>
          <w:szCs w:val="22"/>
          <w:highlight w:val="none"/>
        </w:rPr>
      </w:pPr>
      <w:bookmarkStart w:id="3716" w:name="bookmark45"/>
    </w:p>
    <w:p>
      <w:pPr>
        <w:adjustRightInd w:val="0"/>
        <w:snapToGrid w:val="0"/>
        <w:spacing w:line="360" w:lineRule="auto"/>
        <w:outlineLvl w:val="2"/>
        <w:rPr>
          <w:b/>
          <w:bCs/>
          <w:color w:val="auto"/>
          <w:highlight w:val="none"/>
          <w:lang w:val="en-US"/>
        </w:rPr>
      </w:pPr>
      <w:bookmarkStart w:id="3717" w:name="_Toc11962"/>
      <w:bookmarkStart w:id="3718" w:name="_Toc8399"/>
      <w:bookmarkStart w:id="3719" w:name="_Toc29323"/>
      <w:bookmarkStart w:id="3720" w:name="_Toc25037"/>
      <w:bookmarkStart w:id="3721" w:name="_Toc23638"/>
      <w:bookmarkStart w:id="3722" w:name="_Toc21873"/>
      <w:bookmarkStart w:id="3723" w:name="_Toc7008"/>
      <w:bookmarkStart w:id="3724" w:name="_Toc32390"/>
      <w:bookmarkStart w:id="3725" w:name="_Toc14810"/>
      <w:bookmarkStart w:id="3726" w:name="_Toc19737"/>
      <w:bookmarkStart w:id="3727" w:name="_Toc5788"/>
      <w:bookmarkStart w:id="3728" w:name="_Toc26079"/>
      <w:bookmarkStart w:id="3729" w:name="_Toc15678"/>
      <w:bookmarkStart w:id="3730" w:name="_Toc26544"/>
      <w:bookmarkStart w:id="3731" w:name="_Toc32377"/>
      <w:bookmarkStart w:id="3732" w:name="_Toc15013"/>
      <w:bookmarkStart w:id="3733" w:name="_Toc27592"/>
      <w:bookmarkStart w:id="3734" w:name="_Toc6425"/>
      <w:bookmarkStart w:id="3735" w:name="_Toc7951"/>
      <w:bookmarkStart w:id="3736" w:name="_Toc589"/>
      <w:bookmarkStart w:id="3737" w:name="_Toc4055"/>
      <w:r>
        <w:rPr>
          <w:rFonts w:hint="eastAsia"/>
          <w:b/>
          <w:bCs/>
          <w:color w:val="auto"/>
          <w:highlight w:val="none"/>
          <w:lang w:val="en-US"/>
        </w:rPr>
        <w:t>18.交工验收</w:t>
      </w:r>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p>
    <w:p>
      <w:pPr>
        <w:adjustRightInd w:val="0"/>
        <w:snapToGrid w:val="0"/>
        <w:spacing w:line="360" w:lineRule="auto"/>
        <w:rPr>
          <w:b/>
          <w:bCs/>
          <w:color w:val="auto"/>
          <w:highlight w:val="none"/>
          <w:lang w:val="en-US"/>
        </w:rPr>
      </w:pPr>
      <w:bookmarkStart w:id="3738" w:name="_Toc24988"/>
      <w:bookmarkStart w:id="3739" w:name="_Toc16272"/>
      <w:bookmarkStart w:id="3740" w:name="_Toc24251"/>
      <w:bookmarkStart w:id="3741" w:name="_Toc2451"/>
      <w:bookmarkStart w:id="3742" w:name="_Toc2191"/>
      <w:bookmarkStart w:id="3743" w:name="_Toc1210"/>
      <w:bookmarkStart w:id="3744" w:name="_Toc3884"/>
      <w:bookmarkStart w:id="3745" w:name="_Toc3097"/>
      <w:bookmarkStart w:id="3746" w:name="_Toc16326"/>
      <w:bookmarkStart w:id="3747" w:name="_Toc29452"/>
      <w:bookmarkStart w:id="3748" w:name="_Toc29327"/>
      <w:r>
        <w:rPr>
          <w:rFonts w:hint="eastAsia"/>
          <w:b/>
          <w:bCs/>
          <w:color w:val="auto"/>
          <w:highlight w:val="none"/>
          <w:lang w:val="en-US"/>
        </w:rPr>
        <w:t>18.3</w:t>
      </w:r>
      <w:r>
        <w:rPr>
          <w:b/>
          <w:bCs/>
          <w:color w:val="auto"/>
          <w:highlight w:val="none"/>
          <w:lang w:val="en-US"/>
        </w:rPr>
        <w:t>验收</w:t>
      </w:r>
      <w:bookmarkEnd w:id="3738"/>
      <w:bookmarkEnd w:id="3739"/>
      <w:bookmarkEnd w:id="3740"/>
      <w:bookmarkEnd w:id="3741"/>
      <w:bookmarkEnd w:id="3742"/>
      <w:bookmarkEnd w:id="3743"/>
      <w:bookmarkEnd w:id="3744"/>
      <w:bookmarkEnd w:id="3745"/>
      <w:bookmarkEnd w:id="3746"/>
      <w:bookmarkEnd w:id="3747"/>
      <w:bookmarkEnd w:id="3748"/>
    </w:p>
    <w:p>
      <w:pPr>
        <w:adjustRightInd w:val="0"/>
        <w:snapToGrid w:val="0"/>
        <w:spacing w:line="360" w:lineRule="auto"/>
        <w:ind w:firstLine="520"/>
        <w:rPr>
          <w:color w:val="auto"/>
          <w:highlight w:val="none"/>
        </w:rPr>
      </w:pPr>
      <w:r>
        <w:rPr>
          <w:rFonts w:hint="eastAsia"/>
          <w:color w:val="auto"/>
          <w:highlight w:val="none"/>
        </w:rPr>
        <w:t>本款补充第</w:t>
      </w:r>
      <w:r>
        <w:rPr>
          <w:rFonts w:hint="eastAsia"/>
          <w:color w:val="auto"/>
          <w:highlight w:val="none"/>
          <w:lang w:bidi="en-US"/>
        </w:rPr>
        <w:t>18.3.8</w:t>
      </w:r>
      <w:r>
        <w:rPr>
          <w:rFonts w:hint="eastAsia"/>
          <w:color w:val="auto"/>
          <w:highlight w:val="none"/>
        </w:rPr>
        <w:t>项：</w:t>
      </w:r>
    </w:p>
    <w:p>
      <w:pPr>
        <w:tabs>
          <w:tab w:val="left" w:pos="1197"/>
        </w:tabs>
        <w:adjustRightInd w:val="0"/>
        <w:snapToGrid w:val="0"/>
        <w:spacing w:line="360" w:lineRule="auto"/>
        <w:ind w:firstLine="550" w:firstLineChars="250"/>
        <w:rPr>
          <w:color w:val="auto"/>
          <w:highlight w:val="none"/>
        </w:rPr>
      </w:pPr>
      <w:r>
        <w:rPr>
          <w:rFonts w:hint="eastAsia"/>
          <w:color w:val="auto"/>
          <w:highlight w:val="none"/>
          <w:lang w:bidi="en-US"/>
        </w:rPr>
        <w:t>（1）</w:t>
      </w:r>
      <w:r>
        <w:rPr>
          <w:rFonts w:hint="eastAsia"/>
          <w:color w:val="auto"/>
          <w:highlight w:val="none"/>
        </w:rPr>
        <w:t>工程交工时，承包人应按《公路工程竣（交）工验收办法》（交通部2004年3号令）、《公路工程竣（交）工验收办法实施细则》（交公路发〔2010〕65号）和发包人有关</w:t>
      </w:r>
      <w:r>
        <w:rPr>
          <w:rFonts w:hint="eastAsia"/>
          <w:color w:val="auto"/>
          <w:highlight w:val="none"/>
          <w:lang w:val="en-US"/>
        </w:rPr>
        <w:t>工程</w:t>
      </w:r>
      <w:r>
        <w:rPr>
          <w:rFonts w:hint="eastAsia"/>
          <w:color w:val="auto"/>
          <w:highlight w:val="none"/>
        </w:rPr>
        <w:t>验收的规定准备技术档案、竣工资料，并在进行初验的基础上，向发包人正式提出经监理人和总监代表签证的交工报告。</w:t>
      </w:r>
    </w:p>
    <w:p>
      <w:pPr>
        <w:adjustRightInd w:val="0"/>
        <w:snapToGrid w:val="0"/>
        <w:spacing w:line="360" w:lineRule="auto"/>
        <w:ind w:firstLine="550" w:firstLineChars="250"/>
        <w:rPr>
          <w:color w:val="auto"/>
          <w:highlight w:val="none"/>
        </w:rPr>
      </w:pPr>
      <w:r>
        <w:rPr>
          <w:rFonts w:hint="eastAsia"/>
          <w:color w:val="auto"/>
          <w:highlight w:val="none"/>
          <w:lang w:bidi="en-US"/>
        </w:rPr>
        <w:t>（2）</w:t>
      </w:r>
      <w:r>
        <w:rPr>
          <w:rFonts w:hint="eastAsia"/>
          <w:color w:val="auto"/>
          <w:highlight w:val="none"/>
        </w:rPr>
        <w:t>发包人在收到完工报告后会同有关部门组织检查验收并交付使用。</w:t>
      </w:r>
    </w:p>
    <w:p>
      <w:pPr>
        <w:tabs>
          <w:tab w:val="left" w:pos="775"/>
        </w:tabs>
        <w:adjustRightInd w:val="0"/>
        <w:snapToGrid w:val="0"/>
        <w:spacing w:line="360" w:lineRule="auto"/>
        <w:ind w:firstLine="550" w:firstLineChars="250"/>
        <w:rPr>
          <w:color w:val="auto"/>
          <w:highlight w:val="none"/>
        </w:rPr>
      </w:pPr>
      <w:r>
        <w:rPr>
          <w:rFonts w:hint="eastAsia"/>
          <w:color w:val="auto"/>
          <w:highlight w:val="none"/>
          <w:lang w:bidi="en-US"/>
        </w:rPr>
        <w:t>（3）</w:t>
      </w:r>
      <w:r>
        <w:rPr>
          <w:rFonts w:hint="eastAsia"/>
          <w:color w:val="auto"/>
          <w:highlight w:val="none"/>
        </w:rPr>
        <w:t>工程交验后，承包人应按发包人的要求向发包人移交全部符合档案管理要求的技术档案及技术资料。</w:t>
      </w:r>
    </w:p>
    <w:p>
      <w:pPr>
        <w:pStyle w:val="241"/>
        <w:keepNext/>
        <w:keepLines/>
        <w:shd w:val="clear" w:color="auto" w:fill="auto"/>
        <w:tabs>
          <w:tab w:val="left" w:pos="498"/>
        </w:tabs>
        <w:adjustRightInd w:val="0"/>
        <w:snapToGrid w:val="0"/>
        <w:spacing w:before="0" w:line="360" w:lineRule="auto"/>
        <w:ind w:firstLine="0"/>
        <w:outlineLvl w:val="2"/>
        <w:rPr>
          <w:rFonts w:ascii="宋体" w:hAnsi="宋体" w:eastAsia="宋体"/>
          <w:b/>
          <w:bCs/>
          <w:color w:val="auto"/>
          <w:sz w:val="22"/>
          <w:szCs w:val="22"/>
          <w:highlight w:val="none"/>
        </w:rPr>
      </w:pPr>
      <w:bookmarkStart w:id="3749" w:name="bookmark46"/>
    </w:p>
    <w:p>
      <w:pPr>
        <w:adjustRightInd w:val="0"/>
        <w:snapToGrid w:val="0"/>
        <w:spacing w:line="360" w:lineRule="auto"/>
        <w:outlineLvl w:val="2"/>
        <w:rPr>
          <w:b/>
          <w:bCs/>
          <w:color w:val="auto"/>
          <w:highlight w:val="none"/>
          <w:lang w:val="en-US"/>
        </w:rPr>
      </w:pPr>
      <w:bookmarkStart w:id="3750" w:name="_Toc31882"/>
      <w:bookmarkStart w:id="3751" w:name="_Toc16511"/>
      <w:bookmarkStart w:id="3752" w:name="_Toc19902"/>
      <w:bookmarkStart w:id="3753" w:name="_Toc9277"/>
      <w:bookmarkStart w:id="3754" w:name="_Toc4468"/>
      <w:bookmarkStart w:id="3755" w:name="_Toc349"/>
      <w:bookmarkStart w:id="3756" w:name="_Toc16258"/>
      <w:bookmarkStart w:id="3757" w:name="_Toc24263"/>
      <w:bookmarkStart w:id="3758" w:name="_Toc22723"/>
      <w:bookmarkStart w:id="3759" w:name="_Toc19189"/>
      <w:bookmarkStart w:id="3760" w:name="_Toc18588"/>
      <w:bookmarkStart w:id="3761" w:name="_Toc27664"/>
      <w:bookmarkStart w:id="3762" w:name="_Toc26638"/>
      <w:bookmarkStart w:id="3763" w:name="_Toc7870"/>
      <w:bookmarkStart w:id="3764" w:name="_Toc25907"/>
      <w:bookmarkStart w:id="3765" w:name="_Toc12679"/>
      <w:bookmarkStart w:id="3766" w:name="_Toc187"/>
      <w:bookmarkStart w:id="3767" w:name="_Toc26936"/>
      <w:bookmarkStart w:id="3768" w:name="_Toc25480"/>
      <w:bookmarkStart w:id="3769" w:name="_Toc26521"/>
      <w:bookmarkStart w:id="3770" w:name="_Toc12479"/>
      <w:r>
        <w:rPr>
          <w:rFonts w:hint="eastAsia"/>
          <w:b/>
          <w:bCs/>
          <w:color w:val="auto"/>
          <w:highlight w:val="none"/>
          <w:lang w:val="en-US"/>
        </w:rPr>
        <w:t>19.缺陷责任与保修责任</w:t>
      </w:r>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p>
    <w:p>
      <w:pPr>
        <w:adjustRightInd w:val="0"/>
        <w:snapToGrid w:val="0"/>
        <w:spacing w:line="360" w:lineRule="auto"/>
        <w:rPr>
          <w:b/>
          <w:bCs/>
          <w:color w:val="auto"/>
          <w:highlight w:val="none"/>
          <w:lang w:val="en-US"/>
        </w:rPr>
      </w:pPr>
      <w:bookmarkStart w:id="3771" w:name="_Toc1215"/>
      <w:bookmarkStart w:id="3772" w:name="_Toc32240"/>
      <w:bookmarkStart w:id="3773" w:name="_Toc3639"/>
      <w:bookmarkStart w:id="3774" w:name="_Toc6656"/>
      <w:bookmarkStart w:id="3775" w:name="_Toc23739"/>
      <w:bookmarkStart w:id="3776" w:name="_Toc17981"/>
      <w:bookmarkStart w:id="3777" w:name="_Toc12762"/>
      <w:bookmarkStart w:id="3778" w:name="_Toc9942"/>
      <w:bookmarkStart w:id="3779" w:name="_Toc29074"/>
      <w:r>
        <w:rPr>
          <w:b/>
          <w:bCs/>
          <w:color w:val="auto"/>
          <w:highlight w:val="none"/>
          <w:lang w:val="en-US"/>
        </w:rPr>
        <w:t>19.2</w:t>
      </w:r>
      <w:r>
        <w:rPr>
          <w:rFonts w:hint="eastAsia"/>
          <w:b/>
          <w:bCs/>
          <w:color w:val="auto"/>
          <w:highlight w:val="none"/>
          <w:lang w:val="en-US"/>
        </w:rPr>
        <w:t>缺陷责任</w:t>
      </w:r>
      <w:bookmarkEnd w:id="3771"/>
      <w:bookmarkEnd w:id="3772"/>
      <w:bookmarkEnd w:id="3773"/>
      <w:bookmarkEnd w:id="3774"/>
      <w:bookmarkEnd w:id="3775"/>
      <w:bookmarkEnd w:id="3776"/>
      <w:bookmarkEnd w:id="3777"/>
      <w:bookmarkEnd w:id="3778"/>
      <w:bookmarkEnd w:id="3779"/>
    </w:p>
    <w:p>
      <w:pPr>
        <w:adjustRightInd w:val="0"/>
        <w:snapToGrid w:val="0"/>
        <w:spacing w:line="360" w:lineRule="auto"/>
        <w:ind w:firstLine="520"/>
        <w:rPr>
          <w:color w:val="auto"/>
          <w:highlight w:val="none"/>
        </w:rPr>
      </w:pPr>
      <w:r>
        <w:rPr>
          <w:rFonts w:hint="eastAsia"/>
          <w:color w:val="auto"/>
          <w:highlight w:val="none"/>
        </w:rPr>
        <w:t>本款补充第</w:t>
      </w:r>
      <w:r>
        <w:rPr>
          <w:rFonts w:hint="eastAsia"/>
          <w:color w:val="auto"/>
          <w:highlight w:val="none"/>
          <w:lang w:eastAsia="en-US" w:bidi="en-US"/>
        </w:rPr>
        <w:t>19.2.5</w:t>
      </w:r>
      <w:r>
        <w:rPr>
          <w:rFonts w:hint="eastAsia"/>
          <w:color w:val="auto"/>
          <w:highlight w:val="none"/>
        </w:rPr>
        <w:t>项：</w:t>
      </w:r>
    </w:p>
    <w:p>
      <w:pPr>
        <w:adjustRightInd w:val="0"/>
        <w:snapToGrid w:val="0"/>
        <w:spacing w:line="360" w:lineRule="auto"/>
        <w:ind w:firstLine="520"/>
        <w:rPr>
          <w:color w:val="auto"/>
          <w:highlight w:val="none"/>
        </w:rPr>
      </w:pPr>
      <w:r>
        <w:rPr>
          <w:rFonts w:hint="eastAsia"/>
          <w:color w:val="auto"/>
          <w:highlight w:val="none"/>
          <w:lang w:bidi="en-US"/>
        </w:rPr>
        <w:t>19.2.5</w:t>
      </w:r>
      <w:r>
        <w:rPr>
          <w:rFonts w:hint="eastAsia"/>
          <w:color w:val="auto"/>
          <w:highlight w:val="none"/>
        </w:rPr>
        <w:t>承包人应在缺陷责任期内安排专人负责缺陷责任期的管理工作，并确保在接到发包人要求处理有关缺陷事项的通知后24小时内到达现场，到达现场后在发包人限定的期限内采取有效措施解决工程遗留的缺陷或其它问题。承包人未履行本款规定的缺陷责任义务，将按照</w:t>
      </w:r>
      <w:r>
        <w:rPr>
          <w:rStyle w:val="239"/>
          <w:rFonts w:hint="eastAsia" w:ascii="宋体" w:hAnsi="宋体" w:eastAsia="宋体"/>
          <w:color w:val="auto"/>
          <w:sz w:val="22"/>
          <w:szCs w:val="22"/>
          <w:highlight w:val="none"/>
          <w:lang w:eastAsia="zh-CN"/>
        </w:rPr>
        <w:t>22.1</w:t>
      </w:r>
      <w:r>
        <w:rPr>
          <w:rFonts w:hint="eastAsia"/>
          <w:color w:val="auto"/>
          <w:highlight w:val="none"/>
        </w:rPr>
        <w:t>款承包人违约处理。</w:t>
      </w:r>
    </w:p>
    <w:p>
      <w:pPr>
        <w:pStyle w:val="241"/>
        <w:keepNext/>
        <w:keepLines/>
        <w:shd w:val="clear" w:color="auto" w:fill="auto"/>
        <w:tabs>
          <w:tab w:val="left" w:pos="522"/>
        </w:tabs>
        <w:adjustRightInd w:val="0"/>
        <w:snapToGrid w:val="0"/>
        <w:spacing w:before="0" w:line="360" w:lineRule="auto"/>
        <w:ind w:firstLine="0"/>
        <w:outlineLvl w:val="2"/>
        <w:rPr>
          <w:rFonts w:ascii="宋体" w:hAnsi="宋体" w:eastAsia="宋体"/>
          <w:color w:val="auto"/>
          <w:sz w:val="22"/>
          <w:szCs w:val="22"/>
          <w:highlight w:val="none"/>
        </w:rPr>
      </w:pPr>
      <w:bookmarkStart w:id="3780" w:name="bookmark47"/>
    </w:p>
    <w:p>
      <w:pPr>
        <w:adjustRightInd w:val="0"/>
        <w:snapToGrid w:val="0"/>
        <w:spacing w:line="360" w:lineRule="auto"/>
        <w:outlineLvl w:val="2"/>
        <w:rPr>
          <w:b/>
          <w:bCs/>
          <w:color w:val="auto"/>
          <w:highlight w:val="none"/>
          <w:lang w:val="en-US"/>
        </w:rPr>
      </w:pPr>
      <w:bookmarkStart w:id="3781" w:name="_Toc8095"/>
      <w:bookmarkStart w:id="3782" w:name="_Toc12552"/>
      <w:bookmarkStart w:id="3783" w:name="_Toc32579"/>
      <w:bookmarkStart w:id="3784" w:name="_Toc24390"/>
      <w:bookmarkStart w:id="3785" w:name="_Toc5947"/>
      <w:bookmarkStart w:id="3786" w:name="_Toc5768"/>
      <w:bookmarkStart w:id="3787" w:name="_Toc10364"/>
      <w:bookmarkStart w:id="3788" w:name="_Toc5981"/>
      <w:bookmarkStart w:id="3789" w:name="_Toc5477"/>
      <w:bookmarkStart w:id="3790" w:name="_Toc29646"/>
      <w:bookmarkStart w:id="3791" w:name="_Toc2289"/>
      <w:bookmarkStart w:id="3792" w:name="_Toc28673"/>
      <w:bookmarkStart w:id="3793" w:name="_Toc11469"/>
      <w:bookmarkStart w:id="3794" w:name="_Toc11897"/>
      <w:bookmarkStart w:id="3795" w:name="_Toc18171"/>
      <w:bookmarkStart w:id="3796" w:name="_Toc22644"/>
      <w:bookmarkStart w:id="3797" w:name="_Toc10446"/>
      <w:bookmarkStart w:id="3798" w:name="_Toc17338"/>
      <w:bookmarkStart w:id="3799" w:name="_Toc14441"/>
      <w:bookmarkStart w:id="3800" w:name="_Toc12992"/>
      <w:bookmarkStart w:id="3801" w:name="_Toc20794"/>
      <w:r>
        <w:rPr>
          <w:rFonts w:hint="eastAsia"/>
          <w:b/>
          <w:bCs/>
          <w:color w:val="auto"/>
          <w:highlight w:val="none"/>
          <w:lang w:val="en-US"/>
        </w:rPr>
        <w:t>20.保险</w:t>
      </w:r>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p>
    <w:p>
      <w:pPr>
        <w:adjustRightInd w:val="0"/>
        <w:snapToGrid w:val="0"/>
        <w:spacing w:line="360" w:lineRule="auto"/>
        <w:rPr>
          <w:b/>
          <w:bCs/>
          <w:color w:val="auto"/>
          <w:highlight w:val="none"/>
        </w:rPr>
      </w:pPr>
      <w:bookmarkStart w:id="3802" w:name="_Toc26589"/>
      <w:bookmarkStart w:id="3803" w:name="_Toc291"/>
      <w:bookmarkStart w:id="3804" w:name="_Toc12604"/>
      <w:bookmarkStart w:id="3805" w:name="_Toc20159"/>
      <w:bookmarkStart w:id="3806" w:name="_Toc14268"/>
      <w:bookmarkStart w:id="3807" w:name="_Toc14561"/>
      <w:bookmarkStart w:id="3808" w:name="_Toc15625"/>
      <w:bookmarkStart w:id="3809" w:name="_Toc20571"/>
      <w:bookmarkStart w:id="3810" w:name="_Toc29556"/>
      <w:bookmarkStart w:id="3811" w:name="bookmark48"/>
      <w:bookmarkStart w:id="3812" w:name="_Toc4638"/>
      <w:bookmarkStart w:id="3813" w:name="_Toc6451"/>
      <w:r>
        <w:rPr>
          <w:rFonts w:hint="eastAsia"/>
          <w:b/>
          <w:bCs/>
          <w:color w:val="auto"/>
          <w:highlight w:val="none"/>
        </w:rPr>
        <w:t>20.1工程保险</w:t>
      </w:r>
      <w:bookmarkEnd w:id="3802"/>
      <w:bookmarkEnd w:id="3803"/>
      <w:bookmarkEnd w:id="3804"/>
      <w:bookmarkEnd w:id="3805"/>
      <w:bookmarkEnd w:id="3806"/>
      <w:bookmarkEnd w:id="3807"/>
      <w:bookmarkEnd w:id="3808"/>
      <w:bookmarkEnd w:id="3809"/>
      <w:bookmarkEnd w:id="3810"/>
      <w:bookmarkEnd w:id="3811"/>
      <w:bookmarkEnd w:id="3812"/>
      <w:bookmarkEnd w:id="3813"/>
    </w:p>
    <w:p>
      <w:pPr>
        <w:adjustRightInd w:val="0"/>
        <w:snapToGrid w:val="0"/>
        <w:spacing w:line="360" w:lineRule="auto"/>
        <w:ind w:firstLine="520"/>
        <w:rPr>
          <w:color w:val="auto"/>
          <w:highlight w:val="none"/>
        </w:rPr>
      </w:pPr>
      <w:r>
        <w:rPr>
          <w:rFonts w:hint="eastAsia"/>
          <w:color w:val="auto"/>
          <w:highlight w:val="none"/>
        </w:rPr>
        <w:t>本款约定为：</w:t>
      </w:r>
      <w:r>
        <w:rPr>
          <w:rStyle w:val="248"/>
          <w:rFonts w:ascii="宋体" w:hAnsi="宋体" w:eastAsia="宋体"/>
          <w:color w:val="auto"/>
          <w:highlight w:val="none"/>
        </w:rPr>
        <w:t>详见《项目专用合同条款数据表》</w:t>
      </w:r>
      <w:r>
        <w:rPr>
          <w:rStyle w:val="248"/>
          <w:rFonts w:hint="eastAsia"/>
          <w:color w:val="auto"/>
          <w:highlight w:val="none"/>
          <w:lang w:val="en-US"/>
        </w:rPr>
        <w:t xml:space="preserve">   </w:t>
      </w:r>
      <w:r>
        <w:rPr>
          <w:rFonts w:hint="eastAsia"/>
          <w:color w:val="auto"/>
          <w:highlight w:val="none"/>
        </w:rPr>
        <w:t>。</w:t>
      </w:r>
    </w:p>
    <w:p>
      <w:pPr>
        <w:pStyle w:val="245"/>
        <w:shd w:val="clear" w:color="auto" w:fill="auto"/>
        <w:adjustRightInd w:val="0"/>
        <w:snapToGrid w:val="0"/>
        <w:spacing w:line="360" w:lineRule="auto"/>
        <w:jc w:val="both"/>
        <w:rPr>
          <w:rFonts w:ascii="宋体" w:hAnsi="宋体" w:eastAsia="宋体"/>
          <w:color w:val="auto"/>
          <w:highlight w:val="none"/>
          <w:lang w:bidi="en-US"/>
        </w:rPr>
      </w:pPr>
    </w:p>
    <w:p>
      <w:pPr>
        <w:adjustRightInd w:val="0"/>
        <w:snapToGrid w:val="0"/>
        <w:spacing w:line="360" w:lineRule="auto"/>
        <w:rPr>
          <w:b/>
          <w:bCs/>
          <w:color w:val="auto"/>
          <w:highlight w:val="none"/>
          <w:lang w:val="en-US"/>
        </w:rPr>
      </w:pPr>
      <w:bookmarkStart w:id="3814" w:name="_Toc4044"/>
      <w:bookmarkStart w:id="3815" w:name="_Toc10859"/>
      <w:bookmarkStart w:id="3816" w:name="_Toc4670"/>
      <w:bookmarkStart w:id="3817" w:name="_Toc26309"/>
      <w:bookmarkStart w:id="3818" w:name="_Toc6354"/>
      <w:bookmarkStart w:id="3819" w:name="_Toc16739"/>
      <w:bookmarkStart w:id="3820" w:name="_Toc1950"/>
      <w:bookmarkStart w:id="3821" w:name="_Toc1512"/>
      <w:bookmarkStart w:id="3822" w:name="_Toc32051"/>
      <w:r>
        <w:rPr>
          <w:b/>
          <w:bCs/>
          <w:color w:val="auto"/>
          <w:highlight w:val="none"/>
          <w:lang w:val="en-US"/>
        </w:rPr>
        <w:t>20.4</w:t>
      </w:r>
      <w:r>
        <w:rPr>
          <w:rFonts w:hint="eastAsia"/>
          <w:b/>
          <w:bCs/>
          <w:color w:val="auto"/>
          <w:highlight w:val="none"/>
          <w:lang w:val="en-US"/>
        </w:rPr>
        <w:t>第三者责任险</w:t>
      </w:r>
      <w:bookmarkEnd w:id="3814"/>
      <w:bookmarkEnd w:id="3815"/>
      <w:bookmarkEnd w:id="3816"/>
      <w:bookmarkEnd w:id="3817"/>
      <w:bookmarkEnd w:id="3818"/>
      <w:bookmarkEnd w:id="3819"/>
      <w:bookmarkEnd w:id="3820"/>
      <w:bookmarkEnd w:id="3821"/>
      <w:bookmarkEnd w:id="3822"/>
    </w:p>
    <w:p>
      <w:pPr>
        <w:adjustRightInd w:val="0"/>
        <w:snapToGrid w:val="0"/>
        <w:spacing w:line="360" w:lineRule="auto"/>
        <w:ind w:firstLine="520"/>
        <w:rPr>
          <w:color w:val="auto"/>
          <w:highlight w:val="none"/>
        </w:rPr>
      </w:pPr>
      <w:r>
        <w:rPr>
          <w:rFonts w:hint="eastAsia"/>
          <w:color w:val="auto"/>
          <w:highlight w:val="none"/>
        </w:rPr>
        <w:t>本款约定为：</w:t>
      </w:r>
      <w:r>
        <w:rPr>
          <w:rStyle w:val="248"/>
          <w:rFonts w:ascii="宋体" w:hAnsi="宋体" w:eastAsia="宋体"/>
          <w:color w:val="auto"/>
          <w:highlight w:val="none"/>
        </w:rPr>
        <w:t>详见《项目专用合同条款数据表》</w:t>
      </w:r>
      <w:r>
        <w:rPr>
          <w:rStyle w:val="248"/>
          <w:rFonts w:hint="eastAsia"/>
          <w:color w:val="auto"/>
          <w:highlight w:val="none"/>
          <w:lang w:val="en-US"/>
        </w:rPr>
        <w:t xml:space="preserve">  </w:t>
      </w:r>
      <w:r>
        <w:rPr>
          <w:rStyle w:val="248"/>
          <w:rFonts w:ascii="宋体" w:hAnsi="宋体" w:eastAsia="宋体"/>
          <w:color w:val="auto"/>
          <w:highlight w:val="none"/>
          <w:u w:val="none"/>
        </w:rPr>
        <w:t>。</w:t>
      </w:r>
    </w:p>
    <w:p>
      <w:pPr>
        <w:pStyle w:val="245"/>
        <w:shd w:val="clear" w:color="auto" w:fill="auto"/>
        <w:adjustRightInd w:val="0"/>
        <w:snapToGrid w:val="0"/>
        <w:spacing w:line="360" w:lineRule="auto"/>
        <w:jc w:val="both"/>
        <w:rPr>
          <w:rFonts w:ascii="宋体" w:hAnsi="宋体" w:eastAsia="宋体"/>
          <w:color w:val="auto"/>
          <w:highlight w:val="none"/>
          <w:lang w:bidi="en-US"/>
        </w:rPr>
      </w:pPr>
    </w:p>
    <w:p>
      <w:pPr>
        <w:adjustRightInd w:val="0"/>
        <w:snapToGrid w:val="0"/>
        <w:spacing w:line="360" w:lineRule="auto"/>
        <w:rPr>
          <w:b/>
          <w:bCs/>
          <w:color w:val="auto"/>
          <w:highlight w:val="none"/>
          <w:lang w:val="en-US"/>
        </w:rPr>
      </w:pPr>
      <w:bookmarkStart w:id="3823" w:name="_Toc26353"/>
      <w:bookmarkStart w:id="3824" w:name="_Toc20416"/>
      <w:bookmarkStart w:id="3825" w:name="_Toc8951"/>
      <w:bookmarkStart w:id="3826" w:name="_Toc4369"/>
      <w:bookmarkStart w:id="3827" w:name="_Toc32497"/>
      <w:bookmarkStart w:id="3828" w:name="_Toc19646"/>
      <w:r>
        <w:rPr>
          <w:b/>
          <w:bCs/>
          <w:color w:val="auto"/>
          <w:highlight w:val="none"/>
          <w:lang w:val="en-US"/>
        </w:rPr>
        <w:t>20.5</w:t>
      </w:r>
      <w:r>
        <w:rPr>
          <w:rFonts w:hint="eastAsia"/>
          <w:b/>
          <w:bCs/>
          <w:color w:val="auto"/>
          <w:highlight w:val="none"/>
          <w:lang w:val="en-US"/>
        </w:rPr>
        <w:t>其他保险</w:t>
      </w:r>
      <w:bookmarkEnd w:id="3823"/>
      <w:bookmarkEnd w:id="3824"/>
      <w:bookmarkEnd w:id="3825"/>
      <w:bookmarkEnd w:id="3826"/>
      <w:bookmarkEnd w:id="3827"/>
      <w:bookmarkEnd w:id="3828"/>
    </w:p>
    <w:p>
      <w:pPr>
        <w:adjustRightInd w:val="0"/>
        <w:snapToGrid w:val="0"/>
        <w:spacing w:line="360" w:lineRule="auto"/>
        <w:ind w:firstLine="520"/>
        <w:rPr>
          <w:color w:val="auto"/>
          <w:highlight w:val="none"/>
        </w:rPr>
      </w:pPr>
      <w:r>
        <w:rPr>
          <w:rFonts w:hint="eastAsia"/>
          <w:color w:val="auto"/>
          <w:highlight w:val="none"/>
        </w:rPr>
        <w:t>本款补充：</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r>
        <w:rPr>
          <w:rStyle w:val="249"/>
          <w:rFonts w:hint="eastAsia"/>
          <w:color w:val="auto"/>
          <w:highlight w:val="none"/>
          <w:u w:val="none"/>
        </w:rPr>
        <w:t>。</w:t>
      </w:r>
    </w:p>
    <w:p>
      <w:pPr>
        <w:pStyle w:val="245"/>
        <w:shd w:val="clear" w:color="auto" w:fill="auto"/>
        <w:adjustRightInd w:val="0"/>
        <w:snapToGrid w:val="0"/>
        <w:spacing w:line="360" w:lineRule="auto"/>
        <w:jc w:val="both"/>
        <w:rPr>
          <w:rFonts w:ascii="宋体" w:hAnsi="宋体" w:eastAsia="宋体"/>
          <w:color w:val="auto"/>
          <w:highlight w:val="none"/>
          <w:lang w:bidi="en-US"/>
        </w:rPr>
      </w:pPr>
      <w:bookmarkStart w:id="3829" w:name="bookmark49"/>
    </w:p>
    <w:p>
      <w:pPr>
        <w:pStyle w:val="245"/>
        <w:shd w:val="clear" w:color="auto" w:fill="auto"/>
        <w:adjustRightInd w:val="0"/>
        <w:snapToGrid w:val="0"/>
        <w:spacing w:line="360" w:lineRule="auto"/>
        <w:jc w:val="both"/>
        <w:rPr>
          <w:rFonts w:ascii="宋体" w:hAnsi="宋体" w:eastAsia="宋体"/>
          <w:color w:val="auto"/>
          <w:highlight w:val="none"/>
          <w:lang w:bidi="en-US"/>
        </w:rPr>
      </w:pPr>
      <w:bookmarkStart w:id="3830" w:name="_Toc32462"/>
      <w:bookmarkStart w:id="3831" w:name="_Toc30960"/>
      <w:bookmarkStart w:id="3832" w:name="_Toc12572"/>
      <w:bookmarkStart w:id="3833" w:name="_Toc8250"/>
      <w:bookmarkStart w:id="3834" w:name="_Toc11661"/>
      <w:bookmarkStart w:id="3835" w:name="_Toc4163"/>
      <w:r>
        <w:rPr>
          <w:rFonts w:hint="eastAsia"/>
          <w:color w:val="auto"/>
          <w:highlight w:val="none"/>
        </w:rPr>
        <w:t xml:space="preserve">20.6对各项保险的一般要求 </w:t>
      </w:r>
    </w:p>
    <w:p>
      <w:pPr>
        <w:adjustRightInd w:val="0"/>
        <w:snapToGrid w:val="0"/>
        <w:spacing w:line="360" w:lineRule="auto"/>
        <w:ind w:firstLine="440" w:firstLineChars="200"/>
        <w:rPr>
          <w:color w:val="auto"/>
          <w:highlight w:val="none"/>
        </w:rPr>
      </w:pPr>
      <w:r>
        <w:rPr>
          <w:color w:val="auto"/>
          <w:highlight w:val="none"/>
        </w:rPr>
        <w:t>20.6.4</w:t>
      </w:r>
      <w:r>
        <w:rPr>
          <w:rFonts w:hint="eastAsia"/>
          <w:color w:val="auto"/>
          <w:highlight w:val="none"/>
        </w:rPr>
        <w:t>保险金不足的补偿</w:t>
      </w:r>
      <w:bookmarkEnd w:id="3829"/>
      <w:bookmarkEnd w:id="3830"/>
      <w:bookmarkEnd w:id="3831"/>
      <w:bookmarkEnd w:id="3832"/>
      <w:bookmarkEnd w:id="3833"/>
      <w:bookmarkEnd w:id="3834"/>
      <w:bookmarkEnd w:id="3835"/>
    </w:p>
    <w:p>
      <w:pPr>
        <w:adjustRightInd w:val="0"/>
        <w:snapToGrid w:val="0"/>
        <w:spacing w:line="360" w:lineRule="auto"/>
        <w:ind w:firstLine="440" w:firstLineChars="200"/>
        <w:rPr>
          <w:color w:val="auto"/>
          <w:highlight w:val="none"/>
        </w:rPr>
      </w:pPr>
      <w:r>
        <w:rPr>
          <w:rFonts w:hint="eastAsia"/>
          <w:color w:val="auto"/>
          <w:highlight w:val="none"/>
        </w:rPr>
        <w:t>本项补充：</w:t>
      </w:r>
    </w:p>
    <w:p>
      <w:pPr>
        <w:adjustRightInd w:val="0"/>
        <w:snapToGrid w:val="0"/>
        <w:spacing w:line="360" w:lineRule="auto"/>
        <w:ind w:firstLine="520"/>
        <w:rPr>
          <w:color w:val="auto"/>
          <w:highlight w:val="none"/>
        </w:rPr>
      </w:pPr>
      <w:r>
        <w:rPr>
          <w:rFonts w:hint="eastAsia"/>
          <w:color w:val="auto"/>
          <w:highlight w:val="none"/>
        </w:rPr>
        <w:t>但是，由于下列情况本应却未能从保险人处收回偿额，应由承包人承担全部责任:</w:t>
      </w:r>
    </w:p>
    <w:p>
      <w:pPr>
        <w:tabs>
          <w:tab w:val="left" w:pos="1230"/>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）承包人未按保险单规定的条件和期限及时向保险人报告事故情况；</w:t>
      </w:r>
    </w:p>
    <w:p>
      <w:pPr>
        <w:tabs>
          <w:tab w:val="left" w:pos="1230"/>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）承包人未按第</w:t>
      </w:r>
      <w:r>
        <w:rPr>
          <w:rFonts w:hint="eastAsia"/>
          <w:color w:val="auto"/>
          <w:highlight w:val="none"/>
          <w:lang w:bidi="en-US"/>
        </w:rPr>
        <w:t>20.6.1</w:t>
      </w:r>
      <w:r>
        <w:rPr>
          <w:rFonts w:hint="eastAsia"/>
          <w:color w:val="auto"/>
          <w:highlight w:val="none"/>
        </w:rPr>
        <w:t>项约定的期限进行投保；或</w:t>
      </w:r>
    </w:p>
    <w:p>
      <w:pPr>
        <w:tabs>
          <w:tab w:val="left" w:pos="1230"/>
        </w:tabs>
        <w:adjustRightInd w:val="0"/>
        <w:snapToGrid w:val="0"/>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）承包人未按第</w:t>
      </w:r>
      <w:r>
        <w:rPr>
          <w:rFonts w:hint="eastAsia"/>
          <w:color w:val="auto"/>
          <w:highlight w:val="none"/>
          <w:lang w:bidi="en-US"/>
        </w:rPr>
        <w:t>20.6.3</w:t>
      </w:r>
      <w:r>
        <w:rPr>
          <w:rFonts w:hint="eastAsia"/>
          <w:color w:val="auto"/>
          <w:highlight w:val="none"/>
        </w:rPr>
        <w:t>项约定投保足够的保险额。</w:t>
      </w:r>
      <w:bookmarkStart w:id="3836" w:name="bookmark50"/>
    </w:p>
    <w:p>
      <w:pPr>
        <w:adjustRightInd w:val="0"/>
        <w:snapToGrid w:val="0"/>
        <w:spacing w:line="360" w:lineRule="auto"/>
        <w:outlineLvl w:val="2"/>
        <w:rPr>
          <w:b/>
          <w:bCs/>
          <w:color w:val="auto"/>
          <w:highlight w:val="none"/>
          <w:lang w:val="en-US"/>
        </w:rPr>
      </w:pPr>
    </w:p>
    <w:p>
      <w:pPr>
        <w:adjustRightInd w:val="0"/>
        <w:snapToGrid w:val="0"/>
        <w:spacing w:line="360" w:lineRule="auto"/>
        <w:outlineLvl w:val="2"/>
        <w:rPr>
          <w:b/>
          <w:bCs/>
          <w:color w:val="auto"/>
          <w:highlight w:val="none"/>
          <w:lang w:val="en-US"/>
        </w:rPr>
      </w:pPr>
      <w:bookmarkStart w:id="3837" w:name="_Toc8226"/>
      <w:bookmarkStart w:id="3838" w:name="_Toc347"/>
      <w:bookmarkStart w:id="3839" w:name="_Toc25020"/>
      <w:bookmarkStart w:id="3840" w:name="_Toc21389"/>
      <w:bookmarkStart w:id="3841" w:name="_Toc25738"/>
      <w:bookmarkStart w:id="3842" w:name="_Toc8176"/>
      <w:bookmarkStart w:id="3843" w:name="_Toc29885"/>
      <w:bookmarkStart w:id="3844" w:name="_Toc1371"/>
      <w:bookmarkStart w:id="3845" w:name="_Toc31398"/>
      <w:bookmarkStart w:id="3846" w:name="_Toc17731"/>
      <w:bookmarkStart w:id="3847" w:name="_Toc9850"/>
      <w:bookmarkStart w:id="3848" w:name="_Toc30224"/>
      <w:bookmarkStart w:id="3849" w:name="_Toc24277"/>
      <w:bookmarkStart w:id="3850" w:name="_Toc8802"/>
      <w:bookmarkStart w:id="3851" w:name="_Toc6475"/>
      <w:bookmarkStart w:id="3852" w:name="_Toc12957"/>
      <w:bookmarkStart w:id="3853" w:name="_Toc29021"/>
      <w:r>
        <w:rPr>
          <w:rFonts w:hint="eastAsia"/>
          <w:b/>
          <w:bCs/>
          <w:color w:val="auto"/>
          <w:highlight w:val="none"/>
          <w:lang w:val="en-US"/>
        </w:rPr>
        <w:t>21.不可抗力</w:t>
      </w:r>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r>
        <w:rPr>
          <w:rFonts w:hint="eastAsia"/>
          <w:b/>
          <w:bCs/>
          <w:color w:val="auto"/>
          <w:highlight w:val="none"/>
          <w:lang w:val="en-US"/>
        </w:rPr>
        <w:t xml:space="preserve"> </w:t>
      </w:r>
    </w:p>
    <w:p>
      <w:pPr>
        <w:adjustRightInd w:val="0"/>
        <w:snapToGrid w:val="0"/>
        <w:spacing w:line="360" w:lineRule="auto"/>
        <w:rPr>
          <w:b/>
          <w:bCs/>
          <w:color w:val="auto"/>
          <w:highlight w:val="none"/>
        </w:rPr>
      </w:pPr>
      <w:bookmarkStart w:id="3854" w:name="_Toc10873"/>
      <w:bookmarkStart w:id="3855" w:name="_Toc14112"/>
      <w:bookmarkStart w:id="3856" w:name="_Toc27042"/>
      <w:bookmarkStart w:id="3857" w:name="_Toc7914"/>
      <w:bookmarkStart w:id="3858" w:name="_Toc217"/>
      <w:bookmarkStart w:id="3859" w:name="_Toc3980"/>
      <w:bookmarkStart w:id="3860" w:name="_Toc26339"/>
      <w:bookmarkStart w:id="3861" w:name="_Toc25654"/>
      <w:bookmarkStart w:id="3862" w:name="_Toc10205"/>
      <w:r>
        <w:rPr>
          <w:rFonts w:hint="eastAsia"/>
          <w:b/>
          <w:bCs/>
          <w:color w:val="auto"/>
          <w:highlight w:val="none"/>
        </w:rPr>
        <w:t>21.1不可抗力的确认</w:t>
      </w:r>
      <w:bookmarkEnd w:id="3836"/>
      <w:bookmarkEnd w:id="3854"/>
      <w:bookmarkEnd w:id="3855"/>
      <w:bookmarkEnd w:id="3856"/>
      <w:bookmarkEnd w:id="3857"/>
      <w:bookmarkEnd w:id="3858"/>
      <w:bookmarkEnd w:id="3859"/>
      <w:bookmarkEnd w:id="3860"/>
      <w:bookmarkEnd w:id="3861"/>
      <w:bookmarkEnd w:id="3862"/>
    </w:p>
    <w:p>
      <w:pPr>
        <w:tabs>
          <w:tab w:val="left" w:pos="4418"/>
        </w:tabs>
        <w:adjustRightInd w:val="0"/>
        <w:snapToGrid w:val="0"/>
        <w:spacing w:line="360" w:lineRule="auto"/>
        <w:ind w:firstLine="520"/>
        <w:rPr>
          <w:color w:val="auto"/>
          <w:highlight w:val="none"/>
        </w:rPr>
      </w:pPr>
      <w:r>
        <w:rPr>
          <w:rFonts w:hint="eastAsia"/>
          <w:color w:val="auto"/>
          <w:highlight w:val="none"/>
          <w:lang w:bidi="en-US"/>
        </w:rPr>
        <w:t>21.1.1 (6)</w:t>
      </w:r>
      <w:r>
        <w:rPr>
          <w:rFonts w:hint="eastAsia"/>
          <w:color w:val="auto"/>
          <w:highlight w:val="none"/>
        </w:rPr>
        <w:t>不可抗力的其他情形：</w:t>
      </w:r>
      <w:r>
        <w:rPr>
          <w:rStyle w:val="248"/>
          <w:rFonts w:ascii="宋体" w:hAnsi="宋体" w:eastAsia="宋体"/>
          <w:color w:val="auto"/>
          <w:highlight w:val="none"/>
        </w:rPr>
        <w:t>无</w:t>
      </w:r>
    </w:p>
    <w:p>
      <w:pPr>
        <w:adjustRightInd w:val="0"/>
        <w:snapToGrid w:val="0"/>
        <w:spacing w:line="360" w:lineRule="auto"/>
        <w:ind w:firstLine="520"/>
        <w:rPr>
          <w:color w:val="auto"/>
          <w:highlight w:val="none"/>
          <w:lang w:bidi="en-US"/>
        </w:rPr>
      </w:pPr>
    </w:p>
    <w:p>
      <w:pPr>
        <w:adjustRightInd w:val="0"/>
        <w:snapToGrid w:val="0"/>
        <w:spacing w:line="360" w:lineRule="auto"/>
        <w:ind w:firstLine="520"/>
        <w:rPr>
          <w:color w:val="auto"/>
          <w:highlight w:val="none"/>
        </w:rPr>
      </w:pPr>
      <w:r>
        <w:rPr>
          <w:rFonts w:hint="eastAsia"/>
          <w:color w:val="auto"/>
          <w:highlight w:val="none"/>
          <w:lang w:bidi="en-US"/>
        </w:rPr>
        <w:t>21.1.1</w:t>
      </w:r>
      <w:r>
        <w:rPr>
          <w:rFonts w:hint="eastAsia"/>
          <w:color w:val="auto"/>
          <w:highlight w:val="none"/>
        </w:rPr>
        <w:t>项补充：</w:t>
      </w:r>
    </w:p>
    <w:p>
      <w:pPr>
        <w:adjustRightInd w:val="0"/>
        <w:snapToGrid w:val="0"/>
        <w:spacing w:line="360" w:lineRule="auto"/>
        <w:ind w:firstLine="520"/>
        <w:rPr>
          <w:color w:val="auto"/>
          <w:highlight w:val="none"/>
        </w:rPr>
      </w:pPr>
      <w:r>
        <w:rPr>
          <w:rFonts w:hint="eastAsia"/>
          <w:color w:val="auto"/>
          <w:highlight w:val="none"/>
        </w:rPr>
        <w:t>本项所述(1)、</w:t>
      </w:r>
      <w:r>
        <w:rPr>
          <w:rFonts w:hint="eastAsia"/>
          <w:color w:val="auto"/>
          <w:highlight w:val="none"/>
          <w:lang w:bidi="en-US"/>
        </w:rPr>
        <w:t>(4)</w:t>
      </w:r>
      <w:r>
        <w:rPr>
          <w:rFonts w:hint="eastAsia"/>
          <w:color w:val="auto"/>
          <w:highlight w:val="none"/>
        </w:rPr>
        <w:t>目风险应按照合同条款第20条的规定办理保险，以便在风险发生时，能保护发包人和承包人的利益不受到损害。</w:t>
      </w:r>
    </w:p>
    <w:p>
      <w:pPr>
        <w:pStyle w:val="243"/>
        <w:keepNext/>
        <w:keepLines/>
        <w:shd w:val="clear" w:color="auto" w:fill="auto"/>
        <w:adjustRightInd w:val="0"/>
        <w:snapToGrid w:val="0"/>
        <w:spacing w:line="360" w:lineRule="auto"/>
        <w:ind w:firstLine="0"/>
        <w:jc w:val="left"/>
        <w:outlineLvl w:val="9"/>
        <w:rPr>
          <w:rStyle w:val="238"/>
          <w:rFonts w:ascii="宋体" w:hAnsi="宋体" w:eastAsia="宋体"/>
          <w:color w:val="auto"/>
          <w:highlight w:val="none"/>
        </w:rPr>
      </w:pPr>
      <w:bookmarkStart w:id="3863" w:name="bookmark51"/>
    </w:p>
    <w:p>
      <w:pPr>
        <w:adjustRightInd w:val="0"/>
        <w:snapToGrid w:val="0"/>
        <w:spacing w:line="360" w:lineRule="auto"/>
        <w:rPr>
          <w:b/>
          <w:bCs/>
          <w:color w:val="auto"/>
          <w:highlight w:val="none"/>
        </w:rPr>
      </w:pPr>
      <w:bookmarkStart w:id="3864" w:name="_Toc15108"/>
      <w:bookmarkStart w:id="3865" w:name="_Toc30371"/>
      <w:bookmarkStart w:id="3866" w:name="_Toc4706"/>
      <w:bookmarkStart w:id="3867" w:name="_Toc21983"/>
      <w:bookmarkStart w:id="3868" w:name="_Toc20908"/>
      <w:bookmarkStart w:id="3869" w:name="_Toc6791"/>
      <w:bookmarkStart w:id="3870" w:name="_Toc32633"/>
      <w:bookmarkStart w:id="3871" w:name="_Toc27143"/>
      <w:bookmarkStart w:id="3872" w:name="_Toc31434"/>
      <w:bookmarkStart w:id="3873" w:name="_Toc14079"/>
      <w:bookmarkStart w:id="3874" w:name="_Toc9915"/>
      <w:r>
        <w:rPr>
          <w:b/>
          <w:bCs/>
          <w:color w:val="auto"/>
          <w:highlight w:val="none"/>
        </w:rPr>
        <w:t>21.3</w:t>
      </w:r>
      <w:r>
        <w:rPr>
          <w:rFonts w:hint="eastAsia"/>
          <w:b/>
          <w:bCs/>
          <w:color w:val="auto"/>
          <w:highlight w:val="none"/>
        </w:rPr>
        <w:t>不可抗力后果及其处理</w:t>
      </w:r>
      <w:bookmarkEnd w:id="3863"/>
      <w:bookmarkEnd w:id="3864"/>
      <w:bookmarkEnd w:id="3865"/>
      <w:bookmarkEnd w:id="3866"/>
      <w:bookmarkEnd w:id="3867"/>
      <w:bookmarkEnd w:id="3868"/>
      <w:bookmarkEnd w:id="3869"/>
      <w:bookmarkEnd w:id="3870"/>
      <w:bookmarkEnd w:id="3871"/>
      <w:bookmarkEnd w:id="3872"/>
      <w:bookmarkEnd w:id="3873"/>
      <w:bookmarkEnd w:id="3874"/>
    </w:p>
    <w:p>
      <w:pPr>
        <w:adjustRightInd w:val="0"/>
        <w:snapToGrid w:val="0"/>
        <w:spacing w:line="360" w:lineRule="auto"/>
        <w:ind w:firstLine="440" w:firstLineChars="200"/>
        <w:rPr>
          <w:color w:val="auto"/>
          <w:highlight w:val="none"/>
        </w:rPr>
      </w:pPr>
      <w:r>
        <w:rPr>
          <w:color w:val="auto"/>
          <w:highlight w:val="none"/>
        </w:rPr>
        <w:t>21.3.1</w:t>
      </w:r>
      <w:r>
        <w:rPr>
          <w:rFonts w:hint="eastAsia"/>
          <w:color w:val="auto"/>
          <w:highlight w:val="none"/>
        </w:rPr>
        <w:t>不可抗力造成损害的责任</w:t>
      </w:r>
    </w:p>
    <w:p>
      <w:pPr>
        <w:adjustRightInd w:val="0"/>
        <w:snapToGrid w:val="0"/>
        <w:spacing w:line="360" w:lineRule="auto"/>
        <w:ind w:firstLine="520"/>
        <w:rPr>
          <w:color w:val="auto"/>
          <w:highlight w:val="none"/>
        </w:rPr>
      </w:pPr>
      <w:r>
        <w:rPr>
          <w:rFonts w:hint="eastAsia"/>
          <w:color w:val="auto"/>
          <w:highlight w:val="none"/>
        </w:rPr>
        <w:t>本项补充：</w:t>
      </w:r>
    </w:p>
    <w:p>
      <w:pPr>
        <w:adjustRightInd w:val="0"/>
        <w:snapToGrid w:val="0"/>
        <w:spacing w:line="360" w:lineRule="auto"/>
        <w:ind w:firstLine="520"/>
        <w:rPr>
          <w:color w:val="auto"/>
          <w:highlight w:val="none"/>
        </w:rPr>
      </w:pPr>
      <w:r>
        <w:rPr>
          <w:rFonts w:hint="eastAsia"/>
          <w:color w:val="auto"/>
          <w:highlight w:val="none"/>
        </w:rPr>
        <w:t>a、由于合同条款第</w:t>
      </w:r>
      <w:r>
        <w:rPr>
          <w:rFonts w:hint="eastAsia"/>
          <w:color w:val="auto"/>
          <w:highlight w:val="none"/>
          <w:lang w:bidi="en-US"/>
        </w:rPr>
        <w:t>21.1.1</w:t>
      </w:r>
      <w:r>
        <w:rPr>
          <w:rFonts w:hint="eastAsia"/>
          <w:color w:val="auto"/>
          <w:highlight w:val="none"/>
        </w:rPr>
        <w:t>项中的任何一种己投保的不可抗力风险造成的上述损失或损害，承包人应在事故发生后及时报告监理人和保险人并向保险人提出索赔。不能从保险人收回的免赔额部分由承包人自己承担，而超过保险人最高赔偿限额的损失部分由发包人和承包人按照通用合同条款</w:t>
      </w:r>
      <w:r>
        <w:rPr>
          <w:rFonts w:hint="eastAsia"/>
          <w:color w:val="auto"/>
          <w:highlight w:val="none"/>
          <w:lang w:bidi="en-US"/>
        </w:rPr>
        <w:t>21.3.1</w:t>
      </w:r>
      <w:r>
        <w:rPr>
          <w:rFonts w:hint="eastAsia"/>
          <w:color w:val="auto"/>
          <w:highlight w:val="none"/>
        </w:rPr>
        <w:t>项中规定的原则进行分担。</w:t>
      </w:r>
    </w:p>
    <w:p>
      <w:pPr>
        <w:tabs>
          <w:tab w:val="left" w:pos="872"/>
        </w:tabs>
        <w:adjustRightInd w:val="0"/>
        <w:snapToGrid w:val="0"/>
        <w:spacing w:line="360" w:lineRule="auto"/>
        <w:ind w:firstLine="520"/>
        <w:rPr>
          <w:color w:val="auto"/>
          <w:highlight w:val="none"/>
        </w:rPr>
      </w:pPr>
      <w:r>
        <w:rPr>
          <w:rFonts w:hint="eastAsia"/>
          <w:color w:val="auto"/>
          <w:highlight w:val="none"/>
        </w:rPr>
        <w:t>b、由于合同条款第</w:t>
      </w:r>
      <w:r>
        <w:rPr>
          <w:rStyle w:val="239"/>
          <w:rFonts w:hint="eastAsia" w:ascii="宋体" w:hAnsi="宋体" w:eastAsia="宋体"/>
          <w:color w:val="auto"/>
          <w:sz w:val="22"/>
          <w:szCs w:val="22"/>
          <w:highlight w:val="none"/>
          <w:lang w:eastAsia="zh-CN"/>
        </w:rPr>
        <w:t>21.1.1</w:t>
      </w:r>
      <w:r>
        <w:rPr>
          <w:rFonts w:hint="eastAsia"/>
          <w:color w:val="auto"/>
          <w:highlight w:val="none"/>
        </w:rPr>
        <w:t>项中的任何一种无法投保的不可抗力风险造成的上述损失或损害，承包人应在监理人要求的范围内弥补损失或损害。同时，监理人应按照合同规定在与承包人协商并报发包人批准后，确定合同价格的增加额，通知承包人，并抄送发包人。发包人和承包人均应采取措施尽量避免和减少损失的扩大，任何一方没有采取有效措施导致损失扩大的，应对扩大的损失承担责任。</w:t>
      </w:r>
    </w:p>
    <w:p>
      <w:pPr>
        <w:tabs>
          <w:tab w:val="left" w:pos="917"/>
        </w:tabs>
        <w:adjustRightInd w:val="0"/>
        <w:snapToGrid w:val="0"/>
        <w:spacing w:line="360" w:lineRule="auto"/>
        <w:ind w:left="160" w:firstLine="360"/>
        <w:rPr>
          <w:color w:val="auto"/>
          <w:highlight w:val="none"/>
        </w:rPr>
      </w:pPr>
      <w:r>
        <w:rPr>
          <w:rFonts w:hint="eastAsia"/>
          <w:color w:val="auto"/>
          <w:highlight w:val="none"/>
        </w:rPr>
        <w:t>c、</w:t>
      </w:r>
      <w:r>
        <w:rPr>
          <w:rFonts w:hint="eastAsia"/>
          <w:color w:val="auto"/>
          <w:highlight w:val="none"/>
          <w:lang w:bidi="en-US"/>
        </w:rPr>
        <w:tab/>
      </w:r>
      <w:r>
        <w:rPr>
          <w:rFonts w:hint="eastAsia"/>
          <w:color w:val="auto"/>
          <w:highlight w:val="none"/>
        </w:rPr>
        <w:t>由于不可抗力风险和若干其他风险结合而造成的上述损失和损害，在按照本目 (a)或(b)(视情况而定)进行处理时，应考虑承包人和发包人双方按比例承担的责任。</w:t>
      </w:r>
    </w:p>
    <w:p>
      <w:pPr>
        <w:pStyle w:val="241"/>
        <w:keepNext/>
        <w:keepLines/>
        <w:shd w:val="clear" w:color="auto" w:fill="auto"/>
        <w:adjustRightInd w:val="0"/>
        <w:snapToGrid w:val="0"/>
        <w:spacing w:before="0" w:line="360" w:lineRule="auto"/>
        <w:ind w:firstLine="0"/>
        <w:jc w:val="left"/>
        <w:outlineLvl w:val="2"/>
        <w:rPr>
          <w:rFonts w:ascii="宋体" w:hAnsi="宋体" w:eastAsia="宋体"/>
          <w:color w:val="auto"/>
          <w:sz w:val="22"/>
          <w:szCs w:val="22"/>
          <w:highlight w:val="none"/>
          <w:lang w:bidi="en-US"/>
        </w:rPr>
      </w:pPr>
      <w:bookmarkStart w:id="3875" w:name="bookmark52"/>
    </w:p>
    <w:p>
      <w:pPr>
        <w:adjustRightInd w:val="0"/>
        <w:snapToGrid w:val="0"/>
        <w:spacing w:line="360" w:lineRule="auto"/>
        <w:outlineLvl w:val="2"/>
        <w:rPr>
          <w:b/>
          <w:bCs/>
          <w:color w:val="auto"/>
          <w:highlight w:val="none"/>
          <w:lang w:val="en-US"/>
        </w:rPr>
      </w:pPr>
      <w:bookmarkStart w:id="3876" w:name="_Toc7638"/>
      <w:bookmarkStart w:id="3877" w:name="_Toc23621"/>
      <w:bookmarkStart w:id="3878" w:name="_Toc22126"/>
      <w:bookmarkStart w:id="3879" w:name="_Toc3446"/>
      <w:bookmarkStart w:id="3880" w:name="_Toc14547"/>
      <w:bookmarkStart w:id="3881" w:name="_Toc11260"/>
      <w:bookmarkStart w:id="3882" w:name="_Toc2114"/>
      <w:bookmarkStart w:id="3883" w:name="_Toc25934"/>
      <w:bookmarkStart w:id="3884" w:name="_Toc24106"/>
      <w:bookmarkStart w:id="3885" w:name="_Toc19346"/>
      <w:bookmarkStart w:id="3886" w:name="_Toc4031"/>
      <w:bookmarkStart w:id="3887" w:name="_Toc30182"/>
      <w:bookmarkStart w:id="3888" w:name="_Toc2491"/>
      <w:bookmarkStart w:id="3889" w:name="_Toc21528"/>
      <w:bookmarkStart w:id="3890" w:name="_Toc19373"/>
      <w:bookmarkStart w:id="3891" w:name="_Toc5896"/>
      <w:bookmarkStart w:id="3892" w:name="_Toc9751"/>
      <w:bookmarkStart w:id="3893" w:name="_Toc31360"/>
      <w:bookmarkStart w:id="3894" w:name="_Toc5311"/>
      <w:bookmarkStart w:id="3895" w:name="_Toc17761"/>
      <w:bookmarkStart w:id="3896" w:name="_Toc8949"/>
      <w:r>
        <w:rPr>
          <w:rFonts w:hint="eastAsia"/>
          <w:b/>
          <w:bCs/>
          <w:color w:val="auto"/>
          <w:highlight w:val="none"/>
          <w:lang w:val="en-US"/>
        </w:rPr>
        <w:t>22.违约</w:t>
      </w:r>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p>
    <w:p>
      <w:pPr>
        <w:adjustRightInd w:val="0"/>
        <w:snapToGrid w:val="0"/>
        <w:spacing w:line="360" w:lineRule="auto"/>
        <w:rPr>
          <w:b/>
          <w:bCs/>
          <w:color w:val="auto"/>
          <w:highlight w:val="none"/>
        </w:rPr>
      </w:pPr>
      <w:bookmarkStart w:id="3897" w:name="_Toc31618"/>
      <w:bookmarkStart w:id="3898" w:name="_Toc32119"/>
      <w:bookmarkStart w:id="3899" w:name="_Toc2101"/>
      <w:bookmarkStart w:id="3900" w:name="_Toc15972"/>
      <w:bookmarkStart w:id="3901" w:name="_Toc29244"/>
      <w:bookmarkStart w:id="3902" w:name="bookmark53"/>
      <w:bookmarkStart w:id="3903" w:name="_Toc27112"/>
      <w:bookmarkStart w:id="3904" w:name="_Toc18012"/>
      <w:bookmarkStart w:id="3905" w:name="_Toc23585"/>
      <w:bookmarkStart w:id="3906" w:name="_Toc30215"/>
      <w:bookmarkStart w:id="3907" w:name="_Toc31001"/>
      <w:bookmarkStart w:id="3908" w:name="_Toc13923"/>
      <w:r>
        <w:rPr>
          <w:rFonts w:hint="eastAsia"/>
          <w:b/>
          <w:bCs/>
          <w:color w:val="auto"/>
          <w:highlight w:val="none"/>
        </w:rPr>
        <w:t>22.1承包人违约</w:t>
      </w:r>
      <w:bookmarkEnd w:id="3897"/>
      <w:bookmarkEnd w:id="3898"/>
      <w:bookmarkEnd w:id="3899"/>
      <w:bookmarkEnd w:id="3900"/>
      <w:bookmarkEnd w:id="3901"/>
      <w:bookmarkEnd w:id="3902"/>
      <w:bookmarkEnd w:id="3903"/>
      <w:bookmarkEnd w:id="3904"/>
      <w:bookmarkEnd w:id="3905"/>
      <w:bookmarkEnd w:id="3906"/>
      <w:bookmarkEnd w:id="3907"/>
      <w:bookmarkEnd w:id="3908"/>
    </w:p>
    <w:p>
      <w:pPr>
        <w:adjustRightInd w:val="0"/>
        <w:snapToGrid w:val="0"/>
        <w:spacing w:line="360" w:lineRule="auto"/>
        <w:ind w:firstLine="440" w:firstLineChars="200"/>
        <w:rPr>
          <w:color w:val="auto"/>
          <w:highlight w:val="none"/>
        </w:rPr>
      </w:pPr>
      <w:bookmarkStart w:id="3909" w:name="_Toc11644"/>
      <w:bookmarkStart w:id="3910" w:name="_Toc21490"/>
      <w:bookmarkStart w:id="3911" w:name="_Toc21626"/>
      <w:bookmarkStart w:id="3912" w:name="_Toc29881"/>
      <w:bookmarkStart w:id="3913" w:name="bookmark54"/>
      <w:bookmarkStart w:id="3914" w:name="_Toc28311"/>
      <w:r>
        <w:rPr>
          <w:rFonts w:hint="eastAsia"/>
          <w:color w:val="auto"/>
          <w:highlight w:val="none"/>
        </w:rPr>
        <w:t>22.1.1承包人违约的情形</w:t>
      </w:r>
      <w:bookmarkEnd w:id="3909"/>
      <w:bookmarkEnd w:id="3910"/>
      <w:bookmarkEnd w:id="3911"/>
      <w:bookmarkEnd w:id="3912"/>
      <w:bookmarkEnd w:id="3913"/>
      <w:bookmarkEnd w:id="3914"/>
    </w:p>
    <w:p>
      <w:pPr>
        <w:adjustRightInd w:val="0"/>
        <w:snapToGrid w:val="0"/>
        <w:spacing w:line="360" w:lineRule="auto"/>
        <w:ind w:firstLine="500"/>
        <w:rPr>
          <w:color w:val="auto"/>
          <w:highlight w:val="none"/>
          <w:lang w:val="en-US"/>
        </w:rPr>
      </w:pPr>
      <w:r>
        <w:rPr>
          <w:rFonts w:hint="eastAsia"/>
          <w:color w:val="auto"/>
          <w:highlight w:val="none"/>
        </w:rPr>
        <w:t>本项约定为</w:t>
      </w:r>
      <w:r>
        <w:rPr>
          <w:color w:val="auto"/>
          <w:highlight w:val="none"/>
        </w:rPr>
        <w:t>：</w:t>
      </w:r>
      <w:r>
        <w:rPr>
          <w:rStyle w:val="238"/>
          <w:rFonts w:ascii="宋体" w:hAnsi="宋体" w:eastAsia="宋体"/>
          <w:color w:val="auto"/>
          <w:sz w:val="22"/>
          <w:highlight w:val="none"/>
          <w:lang w:bidi="en-US"/>
        </w:rPr>
        <w:t xml:space="preserve"> </w:t>
      </w:r>
      <w:r>
        <w:rPr>
          <w:rStyle w:val="248"/>
          <w:rFonts w:ascii="宋体" w:hAnsi="宋体" w:eastAsia="宋体"/>
          <w:color w:val="auto"/>
          <w:highlight w:val="none"/>
        </w:rPr>
        <w:t>详见《项目专用合同条款数据表》</w:t>
      </w:r>
      <w:r>
        <w:rPr>
          <w:rStyle w:val="248"/>
          <w:rFonts w:hint="eastAsia"/>
          <w:color w:val="auto"/>
          <w:highlight w:val="none"/>
          <w:lang w:val="en-US"/>
        </w:rPr>
        <w:t xml:space="preserve">   </w:t>
      </w:r>
      <w:r>
        <w:rPr>
          <w:rStyle w:val="248"/>
          <w:rFonts w:hint="eastAsia"/>
          <w:color w:val="auto"/>
          <w:highlight w:val="none"/>
          <w:u w:val="none"/>
          <w:lang w:val="en-US"/>
        </w:rPr>
        <w:t>。</w:t>
      </w:r>
    </w:p>
    <w:p>
      <w:pPr>
        <w:pStyle w:val="243"/>
        <w:keepNext/>
        <w:keepLines/>
        <w:shd w:val="clear" w:color="auto" w:fill="auto"/>
        <w:adjustRightInd w:val="0"/>
        <w:snapToGrid w:val="0"/>
        <w:spacing w:line="360" w:lineRule="auto"/>
        <w:ind w:firstLine="500"/>
        <w:jc w:val="left"/>
        <w:outlineLvl w:val="9"/>
        <w:rPr>
          <w:rFonts w:ascii="宋体" w:hAnsi="宋体" w:eastAsia="宋体"/>
          <w:color w:val="auto"/>
          <w:highlight w:val="none"/>
          <w:lang w:bidi="en-US"/>
        </w:rPr>
      </w:pPr>
      <w:bookmarkStart w:id="3915" w:name="bookmark55"/>
    </w:p>
    <w:p>
      <w:pPr>
        <w:adjustRightInd w:val="0"/>
        <w:snapToGrid w:val="0"/>
        <w:spacing w:line="360" w:lineRule="auto"/>
        <w:ind w:firstLine="440" w:firstLineChars="200"/>
        <w:rPr>
          <w:color w:val="auto"/>
          <w:highlight w:val="none"/>
        </w:rPr>
      </w:pPr>
      <w:bookmarkStart w:id="3916" w:name="_Toc13475"/>
      <w:bookmarkStart w:id="3917" w:name="_Toc29433"/>
      <w:bookmarkStart w:id="3918" w:name="_Toc16396"/>
      <w:bookmarkStart w:id="3919" w:name="_Toc29861"/>
      <w:bookmarkStart w:id="3920" w:name="_Toc23606"/>
      <w:r>
        <w:rPr>
          <w:rFonts w:hint="eastAsia"/>
          <w:color w:val="auto"/>
          <w:highlight w:val="none"/>
        </w:rPr>
        <w:t>22.1.2对承包人违约的处理</w:t>
      </w:r>
      <w:bookmarkEnd w:id="3915"/>
      <w:bookmarkEnd w:id="3916"/>
      <w:bookmarkEnd w:id="3917"/>
      <w:bookmarkEnd w:id="3918"/>
      <w:bookmarkEnd w:id="3919"/>
      <w:bookmarkEnd w:id="3920"/>
    </w:p>
    <w:p>
      <w:pPr>
        <w:adjustRightInd w:val="0"/>
        <w:snapToGrid w:val="0"/>
        <w:spacing w:line="360" w:lineRule="auto"/>
        <w:ind w:firstLine="500"/>
        <w:rPr>
          <w:color w:val="auto"/>
          <w:highlight w:val="none"/>
        </w:rPr>
      </w:pPr>
      <w:r>
        <w:rPr>
          <w:rFonts w:hint="eastAsia"/>
          <w:color w:val="auto"/>
          <w:highlight w:val="none"/>
        </w:rPr>
        <w:t>对承包人违约的处理：</w:t>
      </w:r>
      <w:r>
        <w:rPr>
          <w:rStyle w:val="248"/>
          <w:rFonts w:ascii="宋体" w:hAnsi="宋体" w:eastAsia="宋体"/>
          <w:color w:val="auto"/>
          <w:highlight w:val="none"/>
        </w:rPr>
        <w:t>详见《项目专用合同条款数据表》</w:t>
      </w:r>
      <w:r>
        <w:rPr>
          <w:rStyle w:val="248"/>
          <w:rFonts w:hint="eastAsia"/>
          <w:color w:val="auto"/>
          <w:highlight w:val="none"/>
          <w:lang w:val="en-US"/>
        </w:rPr>
        <w:t xml:space="preserve">   </w:t>
      </w:r>
      <w:r>
        <w:rPr>
          <w:rFonts w:hint="eastAsia"/>
          <w:color w:val="auto"/>
          <w:highlight w:val="none"/>
          <w:lang w:bidi="en-US"/>
        </w:rPr>
        <w:t>。</w:t>
      </w:r>
    </w:p>
    <w:p>
      <w:pPr>
        <w:pStyle w:val="243"/>
        <w:keepNext/>
        <w:keepLines/>
        <w:shd w:val="clear" w:color="auto" w:fill="auto"/>
        <w:adjustRightInd w:val="0"/>
        <w:snapToGrid w:val="0"/>
        <w:spacing w:line="360" w:lineRule="auto"/>
        <w:ind w:firstLine="500"/>
        <w:jc w:val="left"/>
        <w:outlineLvl w:val="9"/>
        <w:rPr>
          <w:rFonts w:ascii="宋体" w:hAnsi="宋体" w:eastAsia="宋体"/>
          <w:color w:val="auto"/>
          <w:highlight w:val="none"/>
          <w:lang w:bidi="en-US"/>
        </w:rPr>
      </w:pPr>
      <w:bookmarkStart w:id="3921" w:name="bookmark56"/>
    </w:p>
    <w:p>
      <w:pPr>
        <w:adjustRightInd w:val="0"/>
        <w:snapToGrid w:val="0"/>
        <w:spacing w:line="360" w:lineRule="auto"/>
        <w:ind w:firstLine="440" w:firstLineChars="200"/>
        <w:rPr>
          <w:color w:val="auto"/>
          <w:highlight w:val="none"/>
        </w:rPr>
      </w:pPr>
      <w:bookmarkStart w:id="3922" w:name="_Toc19009"/>
      <w:bookmarkStart w:id="3923" w:name="_Toc20815"/>
      <w:bookmarkStart w:id="3924" w:name="_Toc14994"/>
      <w:bookmarkStart w:id="3925" w:name="_Toc21250"/>
      <w:bookmarkStart w:id="3926" w:name="_Toc4890"/>
      <w:r>
        <w:rPr>
          <w:rFonts w:hint="eastAsia"/>
          <w:color w:val="auto"/>
          <w:highlight w:val="none"/>
        </w:rPr>
        <w:t>22.1.3承包人违约解除合同</w:t>
      </w:r>
      <w:bookmarkEnd w:id="3921"/>
      <w:bookmarkEnd w:id="3922"/>
      <w:bookmarkEnd w:id="3923"/>
      <w:bookmarkEnd w:id="3924"/>
      <w:bookmarkEnd w:id="3925"/>
      <w:bookmarkEnd w:id="3926"/>
    </w:p>
    <w:p>
      <w:pPr>
        <w:adjustRightInd w:val="0"/>
        <w:snapToGrid w:val="0"/>
        <w:spacing w:line="360" w:lineRule="auto"/>
        <w:ind w:firstLine="500"/>
        <w:rPr>
          <w:color w:val="auto"/>
          <w:highlight w:val="none"/>
        </w:rPr>
      </w:pPr>
      <w:r>
        <w:rPr>
          <w:rFonts w:hint="eastAsia"/>
          <w:color w:val="auto"/>
          <w:highlight w:val="none"/>
        </w:rPr>
        <w:t>本项补充：</w:t>
      </w:r>
    </w:p>
    <w:p>
      <w:pPr>
        <w:adjustRightInd w:val="0"/>
        <w:snapToGrid w:val="0"/>
        <w:spacing w:line="360" w:lineRule="auto"/>
        <w:ind w:firstLine="500"/>
        <w:rPr>
          <w:color w:val="auto"/>
          <w:highlight w:val="none"/>
        </w:rPr>
      </w:pPr>
      <w:r>
        <w:rPr>
          <w:rFonts w:hint="eastAsia"/>
          <w:color w:val="auto"/>
          <w:highlight w:val="none"/>
        </w:rPr>
        <w:t>承包人对本工程进行转包或违规分包，除没收其履约担保外，还应赔偿发包人工程损失费，同时发包人有权解除合同并上报交通主管部门记入其信用档案中。</w:t>
      </w:r>
    </w:p>
    <w:p>
      <w:pPr>
        <w:pStyle w:val="243"/>
        <w:keepNext/>
        <w:keepLines/>
        <w:shd w:val="clear" w:color="auto" w:fill="auto"/>
        <w:adjustRightInd w:val="0"/>
        <w:snapToGrid w:val="0"/>
        <w:spacing w:line="360" w:lineRule="auto"/>
        <w:ind w:firstLine="0"/>
        <w:jc w:val="left"/>
        <w:outlineLvl w:val="9"/>
        <w:rPr>
          <w:rFonts w:ascii="宋体" w:hAnsi="宋体" w:eastAsia="宋体"/>
          <w:color w:val="auto"/>
          <w:highlight w:val="none"/>
          <w:lang w:bidi="en-US"/>
        </w:rPr>
      </w:pPr>
      <w:bookmarkStart w:id="3927" w:name="bookmark57"/>
    </w:p>
    <w:p>
      <w:pPr>
        <w:adjustRightInd w:val="0"/>
        <w:snapToGrid w:val="0"/>
        <w:spacing w:line="360" w:lineRule="auto"/>
        <w:rPr>
          <w:b/>
          <w:bCs/>
          <w:color w:val="auto"/>
          <w:highlight w:val="none"/>
        </w:rPr>
      </w:pPr>
      <w:bookmarkStart w:id="3928" w:name="_Toc27232"/>
      <w:bookmarkStart w:id="3929" w:name="_Toc22418"/>
      <w:bookmarkStart w:id="3930" w:name="_Toc14953"/>
      <w:bookmarkStart w:id="3931" w:name="_Toc28533"/>
      <w:bookmarkStart w:id="3932" w:name="_Toc28817"/>
      <w:bookmarkStart w:id="3933" w:name="_Toc19993"/>
      <w:bookmarkStart w:id="3934" w:name="_Toc24533"/>
      <w:bookmarkStart w:id="3935" w:name="_Toc18772"/>
      <w:bookmarkStart w:id="3936" w:name="_Toc11789"/>
      <w:bookmarkStart w:id="3937" w:name="_Toc28086"/>
      <w:bookmarkStart w:id="3938" w:name="_Toc23173"/>
      <w:r>
        <w:rPr>
          <w:rFonts w:hint="eastAsia"/>
          <w:b/>
          <w:bCs/>
          <w:color w:val="auto"/>
          <w:highlight w:val="none"/>
        </w:rPr>
        <w:t>22.2发包人违约</w:t>
      </w:r>
      <w:bookmarkEnd w:id="3927"/>
      <w:bookmarkEnd w:id="3928"/>
      <w:bookmarkEnd w:id="3929"/>
      <w:bookmarkEnd w:id="3930"/>
      <w:bookmarkEnd w:id="3931"/>
      <w:bookmarkEnd w:id="3932"/>
      <w:bookmarkEnd w:id="3933"/>
      <w:bookmarkEnd w:id="3934"/>
      <w:bookmarkEnd w:id="3935"/>
      <w:bookmarkEnd w:id="3936"/>
      <w:bookmarkEnd w:id="3937"/>
      <w:bookmarkEnd w:id="3938"/>
    </w:p>
    <w:p>
      <w:pPr>
        <w:adjustRightInd w:val="0"/>
        <w:snapToGrid w:val="0"/>
        <w:spacing w:line="360" w:lineRule="auto"/>
        <w:ind w:firstLine="500"/>
        <w:rPr>
          <w:color w:val="auto"/>
          <w:highlight w:val="none"/>
        </w:rPr>
      </w:pPr>
      <w:r>
        <w:rPr>
          <w:rFonts w:hint="eastAsia"/>
          <w:color w:val="auto"/>
          <w:highlight w:val="none"/>
          <w:lang w:bidi="en-US"/>
        </w:rPr>
        <w:t>22.2.2</w:t>
      </w:r>
      <w:r>
        <w:rPr>
          <w:rFonts w:hint="eastAsia"/>
          <w:color w:val="auto"/>
          <w:highlight w:val="none"/>
        </w:rPr>
        <w:t>发包人无正当理由不按时返还履约保证金、质量保证金或农民工工资保证金的，发包人应向承包人支付的违约金：</w:t>
      </w:r>
      <w:r>
        <w:rPr>
          <w:rStyle w:val="248"/>
          <w:rFonts w:ascii="宋体" w:hAnsi="宋体" w:eastAsia="宋体"/>
          <w:color w:val="auto"/>
          <w:highlight w:val="none"/>
        </w:rPr>
        <w:t>详见《项目专用合同条款数据表</w:t>
      </w:r>
      <w:r>
        <w:rPr>
          <w:rStyle w:val="249"/>
          <w:rFonts w:ascii="宋体" w:hAnsi="宋体" w:eastAsia="宋体"/>
          <w:color w:val="auto"/>
          <w:highlight w:val="none"/>
        </w:rPr>
        <w:t>》</w:t>
      </w:r>
      <w:r>
        <w:rPr>
          <w:rStyle w:val="249"/>
          <w:rFonts w:hint="eastAsia"/>
          <w:color w:val="auto"/>
          <w:highlight w:val="none"/>
          <w:u w:val="none"/>
        </w:rPr>
        <w:t>。</w:t>
      </w:r>
    </w:p>
    <w:p>
      <w:pPr>
        <w:pStyle w:val="241"/>
        <w:keepNext/>
        <w:keepLines/>
        <w:shd w:val="clear" w:color="auto" w:fill="auto"/>
        <w:adjustRightInd w:val="0"/>
        <w:snapToGrid w:val="0"/>
        <w:spacing w:before="0" w:line="360" w:lineRule="auto"/>
        <w:ind w:firstLine="0"/>
        <w:jc w:val="left"/>
        <w:outlineLvl w:val="2"/>
        <w:rPr>
          <w:rStyle w:val="262"/>
          <w:rFonts w:ascii="宋体" w:hAnsi="宋体" w:eastAsia="宋体"/>
          <w:color w:val="auto"/>
          <w:sz w:val="22"/>
          <w:highlight w:val="none"/>
          <w:lang w:eastAsia="zh-CN"/>
        </w:rPr>
      </w:pPr>
      <w:bookmarkStart w:id="3939" w:name="bookmark58"/>
    </w:p>
    <w:p>
      <w:pPr>
        <w:adjustRightInd w:val="0"/>
        <w:snapToGrid w:val="0"/>
        <w:spacing w:line="360" w:lineRule="auto"/>
        <w:outlineLvl w:val="2"/>
        <w:rPr>
          <w:b/>
          <w:bCs/>
          <w:color w:val="auto"/>
          <w:highlight w:val="none"/>
          <w:lang w:val="en-US"/>
        </w:rPr>
      </w:pPr>
      <w:bookmarkStart w:id="3940" w:name="_Toc13706"/>
      <w:bookmarkStart w:id="3941" w:name="_Toc3351"/>
      <w:bookmarkStart w:id="3942" w:name="_Toc17250"/>
      <w:bookmarkStart w:id="3943" w:name="_Toc22326"/>
      <w:bookmarkStart w:id="3944" w:name="_Toc14695"/>
      <w:bookmarkStart w:id="3945" w:name="_Toc29506"/>
      <w:bookmarkStart w:id="3946" w:name="_Toc22710"/>
      <w:bookmarkStart w:id="3947" w:name="_Toc9612"/>
      <w:bookmarkStart w:id="3948" w:name="_Toc27747"/>
      <w:bookmarkStart w:id="3949" w:name="_Toc3192"/>
      <w:bookmarkStart w:id="3950" w:name="_Toc29105"/>
      <w:bookmarkStart w:id="3951" w:name="_Toc27199"/>
      <w:bookmarkStart w:id="3952" w:name="_Toc21837"/>
      <w:bookmarkStart w:id="3953" w:name="_Toc171"/>
      <w:bookmarkStart w:id="3954" w:name="_Toc3272"/>
      <w:bookmarkStart w:id="3955" w:name="_Toc541"/>
      <w:bookmarkStart w:id="3956" w:name="_Toc6308"/>
      <w:bookmarkStart w:id="3957" w:name="_Toc5832"/>
      <w:bookmarkStart w:id="3958" w:name="_Toc9823"/>
      <w:bookmarkStart w:id="3959" w:name="_Toc16226"/>
      <w:bookmarkStart w:id="3960" w:name="_Toc28201"/>
      <w:r>
        <w:rPr>
          <w:rFonts w:hint="eastAsia"/>
          <w:b/>
          <w:bCs/>
          <w:color w:val="auto"/>
          <w:highlight w:val="none"/>
          <w:lang w:val="en-US"/>
        </w:rPr>
        <w:t>23.</w:t>
      </w:r>
      <w:r>
        <w:rPr>
          <w:rFonts w:hint="eastAsia"/>
          <w:b/>
          <w:bCs/>
          <w:color w:val="auto"/>
          <w:highlight w:val="none"/>
        </w:rPr>
        <w:t>索赔</w:t>
      </w:r>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p>
    <w:p>
      <w:pPr>
        <w:adjustRightInd w:val="0"/>
        <w:snapToGrid w:val="0"/>
        <w:spacing w:line="360" w:lineRule="auto"/>
        <w:ind w:firstLine="500"/>
        <w:rPr>
          <w:rFonts w:asciiTheme="minorEastAsia" w:hAnsiTheme="minorEastAsia" w:eastAsiaTheme="minorEastAsia"/>
          <w:color w:val="auto"/>
          <w:highlight w:val="none"/>
        </w:rPr>
      </w:pPr>
      <w:r>
        <w:rPr>
          <w:rFonts w:hint="eastAsia"/>
          <w:color w:val="auto"/>
          <w:highlight w:val="none"/>
        </w:rPr>
        <w:t>本条不适用</w:t>
      </w:r>
      <w:r>
        <w:rPr>
          <w:rFonts w:asciiTheme="minorEastAsia" w:hAnsiTheme="minorEastAsia" w:eastAsiaTheme="minorEastAsia"/>
          <w:color w:val="auto"/>
          <w:highlight w:val="none"/>
          <w:lang w:val="en-US" w:bidi="en-US"/>
        </w:rPr>
        <w:t>。</w:t>
      </w:r>
    </w:p>
    <w:p>
      <w:pPr>
        <w:pStyle w:val="20"/>
        <w:adjustRightInd w:val="0"/>
        <w:snapToGrid w:val="0"/>
        <w:spacing w:line="360" w:lineRule="auto"/>
        <w:rPr>
          <w:rFonts w:asciiTheme="minorEastAsia" w:hAnsiTheme="minorEastAsia" w:eastAsiaTheme="minorEastAsia"/>
          <w:color w:val="auto"/>
          <w:sz w:val="22"/>
          <w:szCs w:val="22"/>
          <w:highlight w:val="none"/>
        </w:rPr>
      </w:pPr>
    </w:p>
    <w:p>
      <w:pPr>
        <w:pStyle w:val="20"/>
        <w:adjustRightInd w:val="0"/>
        <w:snapToGrid w:val="0"/>
        <w:spacing w:line="360" w:lineRule="auto"/>
        <w:rPr>
          <w:rFonts w:asciiTheme="minorEastAsia" w:hAnsiTheme="minorEastAsia" w:eastAsiaTheme="minorEastAsia"/>
          <w:color w:val="auto"/>
          <w:sz w:val="22"/>
          <w:szCs w:val="22"/>
          <w:highlight w:val="none"/>
        </w:rPr>
      </w:pPr>
    </w:p>
    <w:p>
      <w:pPr>
        <w:pStyle w:val="20"/>
        <w:spacing w:before="8"/>
        <w:rPr>
          <w:rFonts w:ascii="Times New Roman"/>
          <w:color w:val="auto"/>
          <w:sz w:val="19"/>
          <w:highlight w:val="none"/>
        </w:rPr>
        <w:sectPr>
          <w:pgSz w:w="11910" w:h="16850"/>
          <w:pgMar w:top="1418" w:right="1191" w:bottom="1418" w:left="1191" w:header="876" w:footer="853" w:gutter="0"/>
          <w:cols w:space="720" w:num="1"/>
        </w:sectPr>
      </w:pPr>
    </w:p>
    <w:p>
      <w:pPr>
        <w:pStyle w:val="20"/>
        <w:spacing w:before="8"/>
        <w:rPr>
          <w:rFonts w:ascii="Times New Roman"/>
          <w:color w:val="auto"/>
          <w:sz w:val="19"/>
          <w:highlight w:val="none"/>
        </w:rPr>
      </w:pPr>
    </w:p>
    <w:p>
      <w:pPr>
        <w:tabs>
          <w:tab w:val="left" w:pos="4341"/>
        </w:tabs>
        <w:spacing w:before="41"/>
        <w:ind w:left="2661"/>
        <w:outlineLvl w:val="2"/>
        <w:rPr>
          <w:rFonts w:ascii="黑体" w:eastAsia="黑体"/>
          <w:color w:val="auto"/>
          <w:sz w:val="42"/>
          <w:highlight w:val="none"/>
        </w:rPr>
      </w:pPr>
      <w:bookmarkStart w:id="3961" w:name="_bookmark269"/>
      <w:bookmarkEnd w:id="3961"/>
      <w:bookmarkStart w:id="3962" w:name="_Toc21240"/>
      <w:bookmarkStart w:id="3963" w:name="_Toc26391"/>
      <w:bookmarkStart w:id="3964" w:name="_Toc30739"/>
      <w:bookmarkStart w:id="3965" w:name="_Toc18279"/>
      <w:bookmarkStart w:id="3966" w:name="_Toc21512"/>
      <w:bookmarkStart w:id="3967" w:name="_Toc1724"/>
      <w:bookmarkStart w:id="3968" w:name="_Toc27564"/>
      <w:bookmarkStart w:id="3969" w:name="_Toc21939"/>
      <w:bookmarkStart w:id="3970" w:name="_Toc14017"/>
      <w:bookmarkStart w:id="3971" w:name="_Toc28209"/>
      <w:bookmarkStart w:id="3972" w:name="_Toc9978"/>
      <w:bookmarkStart w:id="3973" w:name="_Toc29082"/>
      <w:bookmarkStart w:id="3974" w:name="_Toc1173"/>
      <w:bookmarkStart w:id="3975" w:name="_Toc545"/>
      <w:bookmarkStart w:id="3976" w:name="_Toc6080"/>
      <w:bookmarkStart w:id="3977" w:name="_Toc32702"/>
      <w:bookmarkStart w:id="3978" w:name="_Toc126"/>
      <w:r>
        <w:rPr>
          <w:rFonts w:hint="eastAsia" w:ascii="黑体" w:eastAsia="黑体"/>
          <w:color w:val="auto"/>
          <w:sz w:val="42"/>
          <w:highlight w:val="none"/>
        </w:rPr>
        <w:t>第三节</w:t>
      </w:r>
      <w:r>
        <w:rPr>
          <w:rFonts w:hint="eastAsia" w:ascii="黑体" w:eastAsia="黑体"/>
          <w:color w:val="auto"/>
          <w:sz w:val="42"/>
          <w:highlight w:val="none"/>
        </w:rPr>
        <w:tab/>
      </w:r>
      <w:r>
        <w:rPr>
          <w:rFonts w:hint="eastAsia" w:ascii="黑体" w:eastAsia="黑体"/>
          <w:color w:val="auto"/>
          <w:sz w:val="42"/>
          <w:highlight w:val="none"/>
        </w:rPr>
        <w:t>合同附件格式</w:t>
      </w:r>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p>
    <w:p>
      <w:pPr>
        <w:rPr>
          <w:rFonts w:ascii="黑体" w:eastAsia="黑体"/>
          <w:color w:val="auto"/>
          <w:sz w:val="42"/>
          <w:highlight w:val="none"/>
        </w:rPr>
        <w:sectPr>
          <w:pgSz w:w="11910" w:h="16850"/>
          <w:pgMar w:top="1418" w:right="1191" w:bottom="1418" w:left="1191" w:header="876" w:footer="853" w:gutter="0"/>
          <w:cols w:space="720" w:num="1"/>
        </w:sectPr>
      </w:pPr>
    </w:p>
    <w:p>
      <w:pPr>
        <w:pStyle w:val="20"/>
        <w:spacing w:before="9"/>
        <w:rPr>
          <w:rFonts w:ascii="黑体"/>
          <w:color w:val="auto"/>
          <w:sz w:val="8"/>
          <w:highlight w:val="none"/>
        </w:rPr>
      </w:pPr>
    </w:p>
    <w:p>
      <w:pPr>
        <w:rPr>
          <w:rFonts w:ascii="黑体"/>
          <w:color w:val="auto"/>
          <w:sz w:val="8"/>
          <w:highlight w:val="none"/>
        </w:rPr>
        <w:sectPr>
          <w:pgSz w:w="11910" w:h="16850"/>
          <w:pgMar w:top="1418" w:right="1191" w:bottom="1418" w:left="1191" w:header="883" w:footer="884" w:gutter="0"/>
          <w:cols w:space="720" w:num="1"/>
        </w:sectPr>
      </w:pPr>
    </w:p>
    <w:p>
      <w:pPr>
        <w:pStyle w:val="20"/>
        <w:spacing w:before="66"/>
        <w:ind w:left="424"/>
        <w:outlineLvl w:val="2"/>
        <w:rPr>
          <w:rFonts w:ascii="黑体" w:eastAsia="黑体"/>
          <w:color w:val="auto"/>
          <w:highlight w:val="none"/>
        </w:rPr>
      </w:pPr>
      <w:bookmarkStart w:id="3979" w:name="_bookmark270"/>
      <w:bookmarkEnd w:id="3979"/>
      <w:bookmarkStart w:id="3980" w:name="_Toc23634"/>
      <w:bookmarkStart w:id="3981" w:name="_Toc18943"/>
      <w:bookmarkStart w:id="3982" w:name="_Toc28276"/>
      <w:bookmarkStart w:id="3983" w:name="_Toc15577"/>
      <w:r>
        <w:rPr>
          <w:rFonts w:hint="eastAsia" w:ascii="黑体" w:eastAsia="黑体"/>
          <w:color w:val="auto"/>
          <w:highlight w:val="none"/>
        </w:rPr>
        <w:t>附件一 合同协议书</w:t>
      </w:r>
      <w:bookmarkEnd w:id="3980"/>
      <w:bookmarkEnd w:id="3981"/>
      <w:bookmarkEnd w:id="3982"/>
      <w:bookmarkEnd w:id="3983"/>
    </w:p>
    <w:p>
      <w:pPr>
        <w:pStyle w:val="20"/>
        <w:rPr>
          <w:rFonts w:ascii="黑体"/>
          <w:color w:val="auto"/>
          <w:sz w:val="35"/>
          <w:highlight w:val="none"/>
        </w:rPr>
      </w:pPr>
      <w:r>
        <w:rPr>
          <w:color w:val="auto"/>
          <w:highlight w:val="none"/>
        </w:rPr>
        <w:br w:type="column"/>
      </w:r>
    </w:p>
    <w:p>
      <w:pPr>
        <w:ind w:left="424"/>
        <w:rPr>
          <w:rFonts w:ascii="黑体" w:eastAsia="黑体"/>
          <w:color w:val="auto"/>
          <w:sz w:val="28"/>
          <w:highlight w:val="none"/>
        </w:rPr>
      </w:pPr>
      <w:r>
        <w:rPr>
          <w:rFonts w:hint="eastAsia" w:ascii="黑体" w:eastAsia="黑体"/>
          <w:color w:val="auto"/>
          <w:sz w:val="28"/>
          <w:highlight w:val="none"/>
        </w:rPr>
        <w:t>合 同 协 议 书</w:t>
      </w:r>
    </w:p>
    <w:p>
      <w:pPr>
        <w:rPr>
          <w:rFonts w:ascii="黑体" w:eastAsia="黑体"/>
          <w:color w:val="auto"/>
          <w:sz w:val="28"/>
          <w:highlight w:val="none"/>
        </w:rPr>
        <w:sectPr>
          <w:type w:val="continuous"/>
          <w:pgSz w:w="11910" w:h="16850"/>
          <w:pgMar w:top="1418" w:right="1191" w:bottom="1418" w:left="1191" w:header="720" w:footer="720" w:gutter="0"/>
          <w:cols w:equalWidth="0" w:num="2">
            <w:col w:w="2534" w:space="853"/>
            <w:col w:w="6141"/>
          </w:cols>
        </w:sectPr>
      </w:pPr>
    </w:p>
    <w:p>
      <w:pPr>
        <w:pStyle w:val="20"/>
        <w:rPr>
          <w:rFonts w:ascii="黑体"/>
          <w:color w:val="auto"/>
          <w:sz w:val="20"/>
          <w:highlight w:val="none"/>
        </w:rPr>
      </w:pPr>
    </w:p>
    <w:p>
      <w:pPr>
        <w:pStyle w:val="20"/>
        <w:spacing w:before="1"/>
        <w:rPr>
          <w:rFonts w:ascii="黑体"/>
          <w:color w:val="auto"/>
          <w:sz w:val="18"/>
          <w:highlight w:val="none"/>
        </w:rPr>
      </w:pPr>
    </w:p>
    <w:p>
      <w:pPr>
        <w:pStyle w:val="20"/>
        <w:tabs>
          <w:tab w:val="left" w:pos="2104"/>
          <w:tab w:val="left" w:pos="3156"/>
          <w:tab w:val="left" w:pos="8619"/>
          <w:tab w:val="left" w:pos="8861"/>
        </w:tabs>
        <w:spacing w:before="74" w:line="343" w:lineRule="auto"/>
        <w:ind w:left="424" w:right="382" w:firstLine="479"/>
        <w:jc w:val="both"/>
        <w:rPr>
          <w:color w:val="auto"/>
          <w:highlight w:val="none"/>
        </w:rPr>
      </w:pPr>
      <w:r>
        <w:rPr>
          <w:rFonts w:ascii="Times New Roman" w:hAnsi="Times New Roman" w:eastAsia="Times New Roman"/>
          <w:color w:val="auto"/>
          <w:highlight w:val="none"/>
          <w:u w:val="single"/>
        </w:rPr>
        <w:tab/>
      </w:r>
      <w:r>
        <w:rPr>
          <w:color w:val="auto"/>
          <w:highlight w:val="none"/>
        </w:rPr>
        <w:t>（发包人名称</w:t>
      </w:r>
      <w:r>
        <w:rPr>
          <w:color w:val="auto"/>
          <w:spacing w:val="-60"/>
          <w:highlight w:val="none"/>
        </w:rPr>
        <w:t>，</w:t>
      </w:r>
      <w:r>
        <w:rPr>
          <w:color w:val="auto"/>
          <w:highlight w:val="none"/>
        </w:rPr>
        <w:t>以下简称</w:t>
      </w:r>
      <w:r>
        <w:rPr>
          <w:rFonts w:ascii="Times New Roman" w:hAnsi="Times New Roman" w:eastAsia="Times New Roman"/>
          <w:color w:val="auto"/>
          <w:highlight w:val="none"/>
        </w:rPr>
        <w:t>“</w:t>
      </w:r>
      <w:r>
        <w:rPr>
          <w:color w:val="auto"/>
          <w:highlight w:val="none"/>
        </w:rPr>
        <w:t>发包人</w:t>
      </w:r>
      <w:r>
        <w:rPr>
          <w:rFonts w:ascii="Times New Roman" w:hAnsi="Times New Roman" w:eastAsia="Times New Roman"/>
          <w:color w:val="auto"/>
          <w:spacing w:val="-30"/>
          <w:highlight w:val="none"/>
        </w:rPr>
        <w:t>”</w:t>
      </w:r>
      <w:r>
        <w:rPr>
          <w:color w:val="auto"/>
          <w:spacing w:val="-30"/>
          <w:highlight w:val="none"/>
        </w:rPr>
        <w:t>）</w:t>
      </w:r>
      <w:r>
        <w:rPr>
          <w:color w:val="auto"/>
          <w:highlight w:val="none"/>
        </w:rPr>
        <w:t>为实施</w:t>
      </w:r>
      <w:r>
        <w:rPr>
          <w:color w:val="auto"/>
          <w:highlight w:val="none"/>
          <w:u w:val="single"/>
        </w:rPr>
        <w:tab/>
      </w:r>
      <w:r>
        <w:rPr>
          <w:color w:val="auto"/>
          <w:highlight w:val="none"/>
          <w:u w:val="single"/>
        </w:rPr>
        <w:t>（</w:t>
      </w:r>
      <w:r>
        <w:rPr>
          <w:color w:val="auto"/>
          <w:highlight w:val="none"/>
        </w:rPr>
        <w:t>项目名</w:t>
      </w:r>
      <w:r>
        <w:rPr>
          <w:color w:val="auto"/>
          <w:spacing w:val="-1"/>
          <w:highlight w:val="none"/>
        </w:rPr>
        <w:t>称</w:t>
      </w:r>
      <w:r>
        <w:rPr>
          <w:color w:val="auto"/>
          <w:spacing w:val="-120"/>
          <w:highlight w:val="none"/>
        </w:rPr>
        <w:t>）</w:t>
      </w:r>
      <w:r>
        <w:rPr>
          <w:color w:val="auto"/>
          <w:spacing w:val="-15"/>
          <w:highlight w:val="none"/>
        </w:rPr>
        <w:t>，</w:t>
      </w:r>
      <w:r>
        <w:rPr>
          <w:color w:val="auto"/>
          <w:highlight w:val="none"/>
        </w:rPr>
        <w:t>已接受</w:t>
      </w:r>
      <w:r>
        <w:rPr>
          <w:rFonts w:ascii="Times New Roman" w:hAnsi="Times New Roman" w:eastAsia="Times New Roman"/>
          <w:color w:val="auto"/>
          <w:highlight w:val="none"/>
          <w:u w:val="single"/>
        </w:rPr>
        <w:tab/>
      </w:r>
      <w:r>
        <w:rPr>
          <w:color w:val="auto"/>
          <w:highlight w:val="none"/>
        </w:rPr>
        <w:t>（承包人名称</w:t>
      </w:r>
      <w:r>
        <w:rPr>
          <w:color w:val="auto"/>
          <w:spacing w:val="-15"/>
          <w:highlight w:val="none"/>
        </w:rPr>
        <w:t>，</w:t>
      </w:r>
      <w:r>
        <w:rPr>
          <w:color w:val="auto"/>
          <w:highlight w:val="none"/>
        </w:rPr>
        <w:t>以下简称</w:t>
      </w:r>
      <w:r>
        <w:rPr>
          <w:rFonts w:ascii="Times New Roman" w:hAnsi="Times New Roman" w:eastAsia="Times New Roman"/>
          <w:color w:val="auto"/>
          <w:spacing w:val="-1"/>
          <w:highlight w:val="none"/>
        </w:rPr>
        <w:t>“</w:t>
      </w:r>
      <w:r>
        <w:rPr>
          <w:color w:val="auto"/>
          <w:highlight w:val="none"/>
        </w:rPr>
        <w:t>承包人</w:t>
      </w:r>
      <w:r>
        <w:rPr>
          <w:rFonts w:ascii="Times New Roman" w:hAnsi="Times New Roman" w:eastAsia="Times New Roman"/>
          <w:color w:val="auto"/>
          <w:spacing w:val="-1"/>
          <w:highlight w:val="none"/>
        </w:rPr>
        <w:t>”</w:t>
      </w:r>
      <w:r>
        <w:rPr>
          <w:color w:val="auto"/>
          <w:spacing w:val="-15"/>
          <w:highlight w:val="none"/>
        </w:rPr>
        <w:t>）</w:t>
      </w:r>
      <w:r>
        <w:rPr>
          <w:color w:val="auto"/>
          <w:highlight w:val="none"/>
        </w:rPr>
        <w:t>对</w:t>
      </w:r>
      <w:r>
        <w:rPr>
          <w:color w:val="auto"/>
          <w:spacing w:val="1"/>
          <w:highlight w:val="none"/>
        </w:rPr>
        <w:t>该</w:t>
      </w:r>
      <w:r>
        <w:rPr>
          <w:color w:val="auto"/>
          <w:highlight w:val="none"/>
        </w:rPr>
        <w:t>项目</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color w:val="auto"/>
          <w:highlight w:val="none"/>
        </w:rPr>
        <w:t>标段施工的投标。发包人和承包人共同达成如下协议。</w:t>
      </w:r>
    </w:p>
    <w:p>
      <w:pPr>
        <w:pStyle w:val="86"/>
        <w:numPr>
          <w:ilvl w:val="3"/>
          <w:numId w:val="39"/>
        </w:numPr>
        <w:tabs>
          <w:tab w:val="left" w:pos="1342"/>
          <w:tab w:val="left" w:pos="2224"/>
        </w:tabs>
        <w:spacing w:before="1" w:line="343" w:lineRule="auto"/>
        <w:ind w:right="384" w:firstLine="617"/>
        <w:jc w:val="both"/>
        <w:rPr>
          <w:color w:val="auto"/>
          <w:sz w:val="24"/>
          <w:highlight w:val="none"/>
        </w:rPr>
      </w:pPr>
      <w:r>
        <w:rPr>
          <w:color w:val="auto"/>
          <w:sz w:val="24"/>
          <w:highlight w:val="none"/>
        </w:rPr>
        <w:t>第标段由</w:t>
      </w:r>
      <w:r>
        <w:rPr>
          <w:rFonts w:ascii="Times New Roman" w:eastAsia="Times New Roman"/>
          <w:color w:val="auto"/>
          <w:sz w:val="24"/>
          <w:highlight w:val="none"/>
        </w:rPr>
        <w:t>K</w:t>
      </w:r>
      <w:r>
        <w:rPr>
          <w:color w:val="auto"/>
          <w:sz w:val="24"/>
          <w:highlight w:val="none"/>
        </w:rPr>
        <w:t>＋至</w:t>
      </w:r>
      <w:r>
        <w:rPr>
          <w:rFonts w:ascii="Times New Roman" w:eastAsia="Times New Roman"/>
          <w:color w:val="auto"/>
          <w:sz w:val="24"/>
          <w:highlight w:val="none"/>
        </w:rPr>
        <w:t>K</w:t>
      </w:r>
      <w:r>
        <w:rPr>
          <w:color w:val="auto"/>
          <w:sz w:val="24"/>
          <w:highlight w:val="none"/>
        </w:rPr>
        <w:t>＋，长约</w:t>
      </w:r>
      <w:r>
        <w:rPr>
          <w:rFonts w:ascii="Times New Roman" w:eastAsia="Times New Roman"/>
          <w:color w:val="auto"/>
          <w:sz w:val="24"/>
          <w:highlight w:val="none"/>
        </w:rPr>
        <w:t>km</w:t>
      </w:r>
      <w:r>
        <w:rPr>
          <w:color w:val="auto"/>
          <w:sz w:val="24"/>
          <w:highlight w:val="none"/>
        </w:rPr>
        <w:t>，公路等级为，设计速度为</w:t>
      </w:r>
      <w:r>
        <w:rPr>
          <w:color w:val="auto"/>
          <w:sz w:val="24"/>
          <w:highlight w:val="none"/>
          <w:u w:val="single"/>
        </w:rPr>
        <w:tab/>
      </w:r>
      <w:r>
        <w:rPr>
          <w:color w:val="auto"/>
          <w:spacing w:val="-8"/>
          <w:sz w:val="24"/>
          <w:highlight w:val="none"/>
        </w:rPr>
        <w:t>，</w:t>
      </w:r>
      <w:r>
        <w:rPr>
          <w:color w:val="auto"/>
          <w:sz w:val="24"/>
          <w:highlight w:val="none"/>
        </w:rPr>
        <w:t>路面</w:t>
      </w:r>
      <w:r>
        <w:rPr>
          <w:color w:val="auto"/>
          <w:spacing w:val="-8"/>
          <w:sz w:val="24"/>
          <w:highlight w:val="none"/>
        </w:rPr>
        <w:t>，</w:t>
      </w:r>
      <w:r>
        <w:rPr>
          <w:color w:val="auto"/>
          <w:sz w:val="24"/>
          <w:highlight w:val="none"/>
        </w:rPr>
        <w:t>有 立交 处</w:t>
      </w:r>
      <w:r>
        <w:rPr>
          <w:color w:val="auto"/>
          <w:spacing w:val="-8"/>
          <w:sz w:val="24"/>
          <w:highlight w:val="none"/>
        </w:rPr>
        <w:t>；</w:t>
      </w:r>
      <w:r>
        <w:rPr>
          <w:color w:val="auto"/>
          <w:sz w:val="24"/>
          <w:highlight w:val="none"/>
        </w:rPr>
        <w:t>特大桥 座</w:t>
      </w:r>
      <w:r>
        <w:rPr>
          <w:color w:val="auto"/>
          <w:spacing w:val="-8"/>
          <w:sz w:val="24"/>
          <w:highlight w:val="none"/>
        </w:rPr>
        <w:t>，</w:t>
      </w:r>
      <w:r>
        <w:rPr>
          <w:color w:val="auto"/>
          <w:sz w:val="24"/>
          <w:highlight w:val="none"/>
        </w:rPr>
        <w:t>计长</w:t>
      </w:r>
      <w:r>
        <w:rPr>
          <w:rFonts w:ascii="Times New Roman" w:eastAsia="Times New Roman"/>
          <w:color w:val="auto"/>
          <w:spacing w:val="-4"/>
          <w:sz w:val="24"/>
          <w:highlight w:val="none"/>
        </w:rPr>
        <w:t>m</w:t>
      </w:r>
      <w:r>
        <w:rPr>
          <w:color w:val="auto"/>
          <w:spacing w:val="-4"/>
          <w:sz w:val="24"/>
          <w:highlight w:val="none"/>
        </w:rPr>
        <w:t>；</w:t>
      </w:r>
      <w:r>
        <w:rPr>
          <w:color w:val="auto"/>
          <w:sz w:val="24"/>
          <w:highlight w:val="none"/>
        </w:rPr>
        <w:t xml:space="preserve">大中桥座，计长 </w:t>
      </w:r>
      <w:r>
        <w:rPr>
          <w:rFonts w:ascii="Times New Roman" w:eastAsia="Times New Roman"/>
          <w:color w:val="auto"/>
          <w:sz w:val="24"/>
          <w:highlight w:val="none"/>
        </w:rPr>
        <w:t>m</w:t>
      </w:r>
      <w:r>
        <w:rPr>
          <w:color w:val="auto"/>
          <w:sz w:val="24"/>
          <w:highlight w:val="none"/>
        </w:rPr>
        <w:t xml:space="preserve">；隧道 座，计长 </w:t>
      </w:r>
      <w:r>
        <w:rPr>
          <w:rFonts w:ascii="Times New Roman" w:eastAsia="Times New Roman"/>
          <w:color w:val="auto"/>
          <w:sz w:val="24"/>
          <w:highlight w:val="none"/>
        </w:rPr>
        <w:t xml:space="preserve">m </w:t>
      </w:r>
      <w:r>
        <w:rPr>
          <w:color w:val="auto"/>
          <w:sz w:val="24"/>
          <w:highlight w:val="none"/>
        </w:rPr>
        <w:t>以及其他构造物工程等。</w:t>
      </w:r>
    </w:p>
    <w:p>
      <w:pPr>
        <w:pStyle w:val="86"/>
        <w:numPr>
          <w:ilvl w:val="3"/>
          <w:numId w:val="39"/>
        </w:numPr>
        <w:tabs>
          <w:tab w:val="left" w:pos="1342"/>
        </w:tabs>
        <w:spacing w:before="1"/>
        <w:ind w:firstLine="617"/>
        <w:rPr>
          <w:color w:val="auto"/>
          <w:sz w:val="24"/>
          <w:highlight w:val="none"/>
        </w:rPr>
      </w:pPr>
      <w:r>
        <w:rPr>
          <w:color w:val="auto"/>
          <w:sz w:val="24"/>
          <w:highlight w:val="none"/>
        </w:rPr>
        <w:t>下列文件应视为构成合同文件的组成部分：</w:t>
      </w:r>
    </w:p>
    <w:p>
      <w:pPr>
        <w:pStyle w:val="20"/>
        <w:spacing w:before="132" w:line="343" w:lineRule="auto"/>
        <w:ind w:left="424" w:right="418" w:firstLine="616"/>
        <w:rPr>
          <w:color w:val="auto"/>
          <w:highlight w:val="none"/>
        </w:rPr>
      </w:pPr>
      <w:r>
        <w:rPr>
          <w:color w:val="auto"/>
          <w:spacing w:val="-3"/>
          <w:highlight w:val="none"/>
        </w:rPr>
        <w:t>（</w:t>
      </w:r>
      <w:r>
        <w:rPr>
          <w:rFonts w:ascii="Times New Roman" w:eastAsia="Times New Roman"/>
          <w:color w:val="auto"/>
          <w:spacing w:val="-3"/>
          <w:highlight w:val="none"/>
        </w:rPr>
        <w:t>1</w:t>
      </w:r>
      <w:r>
        <w:rPr>
          <w:color w:val="auto"/>
          <w:spacing w:val="-3"/>
          <w:highlight w:val="none"/>
        </w:rPr>
        <w:t>）</w:t>
      </w:r>
      <w:r>
        <w:rPr>
          <w:color w:val="auto"/>
          <w:spacing w:val="-1"/>
          <w:highlight w:val="none"/>
        </w:rPr>
        <w:t>本协议书及各种合同附件</w:t>
      </w:r>
      <w:r>
        <w:rPr>
          <w:color w:val="auto"/>
          <w:highlight w:val="none"/>
        </w:rPr>
        <w:t>（含评标期间和合同谈判过程中的澄清文件和</w:t>
      </w:r>
      <w:r>
        <w:rPr>
          <w:color w:val="auto"/>
          <w:spacing w:val="-1"/>
          <w:highlight w:val="none"/>
        </w:rPr>
        <w:t>补充资料</w:t>
      </w:r>
      <w:r>
        <w:rPr>
          <w:color w:val="auto"/>
          <w:spacing w:val="-120"/>
          <w:highlight w:val="none"/>
        </w:rPr>
        <w:t>）</w:t>
      </w:r>
      <w:r>
        <w:rPr>
          <w:color w:val="auto"/>
          <w:highlight w:val="none"/>
        </w:rPr>
        <w:t>；</w:t>
      </w:r>
    </w:p>
    <w:p>
      <w:pPr>
        <w:pStyle w:val="20"/>
        <w:spacing w:before="2"/>
        <w:ind w:left="1041"/>
        <w:rPr>
          <w:color w:val="auto"/>
          <w:highlight w:val="none"/>
        </w:rPr>
      </w:pPr>
      <w:r>
        <w:rPr>
          <w:color w:val="auto"/>
          <w:highlight w:val="none"/>
        </w:rPr>
        <w:t>（</w:t>
      </w:r>
      <w:r>
        <w:rPr>
          <w:rFonts w:ascii="Times New Roman" w:eastAsia="Times New Roman"/>
          <w:color w:val="auto"/>
          <w:highlight w:val="none"/>
        </w:rPr>
        <w:t>2</w:t>
      </w:r>
      <w:r>
        <w:rPr>
          <w:color w:val="auto"/>
          <w:highlight w:val="none"/>
        </w:rPr>
        <w:t>）中标通知书；</w:t>
      </w:r>
    </w:p>
    <w:p>
      <w:pPr>
        <w:pStyle w:val="20"/>
        <w:spacing w:before="131"/>
        <w:ind w:left="1041"/>
        <w:rPr>
          <w:color w:val="auto"/>
          <w:highlight w:val="none"/>
        </w:rPr>
      </w:pPr>
      <w:r>
        <w:rPr>
          <w:color w:val="auto"/>
          <w:highlight w:val="none"/>
        </w:rPr>
        <w:t>（</w:t>
      </w:r>
      <w:r>
        <w:rPr>
          <w:rFonts w:ascii="Times New Roman" w:eastAsia="Times New Roman"/>
          <w:color w:val="auto"/>
          <w:highlight w:val="none"/>
        </w:rPr>
        <w:t>3</w:t>
      </w:r>
      <w:r>
        <w:rPr>
          <w:color w:val="auto"/>
          <w:highlight w:val="none"/>
        </w:rPr>
        <w:t>）投标函及投标函附录；</w:t>
      </w:r>
    </w:p>
    <w:p>
      <w:pPr>
        <w:pStyle w:val="20"/>
        <w:spacing w:before="132"/>
        <w:ind w:left="1041"/>
        <w:rPr>
          <w:color w:val="auto"/>
          <w:highlight w:val="none"/>
        </w:rPr>
      </w:pPr>
      <w:r>
        <w:rPr>
          <w:color w:val="auto"/>
          <w:highlight w:val="none"/>
        </w:rPr>
        <w:t>（</w:t>
      </w:r>
      <w:r>
        <w:rPr>
          <w:rFonts w:ascii="Times New Roman" w:eastAsia="Times New Roman"/>
          <w:color w:val="auto"/>
          <w:highlight w:val="none"/>
        </w:rPr>
        <w:t>4</w:t>
      </w:r>
      <w:r>
        <w:rPr>
          <w:color w:val="auto"/>
          <w:highlight w:val="none"/>
        </w:rPr>
        <w:t>）项目专用合同条款；</w:t>
      </w:r>
    </w:p>
    <w:p>
      <w:pPr>
        <w:pStyle w:val="20"/>
        <w:spacing w:before="134"/>
        <w:ind w:left="1041"/>
        <w:rPr>
          <w:color w:val="auto"/>
          <w:highlight w:val="none"/>
        </w:rPr>
      </w:pPr>
      <w:r>
        <w:rPr>
          <w:color w:val="auto"/>
          <w:highlight w:val="none"/>
        </w:rPr>
        <w:t>（</w:t>
      </w:r>
      <w:r>
        <w:rPr>
          <w:rFonts w:ascii="Times New Roman" w:eastAsia="Times New Roman"/>
          <w:color w:val="auto"/>
          <w:highlight w:val="none"/>
        </w:rPr>
        <w:t>5</w:t>
      </w:r>
      <w:r>
        <w:rPr>
          <w:color w:val="auto"/>
          <w:highlight w:val="none"/>
        </w:rPr>
        <w:t>）公路工程专用合同条款；</w:t>
      </w:r>
    </w:p>
    <w:p>
      <w:pPr>
        <w:pStyle w:val="20"/>
        <w:spacing w:before="132"/>
        <w:ind w:left="1041"/>
        <w:rPr>
          <w:color w:val="auto"/>
          <w:highlight w:val="none"/>
        </w:rPr>
      </w:pPr>
      <w:r>
        <w:rPr>
          <w:color w:val="auto"/>
          <w:highlight w:val="none"/>
        </w:rPr>
        <w:t>（</w:t>
      </w:r>
      <w:r>
        <w:rPr>
          <w:rFonts w:ascii="Times New Roman" w:eastAsia="Times New Roman"/>
          <w:color w:val="auto"/>
          <w:highlight w:val="none"/>
        </w:rPr>
        <w:t>6</w:t>
      </w:r>
      <w:r>
        <w:rPr>
          <w:color w:val="auto"/>
          <w:highlight w:val="none"/>
        </w:rPr>
        <w:t>）通用合同条款；</w:t>
      </w:r>
    </w:p>
    <w:p>
      <w:pPr>
        <w:pStyle w:val="20"/>
        <w:spacing w:before="132"/>
        <w:ind w:left="1041"/>
        <w:rPr>
          <w:color w:val="auto"/>
          <w:highlight w:val="none"/>
        </w:rPr>
      </w:pPr>
      <w:r>
        <w:rPr>
          <w:color w:val="auto"/>
          <w:highlight w:val="none"/>
        </w:rPr>
        <w:t>（</w:t>
      </w:r>
      <w:r>
        <w:rPr>
          <w:rFonts w:ascii="Times New Roman" w:eastAsia="Times New Roman"/>
          <w:color w:val="auto"/>
          <w:highlight w:val="none"/>
        </w:rPr>
        <w:t>7</w:t>
      </w:r>
      <w:r>
        <w:rPr>
          <w:color w:val="auto"/>
          <w:highlight w:val="none"/>
        </w:rPr>
        <w:t>）工程量清单计量规则；</w:t>
      </w:r>
    </w:p>
    <w:p>
      <w:pPr>
        <w:pStyle w:val="20"/>
        <w:spacing w:before="134"/>
        <w:ind w:left="1041"/>
        <w:rPr>
          <w:color w:val="auto"/>
          <w:highlight w:val="none"/>
        </w:rPr>
      </w:pPr>
      <w:r>
        <w:rPr>
          <w:color w:val="auto"/>
          <w:highlight w:val="none"/>
        </w:rPr>
        <w:t>（</w:t>
      </w:r>
      <w:r>
        <w:rPr>
          <w:rFonts w:ascii="Times New Roman" w:eastAsia="Times New Roman"/>
          <w:color w:val="auto"/>
          <w:highlight w:val="none"/>
        </w:rPr>
        <w:t>8</w:t>
      </w:r>
      <w:r>
        <w:rPr>
          <w:color w:val="auto"/>
          <w:highlight w:val="none"/>
        </w:rPr>
        <w:t>）技术规范；</w:t>
      </w:r>
    </w:p>
    <w:p>
      <w:pPr>
        <w:pStyle w:val="20"/>
        <w:spacing w:before="132"/>
        <w:ind w:left="1041"/>
        <w:rPr>
          <w:color w:val="auto"/>
          <w:highlight w:val="none"/>
        </w:rPr>
      </w:pPr>
      <w:r>
        <w:rPr>
          <w:color w:val="auto"/>
          <w:highlight w:val="none"/>
        </w:rPr>
        <w:t>（</w:t>
      </w:r>
      <w:r>
        <w:rPr>
          <w:rFonts w:ascii="Times New Roman" w:eastAsia="Times New Roman"/>
          <w:color w:val="auto"/>
          <w:highlight w:val="none"/>
        </w:rPr>
        <w:t>9</w:t>
      </w:r>
      <w:r>
        <w:rPr>
          <w:color w:val="auto"/>
          <w:highlight w:val="none"/>
        </w:rPr>
        <w:t>）图纸；</w:t>
      </w:r>
    </w:p>
    <w:p>
      <w:pPr>
        <w:pStyle w:val="20"/>
        <w:spacing w:before="131"/>
        <w:ind w:left="1041"/>
        <w:rPr>
          <w:color w:val="auto"/>
          <w:highlight w:val="none"/>
        </w:rPr>
      </w:pPr>
      <w:r>
        <w:rPr>
          <w:color w:val="auto"/>
          <w:highlight w:val="none"/>
        </w:rPr>
        <w:t>（</w:t>
      </w:r>
      <w:r>
        <w:rPr>
          <w:rFonts w:ascii="Times New Roman" w:eastAsia="Times New Roman"/>
          <w:color w:val="auto"/>
          <w:highlight w:val="none"/>
        </w:rPr>
        <w:t>10</w:t>
      </w:r>
      <w:r>
        <w:rPr>
          <w:color w:val="auto"/>
          <w:highlight w:val="none"/>
        </w:rPr>
        <w:t>）已标价工程量清单；</w:t>
      </w:r>
    </w:p>
    <w:p>
      <w:pPr>
        <w:pStyle w:val="20"/>
        <w:spacing w:before="135"/>
        <w:ind w:left="1041"/>
        <w:rPr>
          <w:color w:val="auto"/>
          <w:highlight w:val="none"/>
        </w:rPr>
      </w:pPr>
      <w:r>
        <w:rPr>
          <w:color w:val="auto"/>
          <w:highlight w:val="none"/>
        </w:rPr>
        <w:t>（</w:t>
      </w:r>
      <w:r>
        <w:rPr>
          <w:rFonts w:ascii="Times New Roman" w:eastAsia="Times New Roman"/>
          <w:color w:val="auto"/>
          <w:highlight w:val="none"/>
        </w:rPr>
        <w:t>11</w:t>
      </w:r>
      <w:r>
        <w:rPr>
          <w:color w:val="auto"/>
          <w:highlight w:val="none"/>
        </w:rPr>
        <w:t>）承包人有关人员、设备投入的承诺及投标文件中的施工组织设计；</w:t>
      </w:r>
    </w:p>
    <w:p>
      <w:pPr>
        <w:pStyle w:val="20"/>
        <w:spacing w:before="132"/>
        <w:ind w:left="1041"/>
        <w:rPr>
          <w:color w:val="auto"/>
          <w:highlight w:val="none"/>
        </w:rPr>
      </w:pPr>
      <w:r>
        <w:rPr>
          <w:color w:val="auto"/>
          <w:highlight w:val="none"/>
        </w:rPr>
        <w:t>（</w:t>
      </w:r>
      <w:r>
        <w:rPr>
          <w:rFonts w:ascii="Times New Roman" w:eastAsia="Times New Roman"/>
          <w:color w:val="auto"/>
          <w:highlight w:val="none"/>
        </w:rPr>
        <w:t>12</w:t>
      </w:r>
      <w:r>
        <w:rPr>
          <w:color w:val="auto"/>
          <w:highlight w:val="none"/>
        </w:rPr>
        <w:t>）其他合同文件。</w:t>
      </w:r>
    </w:p>
    <w:p>
      <w:pPr>
        <w:pStyle w:val="20"/>
        <w:spacing w:before="131" w:line="345" w:lineRule="auto"/>
        <w:ind w:left="424" w:right="427" w:firstLine="616"/>
        <w:rPr>
          <w:color w:val="auto"/>
          <w:highlight w:val="none"/>
        </w:rPr>
      </w:pPr>
      <w:r>
        <w:rPr>
          <w:color w:val="auto"/>
          <w:highlight w:val="none"/>
        </w:rPr>
        <w:t>上述合同文件互相补充和解释。如果合同文件之间存在矛盾或不一致之处， 以上述文件的排列顺序在先者为准。</w:t>
      </w:r>
    </w:p>
    <w:p>
      <w:pPr>
        <w:pStyle w:val="86"/>
        <w:numPr>
          <w:ilvl w:val="3"/>
          <w:numId w:val="39"/>
        </w:numPr>
        <w:tabs>
          <w:tab w:val="left" w:pos="1344"/>
          <w:tab w:val="left" w:pos="2584"/>
          <w:tab w:val="left" w:pos="4144"/>
        </w:tabs>
        <w:spacing w:line="343" w:lineRule="auto"/>
        <w:ind w:right="415" w:firstLine="617"/>
        <w:rPr>
          <w:color w:val="auto"/>
          <w:sz w:val="24"/>
          <w:highlight w:val="none"/>
        </w:rPr>
      </w:pPr>
      <w:r>
        <w:rPr>
          <w:color w:val="auto"/>
          <w:sz w:val="24"/>
          <w:highlight w:val="none"/>
        </w:rPr>
        <w:t>根据工程量清单所列的预计数量和单价或总额价计算</w:t>
      </w:r>
      <w:r>
        <w:rPr>
          <w:color w:val="auto"/>
          <w:spacing w:val="5"/>
          <w:sz w:val="24"/>
          <w:highlight w:val="none"/>
        </w:rPr>
        <w:t>的</w:t>
      </w:r>
      <w:r>
        <w:rPr>
          <w:color w:val="auto"/>
          <w:sz w:val="24"/>
          <w:highlight w:val="none"/>
        </w:rPr>
        <w:t>签约合同价：人民币（大写）</w:t>
      </w:r>
      <w:r>
        <w:rPr>
          <w:color w:val="auto"/>
          <w:sz w:val="24"/>
          <w:highlight w:val="none"/>
          <w:u w:val="single"/>
        </w:rPr>
        <w:tab/>
      </w:r>
      <w:r>
        <w:rPr>
          <w:color w:val="auto"/>
          <w:sz w:val="24"/>
          <w:highlight w:val="none"/>
        </w:rPr>
        <w:t>元（</w:t>
      </w:r>
      <w:r>
        <w:rPr>
          <w:rFonts w:ascii="Times New Roman" w:hAnsi="Times New Roman" w:eastAsia="Times New Roman"/>
          <w:color w:val="auto"/>
          <w:sz w:val="24"/>
          <w:highlight w:val="none"/>
        </w:rPr>
        <w:t>¥</w:t>
      </w:r>
      <w:r>
        <w:rPr>
          <w:rFonts w:ascii="Times New Roman" w:hAnsi="Times New Roman" w:eastAsia="Times New Roman"/>
          <w:color w:val="auto"/>
          <w:sz w:val="24"/>
          <w:highlight w:val="none"/>
          <w:u w:val="single"/>
        </w:rPr>
        <w:tab/>
      </w:r>
      <w:r>
        <w:rPr>
          <w:color w:val="auto"/>
          <w:spacing w:val="-120"/>
          <w:sz w:val="24"/>
          <w:highlight w:val="none"/>
        </w:rPr>
        <w:t>）</w:t>
      </w:r>
      <w:r>
        <w:rPr>
          <w:color w:val="auto"/>
          <w:sz w:val="24"/>
          <w:highlight w:val="none"/>
        </w:rPr>
        <w:t>。</w:t>
      </w:r>
    </w:p>
    <w:p>
      <w:pPr>
        <w:pStyle w:val="86"/>
        <w:numPr>
          <w:ilvl w:val="3"/>
          <w:numId w:val="39"/>
        </w:numPr>
        <w:tabs>
          <w:tab w:val="left" w:pos="1342"/>
          <w:tab w:val="left" w:pos="4701"/>
          <w:tab w:val="left" w:pos="8782"/>
        </w:tabs>
        <w:ind w:firstLine="617"/>
        <w:rPr>
          <w:color w:val="auto"/>
          <w:sz w:val="24"/>
          <w:highlight w:val="none"/>
        </w:rPr>
      </w:pPr>
      <w:r>
        <w:rPr>
          <w:color w:val="auto"/>
          <w:sz w:val="24"/>
          <w:highlight w:val="none"/>
        </w:rPr>
        <w:t>承包人项目经理：</w:t>
      </w:r>
      <w:r>
        <w:rPr>
          <w:color w:val="auto"/>
          <w:sz w:val="24"/>
          <w:highlight w:val="none"/>
          <w:u w:val="single"/>
        </w:rPr>
        <w:tab/>
      </w:r>
      <w:r>
        <w:rPr>
          <w:color w:val="auto"/>
          <w:sz w:val="24"/>
          <w:highlight w:val="none"/>
        </w:rPr>
        <w:t>。承包人项目总工：</w:t>
      </w:r>
      <w:r>
        <w:rPr>
          <w:color w:val="auto"/>
          <w:sz w:val="24"/>
          <w:highlight w:val="none"/>
          <w:u w:val="single"/>
        </w:rPr>
        <w:tab/>
      </w:r>
      <w:r>
        <w:rPr>
          <w:color w:val="auto"/>
          <w:sz w:val="24"/>
          <w:highlight w:val="none"/>
        </w:rPr>
        <w:t>。</w:t>
      </w:r>
    </w:p>
    <w:p>
      <w:pPr>
        <w:pStyle w:val="86"/>
        <w:numPr>
          <w:ilvl w:val="3"/>
          <w:numId w:val="39"/>
        </w:numPr>
        <w:tabs>
          <w:tab w:val="left" w:pos="1342"/>
          <w:tab w:val="left" w:pos="4341"/>
          <w:tab w:val="left" w:pos="8662"/>
        </w:tabs>
        <w:spacing w:before="129"/>
        <w:ind w:firstLine="617"/>
        <w:rPr>
          <w:color w:val="auto"/>
          <w:sz w:val="24"/>
          <w:highlight w:val="none"/>
        </w:rPr>
      </w:pPr>
      <w:r>
        <w:rPr>
          <w:color w:val="auto"/>
          <w:sz w:val="24"/>
          <w:highlight w:val="none"/>
        </w:rPr>
        <w:t>工程质量符合</w:t>
      </w:r>
      <w:r>
        <w:rPr>
          <w:color w:val="auto"/>
          <w:sz w:val="24"/>
          <w:highlight w:val="none"/>
          <w:u w:val="single"/>
        </w:rPr>
        <w:tab/>
      </w:r>
      <w:r>
        <w:rPr>
          <w:color w:val="auto"/>
          <w:sz w:val="24"/>
          <w:highlight w:val="none"/>
        </w:rPr>
        <w:t>标准。工程安全目标：</w:t>
      </w:r>
      <w:r>
        <w:rPr>
          <w:color w:val="auto"/>
          <w:sz w:val="24"/>
          <w:highlight w:val="none"/>
          <w:u w:val="single"/>
        </w:rPr>
        <w:tab/>
      </w:r>
      <w:r>
        <w:rPr>
          <w:color w:val="auto"/>
          <w:sz w:val="24"/>
          <w:highlight w:val="none"/>
        </w:rPr>
        <w:t>。</w:t>
      </w:r>
    </w:p>
    <w:p>
      <w:pPr>
        <w:pStyle w:val="86"/>
        <w:numPr>
          <w:ilvl w:val="3"/>
          <w:numId w:val="39"/>
        </w:numPr>
        <w:tabs>
          <w:tab w:val="left" w:pos="1342"/>
        </w:tabs>
        <w:spacing w:before="132"/>
        <w:ind w:firstLine="617"/>
        <w:rPr>
          <w:color w:val="auto"/>
          <w:sz w:val="24"/>
          <w:highlight w:val="none"/>
        </w:rPr>
      </w:pPr>
      <w:r>
        <w:rPr>
          <w:color w:val="auto"/>
          <w:sz w:val="24"/>
          <w:highlight w:val="none"/>
        </w:rPr>
        <w:t>承包人承诺按合同约定承担工程的实施、完成及缺陷修复。</w:t>
      </w:r>
    </w:p>
    <w:p>
      <w:pPr>
        <w:pStyle w:val="86"/>
        <w:numPr>
          <w:ilvl w:val="3"/>
          <w:numId w:val="39"/>
        </w:numPr>
        <w:tabs>
          <w:tab w:val="left" w:pos="1342"/>
        </w:tabs>
        <w:spacing w:before="134"/>
        <w:ind w:firstLine="617"/>
        <w:rPr>
          <w:color w:val="auto"/>
          <w:sz w:val="24"/>
          <w:highlight w:val="none"/>
        </w:rPr>
      </w:pPr>
      <w:r>
        <w:rPr>
          <w:color w:val="auto"/>
          <w:sz w:val="24"/>
          <w:highlight w:val="none"/>
        </w:rPr>
        <w:t>发包人承诺按合同约定的条件、时间和方式向承包人支付合同价款。</w:t>
      </w:r>
    </w:p>
    <w:p>
      <w:pPr>
        <w:rPr>
          <w:color w:val="auto"/>
          <w:sz w:val="24"/>
          <w:highlight w:val="none"/>
        </w:rPr>
        <w:sectPr>
          <w:type w:val="continuous"/>
          <w:pgSz w:w="11910" w:h="16850"/>
          <w:pgMar w:top="1418" w:right="1191" w:bottom="1418" w:left="1191" w:header="720" w:footer="720" w:gutter="0"/>
          <w:cols w:space="720" w:num="1"/>
        </w:sectPr>
      </w:pPr>
    </w:p>
    <w:p>
      <w:pPr>
        <w:pStyle w:val="20"/>
        <w:spacing w:before="6"/>
        <w:rPr>
          <w:color w:val="auto"/>
          <w:sz w:val="11"/>
          <w:highlight w:val="none"/>
        </w:rPr>
      </w:pPr>
    </w:p>
    <w:p>
      <w:pPr>
        <w:pStyle w:val="86"/>
        <w:numPr>
          <w:ilvl w:val="3"/>
          <w:numId w:val="39"/>
        </w:numPr>
        <w:tabs>
          <w:tab w:val="left" w:pos="1342"/>
          <w:tab w:val="left" w:pos="5902"/>
        </w:tabs>
        <w:spacing w:before="74"/>
        <w:ind w:firstLine="617"/>
        <w:rPr>
          <w:color w:val="auto"/>
          <w:sz w:val="24"/>
          <w:highlight w:val="none"/>
        </w:rPr>
      </w:pPr>
      <w:r>
        <w:rPr>
          <w:color w:val="auto"/>
          <w:sz w:val="24"/>
          <w:highlight w:val="none"/>
        </w:rPr>
        <w:t>承包人应按照监理人指示开工，工期为</w:t>
      </w:r>
      <w:r>
        <w:rPr>
          <w:color w:val="auto"/>
          <w:sz w:val="24"/>
          <w:highlight w:val="none"/>
          <w:u w:val="single"/>
        </w:rPr>
        <w:tab/>
      </w:r>
      <w:r>
        <w:rPr>
          <w:color w:val="auto"/>
          <w:sz w:val="24"/>
          <w:highlight w:val="none"/>
        </w:rPr>
        <w:t>日历天。</w:t>
      </w:r>
    </w:p>
    <w:p>
      <w:pPr>
        <w:pStyle w:val="86"/>
        <w:numPr>
          <w:ilvl w:val="3"/>
          <w:numId w:val="39"/>
        </w:numPr>
        <w:tabs>
          <w:tab w:val="left" w:pos="1344"/>
        </w:tabs>
        <w:spacing w:before="132" w:line="343" w:lineRule="auto"/>
        <w:ind w:right="382" w:firstLine="617"/>
        <w:jc w:val="both"/>
        <w:rPr>
          <w:color w:val="auto"/>
          <w:sz w:val="24"/>
          <w:highlight w:val="none"/>
        </w:rPr>
      </w:pPr>
      <w:r>
        <w:rPr>
          <w:color w:val="auto"/>
          <w:sz w:val="24"/>
          <w:highlight w:val="none"/>
        </w:rPr>
        <w:t>本协议书在承包人提供履约保证金后，由双方法定代表人或其委托代理人签署并加盖单位章后生效。全部工程完工后经交工验收合格、缺陷责任期满签发缺陷责任终止证书后失效。</w:t>
      </w:r>
    </w:p>
    <w:p>
      <w:pPr>
        <w:pStyle w:val="86"/>
        <w:numPr>
          <w:ilvl w:val="3"/>
          <w:numId w:val="39"/>
        </w:numPr>
        <w:tabs>
          <w:tab w:val="left" w:pos="1462"/>
          <w:tab w:val="left" w:pos="4581"/>
          <w:tab w:val="left" w:pos="8662"/>
        </w:tabs>
        <w:spacing w:line="343" w:lineRule="auto"/>
        <w:ind w:right="341" w:firstLine="617"/>
        <w:rPr>
          <w:color w:val="auto"/>
          <w:sz w:val="24"/>
          <w:highlight w:val="none"/>
        </w:rPr>
      </w:pPr>
      <w:r>
        <w:rPr>
          <w:color w:val="auto"/>
          <w:sz w:val="24"/>
          <w:highlight w:val="none"/>
        </w:rPr>
        <w:t>本协议书正本二份、副本</w:t>
      </w:r>
      <w:r>
        <w:rPr>
          <w:color w:val="auto"/>
          <w:sz w:val="24"/>
          <w:highlight w:val="none"/>
          <w:u w:val="single"/>
        </w:rPr>
        <w:tab/>
      </w:r>
      <w:r>
        <w:rPr>
          <w:color w:val="auto"/>
          <w:sz w:val="24"/>
          <w:highlight w:val="none"/>
        </w:rPr>
        <w:t>份，合同双方各执正本一份，副本</w:t>
      </w:r>
      <w:r>
        <w:rPr>
          <w:color w:val="auto"/>
          <w:sz w:val="24"/>
          <w:highlight w:val="none"/>
          <w:u w:val="single"/>
        </w:rPr>
        <w:tab/>
      </w:r>
      <w:r>
        <w:rPr>
          <w:color w:val="auto"/>
          <w:sz w:val="24"/>
          <w:highlight w:val="none"/>
        </w:rPr>
        <w:t>份， 当正本与副本的内容不一致时，以正本为准。</w:t>
      </w:r>
    </w:p>
    <w:p>
      <w:pPr>
        <w:pStyle w:val="86"/>
        <w:numPr>
          <w:ilvl w:val="3"/>
          <w:numId w:val="39"/>
        </w:numPr>
        <w:tabs>
          <w:tab w:val="left" w:pos="1452"/>
        </w:tabs>
        <w:spacing w:before="2"/>
        <w:ind w:left="1451" w:hanging="410"/>
        <w:rPr>
          <w:color w:val="auto"/>
          <w:sz w:val="24"/>
          <w:highlight w:val="none"/>
        </w:rPr>
      </w:pPr>
      <w:r>
        <w:rPr>
          <w:color w:val="auto"/>
          <w:sz w:val="24"/>
          <w:highlight w:val="none"/>
        </w:rPr>
        <w:t>合同未尽事宜，双方另行签订补充协议。补充协议是合同的组成部分。</w:t>
      </w:r>
    </w:p>
    <w:p>
      <w:pPr>
        <w:pStyle w:val="20"/>
        <w:rPr>
          <w:color w:val="auto"/>
          <w:sz w:val="26"/>
          <w:highlight w:val="none"/>
        </w:rPr>
      </w:pPr>
    </w:p>
    <w:p>
      <w:pPr>
        <w:pStyle w:val="20"/>
        <w:spacing w:before="7"/>
        <w:rPr>
          <w:color w:val="auto"/>
          <w:sz w:val="18"/>
          <w:highlight w:val="none"/>
        </w:rPr>
      </w:pPr>
    </w:p>
    <w:p>
      <w:pPr>
        <w:pStyle w:val="20"/>
        <w:tabs>
          <w:tab w:val="left" w:pos="3151"/>
          <w:tab w:val="left" w:pos="4934"/>
          <w:tab w:val="left" w:pos="5174"/>
          <w:tab w:val="left" w:pos="7781"/>
        </w:tabs>
        <w:spacing w:line="345" w:lineRule="auto"/>
        <w:ind w:left="424" w:right="262"/>
        <w:rPr>
          <w:color w:val="auto"/>
          <w:highlight w:val="none"/>
        </w:rPr>
      </w:pPr>
      <w:r>
        <w:rPr>
          <w:color w:val="auto"/>
          <w:highlight w:val="none"/>
        </w:rPr>
        <w:t>发包人</w:t>
      </w:r>
      <w:r>
        <w:rPr>
          <w:color w:val="auto"/>
          <w:spacing w:val="-17"/>
          <w:highlight w:val="none"/>
        </w:rPr>
        <w:t>：</w:t>
      </w:r>
      <w:r>
        <w:rPr>
          <w:color w:val="auto"/>
          <w:spacing w:val="-17"/>
          <w:highlight w:val="none"/>
          <w:u w:val="single"/>
        </w:rPr>
        <w:tab/>
      </w:r>
      <w:r>
        <w:rPr>
          <w:color w:val="auto"/>
          <w:highlight w:val="none"/>
        </w:rPr>
        <w:t>（盖单位章）</w:t>
      </w:r>
      <w:r>
        <w:rPr>
          <w:color w:val="auto"/>
          <w:highlight w:val="none"/>
        </w:rPr>
        <w:tab/>
      </w:r>
      <w:r>
        <w:rPr>
          <w:color w:val="auto"/>
          <w:highlight w:val="none"/>
        </w:rPr>
        <w:tab/>
      </w:r>
      <w:r>
        <w:rPr>
          <w:color w:val="auto"/>
          <w:highlight w:val="none"/>
        </w:rPr>
        <w:t>承包人</w:t>
      </w:r>
      <w:r>
        <w:rPr>
          <w:color w:val="auto"/>
          <w:spacing w:val="-17"/>
          <w:highlight w:val="none"/>
        </w:rPr>
        <w:t>：</w:t>
      </w:r>
      <w:r>
        <w:rPr>
          <w:color w:val="auto"/>
          <w:spacing w:val="-17"/>
          <w:highlight w:val="none"/>
          <w:u w:val="single"/>
        </w:rPr>
        <w:tab/>
      </w:r>
      <w:r>
        <w:rPr>
          <w:color w:val="auto"/>
          <w:highlight w:val="none"/>
        </w:rPr>
        <w:t>（盖单位章） 法定代表人或其委托代理人</w:t>
      </w:r>
      <w:r>
        <w:rPr>
          <w:color w:val="auto"/>
          <w:spacing w:val="-17"/>
          <w:highlight w:val="none"/>
        </w:rPr>
        <w:t>：</w:t>
      </w:r>
      <w:r>
        <w:rPr>
          <w:color w:val="auto"/>
          <w:highlight w:val="none"/>
        </w:rPr>
        <w:t>（签字）</w:t>
      </w:r>
      <w:r>
        <w:rPr>
          <w:color w:val="auto"/>
          <w:highlight w:val="none"/>
        </w:rPr>
        <w:tab/>
      </w:r>
      <w:r>
        <w:rPr>
          <w:color w:val="auto"/>
          <w:highlight w:val="none"/>
        </w:rPr>
        <w:t>法定代表人或其委托代理人</w:t>
      </w:r>
      <w:r>
        <w:rPr>
          <w:color w:val="auto"/>
          <w:spacing w:val="-16"/>
          <w:highlight w:val="none"/>
        </w:rPr>
        <w:t>：</w:t>
      </w:r>
      <w:r>
        <w:rPr>
          <w:color w:val="auto"/>
          <w:highlight w:val="none"/>
        </w:rPr>
        <w:t>（签字）</w:t>
      </w:r>
    </w:p>
    <w:p>
      <w:pPr>
        <w:pStyle w:val="20"/>
        <w:tabs>
          <w:tab w:val="left" w:pos="2344"/>
          <w:tab w:val="left" w:pos="3184"/>
          <w:tab w:val="left" w:pos="4024"/>
          <w:tab w:val="left" w:pos="5945"/>
          <w:tab w:val="left" w:pos="7025"/>
          <w:tab w:val="left" w:pos="7865"/>
          <w:tab w:val="left" w:pos="8705"/>
        </w:tabs>
        <w:spacing w:line="303" w:lineRule="exact"/>
        <w:ind w:left="1264"/>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r>
        <w:rPr>
          <w:color w:val="auto"/>
          <w:highlight w:val="none"/>
        </w:rPr>
        <w:tab/>
      </w:r>
      <w:r>
        <w:rPr>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spacing w:line="303" w:lineRule="exact"/>
        <w:rPr>
          <w:color w:val="auto"/>
          <w:highlight w:val="none"/>
        </w:rPr>
        <w:sectPr>
          <w:pgSz w:w="11910" w:h="16850"/>
          <w:pgMar w:top="1418" w:right="1191" w:bottom="1418" w:left="1191" w:header="876" w:footer="853" w:gutter="0"/>
          <w:cols w:space="720" w:num="1"/>
        </w:sectPr>
      </w:pPr>
    </w:p>
    <w:p>
      <w:pPr>
        <w:pStyle w:val="20"/>
        <w:spacing w:before="9"/>
        <w:rPr>
          <w:color w:val="auto"/>
          <w:sz w:val="8"/>
          <w:highlight w:val="none"/>
        </w:rPr>
      </w:pPr>
    </w:p>
    <w:p>
      <w:pPr>
        <w:rPr>
          <w:color w:val="auto"/>
          <w:sz w:val="8"/>
          <w:highlight w:val="none"/>
        </w:rPr>
        <w:sectPr>
          <w:pgSz w:w="11910" w:h="16850"/>
          <w:pgMar w:top="1418" w:right="1191" w:bottom="1418" w:left="1191" w:header="883" w:footer="884" w:gutter="0"/>
          <w:cols w:space="720" w:num="1"/>
        </w:sectPr>
      </w:pPr>
    </w:p>
    <w:p>
      <w:pPr>
        <w:pStyle w:val="20"/>
        <w:spacing w:before="66"/>
        <w:ind w:left="424"/>
        <w:outlineLvl w:val="2"/>
        <w:rPr>
          <w:rFonts w:ascii="黑体" w:eastAsia="黑体"/>
          <w:color w:val="auto"/>
          <w:highlight w:val="none"/>
        </w:rPr>
      </w:pPr>
      <w:bookmarkStart w:id="3984" w:name="_bookmark271"/>
      <w:bookmarkEnd w:id="3984"/>
      <w:bookmarkStart w:id="3985" w:name="_Toc31119"/>
      <w:bookmarkStart w:id="3986" w:name="_Toc32676"/>
      <w:bookmarkStart w:id="3987" w:name="_Toc15875"/>
      <w:bookmarkStart w:id="3988" w:name="_Toc26694"/>
      <w:r>
        <w:rPr>
          <w:rFonts w:hint="eastAsia" w:ascii="黑体" w:eastAsia="黑体"/>
          <w:color w:val="auto"/>
          <w:highlight w:val="none"/>
        </w:rPr>
        <w:t>附件二 廉政合同</w:t>
      </w:r>
      <w:bookmarkEnd w:id="3985"/>
      <w:bookmarkEnd w:id="3986"/>
      <w:bookmarkEnd w:id="3987"/>
      <w:bookmarkEnd w:id="3988"/>
    </w:p>
    <w:p>
      <w:pPr>
        <w:pStyle w:val="20"/>
        <w:rPr>
          <w:rFonts w:ascii="黑体"/>
          <w:color w:val="auto"/>
          <w:sz w:val="35"/>
          <w:highlight w:val="none"/>
        </w:rPr>
      </w:pPr>
      <w:r>
        <w:rPr>
          <w:color w:val="auto"/>
          <w:highlight w:val="none"/>
        </w:rPr>
        <w:br w:type="column"/>
      </w:r>
    </w:p>
    <w:p>
      <w:pPr>
        <w:ind w:left="424"/>
        <w:rPr>
          <w:rFonts w:ascii="黑体" w:eastAsia="黑体"/>
          <w:color w:val="auto"/>
          <w:sz w:val="28"/>
          <w:highlight w:val="none"/>
        </w:rPr>
      </w:pPr>
      <w:r>
        <w:rPr>
          <w:rFonts w:hint="eastAsia" w:ascii="黑体" w:eastAsia="黑体"/>
          <w:color w:val="auto"/>
          <w:sz w:val="28"/>
          <w:highlight w:val="none"/>
        </w:rPr>
        <w:t>廉 政 合 同</w:t>
      </w:r>
    </w:p>
    <w:p>
      <w:pPr>
        <w:rPr>
          <w:rFonts w:ascii="黑体" w:eastAsia="黑体"/>
          <w:color w:val="auto"/>
          <w:sz w:val="28"/>
          <w:highlight w:val="none"/>
        </w:rPr>
        <w:sectPr>
          <w:type w:val="continuous"/>
          <w:pgSz w:w="11910" w:h="16850"/>
          <w:pgMar w:top="1418" w:right="1191" w:bottom="1418" w:left="1191" w:header="720" w:footer="720" w:gutter="0"/>
          <w:cols w:equalWidth="0" w:num="2">
            <w:col w:w="2294" w:space="1302"/>
            <w:col w:w="5932"/>
          </w:cols>
        </w:sectPr>
      </w:pPr>
    </w:p>
    <w:p>
      <w:pPr>
        <w:pStyle w:val="20"/>
        <w:rPr>
          <w:rFonts w:ascii="黑体"/>
          <w:color w:val="auto"/>
          <w:sz w:val="20"/>
          <w:highlight w:val="none"/>
        </w:rPr>
      </w:pPr>
    </w:p>
    <w:p>
      <w:pPr>
        <w:pStyle w:val="20"/>
        <w:spacing w:before="10"/>
        <w:rPr>
          <w:rFonts w:ascii="黑体"/>
          <w:color w:val="auto"/>
          <w:sz w:val="18"/>
          <w:highlight w:val="none"/>
        </w:rPr>
      </w:pPr>
    </w:p>
    <w:p>
      <w:pPr>
        <w:pStyle w:val="20"/>
        <w:tabs>
          <w:tab w:val="left" w:pos="2485"/>
          <w:tab w:val="left" w:pos="2824"/>
          <w:tab w:val="left" w:pos="7176"/>
          <w:tab w:val="left" w:pos="8139"/>
        </w:tabs>
        <w:spacing w:line="312" w:lineRule="auto"/>
        <w:ind w:left="424" w:right="265" w:firstLine="616"/>
        <w:rPr>
          <w:color w:val="auto"/>
          <w:highlight w:val="none"/>
        </w:rPr>
      </w:pPr>
      <w:r>
        <w:rPr>
          <w:color w:val="auto"/>
          <w:highlight w:val="none"/>
        </w:rPr>
        <w:t>根</w:t>
      </w:r>
      <w:r>
        <w:rPr>
          <w:color w:val="auto"/>
          <w:spacing w:val="-51"/>
          <w:highlight w:val="none"/>
        </w:rPr>
        <w:t>据</w:t>
      </w:r>
      <w:r>
        <w:rPr>
          <w:color w:val="auto"/>
          <w:highlight w:val="none"/>
        </w:rPr>
        <w:t>《关于在交通基础设施建设中加强廉政建设的若干意见</w:t>
      </w:r>
      <w:r>
        <w:rPr>
          <w:color w:val="auto"/>
          <w:spacing w:val="-51"/>
          <w:highlight w:val="none"/>
        </w:rPr>
        <w:t>》</w:t>
      </w:r>
      <w:r>
        <w:rPr>
          <w:color w:val="auto"/>
          <w:highlight w:val="none"/>
        </w:rPr>
        <w:t>以及有关工程建设</w:t>
      </w:r>
      <w:r>
        <w:rPr>
          <w:color w:val="auto"/>
          <w:spacing w:val="-29"/>
          <w:highlight w:val="none"/>
        </w:rPr>
        <w:t>、</w:t>
      </w:r>
      <w:r>
        <w:rPr>
          <w:color w:val="auto"/>
          <w:highlight w:val="none"/>
        </w:rPr>
        <w:t>廉政建设的规定</w:t>
      </w:r>
      <w:r>
        <w:rPr>
          <w:color w:val="auto"/>
          <w:spacing w:val="-29"/>
          <w:highlight w:val="none"/>
        </w:rPr>
        <w:t>，</w:t>
      </w:r>
      <w:r>
        <w:rPr>
          <w:color w:val="auto"/>
          <w:highlight w:val="none"/>
        </w:rPr>
        <w:t>为做好工程建设中的党风廉政建设</w:t>
      </w:r>
      <w:r>
        <w:rPr>
          <w:color w:val="auto"/>
          <w:spacing w:val="-29"/>
          <w:highlight w:val="none"/>
        </w:rPr>
        <w:t>，</w:t>
      </w:r>
      <w:r>
        <w:rPr>
          <w:color w:val="auto"/>
          <w:highlight w:val="none"/>
        </w:rPr>
        <w:t>保证工程建设高效优质， 保证建设资金的安全和有效使用以及投资效益，</w:t>
      </w:r>
      <w:r>
        <w:rPr>
          <w:color w:val="auto"/>
          <w:highlight w:val="none"/>
          <w:u w:val="single"/>
        </w:rPr>
        <w:tab/>
      </w:r>
      <w:r>
        <w:rPr>
          <w:color w:val="auto"/>
          <w:highlight w:val="none"/>
        </w:rPr>
        <w:t>（项目名称）的项目法人</w:t>
      </w:r>
      <w:r>
        <w:rPr>
          <w:color w:val="auto"/>
          <w:highlight w:val="none"/>
          <w:u w:val="single"/>
        </w:rPr>
        <w:tab/>
      </w:r>
      <w:r>
        <w:rPr>
          <w:color w:val="auto"/>
          <w:highlight w:val="none"/>
        </w:rPr>
        <w:t>（项目法人名称，以下简称</w:t>
      </w:r>
      <w:r>
        <w:rPr>
          <w:rFonts w:ascii="Times New Roman" w:hAnsi="Times New Roman" w:eastAsia="Times New Roman"/>
          <w:color w:val="auto"/>
          <w:highlight w:val="none"/>
        </w:rPr>
        <w:t>“</w:t>
      </w:r>
      <w:r>
        <w:rPr>
          <w:color w:val="auto"/>
          <w:highlight w:val="none"/>
        </w:rPr>
        <w:t>发包人</w:t>
      </w:r>
      <w:r>
        <w:rPr>
          <w:rFonts w:ascii="Times New Roman" w:hAnsi="Times New Roman" w:eastAsia="Times New Roman"/>
          <w:color w:val="auto"/>
          <w:highlight w:val="none"/>
        </w:rPr>
        <w:t>”</w:t>
      </w:r>
      <w:r>
        <w:rPr>
          <w:color w:val="auto"/>
          <w:highlight w:val="none"/>
        </w:rPr>
        <w:t>）与该项目</w:t>
      </w:r>
      <w:r>
        <w:rPr>
          <w:color w:val="auto"/>
          <w:highlight w:val="none"/>
          <w:u w:val="single"/>
        </w:rPr>
        <w:tab/>
      </w:r>
      <w:r>
        <w:rPr>
          <w:color w:val="auto"/>
          <w:highlight w:val="none"/>
        </w:rPr>
        <w:t>标段的施工单</w:t>
      </w:r>
      <w:r>
        <w:rPr>
          <w:color w:val="auto"/>
          <w:spacing w:val="-1"/>
          <w:highlight w:val="none"/>
        </w:rPr>
        <w:t>位</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color w:val="auto"/>
          <w:highlight w:val="none"/>
        </w:rPr>
        <w:t>（施工单位名称，以下简称</w:t>
      </w:r>
      <w:r>
        <w:rPr>
          <w:rFonts w:ascii="Times New Roman" w:hAnsi="Times New Roman" w:eastAsia="Times New Roman"/>
          <w:color w:val="auto"/>
          <w:spacing w:val="-1"/>
          <w:highlight w:val="none"/>
        </w:rPr>
        <w:t>“</w:t>
      </w:r>
      <w:r>
        <w:rPr>
          <w:color w:val="auto"/>
          <w:highlight w:val="none"/>
        </w:rPr>
        <w:t>承包人</w:t>
      </w:r>
      <w:r>
        <w:rPr>
          <w:rFonts w:ascii="Times New Roman" w:hAnsi="Times New Roman" w:eastAsia="Times New Roman"/>
          <w:color w:val="auto"/>
          <w:spacing w:val="-1"/>
          <w:highlight w:val="none"/>
        </w:rPr>
        <w:t>”</w:t>
      </w:r>
      <w:r>
        <w:rPr>
          <w:color w:val="auto"/>
          <w:spacing w:val="-120"/>
          <w:highlight w:val="none"/>
        </w:rPr>
        <w:t>）</w:t>
      </w:r>
      <w:r>
        <w:rPr>
          <w:color w:val="auto"/>
          <w:highlight w:val="none"/>
        </w:rPr>
        <w:t>，特</w:t>
      </w:r>
      <w:r>
        <w:rPr>
          <w:color w:val="auto"/>
          <w:spacing w:val="1"/>
          <w:highlight w:val="none"/>
        </w:rPr>
        <w:t>订</w:t>
      </w:r>
      <w:r>
        <w:rPr>
          <w:color w:val="auto"/>
          <w:highlight w:val="none"/>
        </w:rPr>
        <w:t>立如下合同。</w:t>
      </w:r>
    </w:p>
    <w:p>
      <w:pPr>
        <w:pStyle w:val="86"/>
        <w:numPr>
          <w:ilvl w:val="0"/>
          <w:numId w:val="40"/>
        </w:numPr>
        <w:tabs>
          <w:tab w:val="left" w:pos="1342"/>
        </w:tabs>
        <w:spacing w:before="1"/>
        <w:ind w:firstLine="617"/>
        <w:rPr>
          <w:rFonts w:ascii="黑体" w:eastAsia="黑体"/>
          <w:color w:val="auto"/>
          <w:sz w:val="24"/>
          <w:highlight w:val="none"/>
        </w:rPr>
      </w:pPr>
      <w:r>
        <w:rPr>
          <w:rFonts w:hint="eastAsia" w:ascii="黑体" w:eastAsia="黑体"/>
          <w:color w:val="auto"/>
          <w:sz w:val="24"/>
          <w:highlight w:val="none"/>
        </w:rPr>
        <w:t>发包人和承包人双方的权利和义务</w:t>
      </w:r>
    </w:p>
    <w:p>
      <w:pPr>
        <w:pStyle w:val="20"/>
        <w:spacing w:before="94"/>
        <w:ind w:left="1041"/>
        <w:rPr>
          <w:color w:val="auto"/>
          <w:highlight w:val="none"/>
        </w:rPr>
      </w:pPr>
      <w:r>
        <w:rPr>
          <w:color w:val="auto"/>
          <w:highlight w:val="none"/>
        </w:rPr>
        <w:t>（</w:t>
      </w:r>
      <w:r>
        <w:rPr>
          <w:rFonts w:ascii="Times New Roman" w:eastAsia="Times New Roman"/>
          <w:color w:val="auto"/>
          <w:highlight w:val="none"/>
        </w:rPr>
        <w:t>1</w:t>
      </w:r>
      <w:r>
        <w:rPr>
          <w:color w:val="auto"/>
          <w:highlight w:val="none"/>
        </w:rPr>
        <w:t>）严格遵守党的政策规定和国家有关法律法规及交通运输部的有关规定。</w:t>
      </w:r>
    </w:p>
    <w:p>
      <w:pPr>
        <w:pStyle w:val="20"/>
        <w:tabs>
          <w:tab w:val="left" w:pos="3688"/>
          <w:tab w:val="left" w:pos="5736"/>
        </w:tabs>
        <w:spacing w:before="93" w:line="312" w:lineRule="auto"/>
        <w:ind w:left="424" w:right="383" w:firstLine="616"/>
        <w:rPr>
          <w:color w:val="auto"/>
          <w:highlight w:val="none"/>
        </w:rPr>
      </w:pPr>
      <w:r>
        <w:rPr>
          <w:color w:val="auto"/>
          <w:highlight w:val="none"/>
        </w:rPr>
        <w:t>（</w:t>
      </w:r>
      <w:r>
        <w:rPr>
          <w:rFonts w:ascii="Times New Roman" w:eastAsia="Times New Roman"/>
          <w:color w:val="auto"/>
          <w:highlight w:val="none"/>
        </w:rPr>
        <w:t>2</w:t>
      </w:r>
      <w:r>
        <w:rPr>
          <w:color w:val="auto"/>
          <w:highlight w:val="none"/>
        </w:rPr>
        <w:t>）严格执行</w:t>
      </w:r>
      <w:r>
        <w:rPr>
          <w:color w:val="auto"/>
          <w:highlight w:val="none"/>
          <w:u w:val="single"/>
        </w:rPr>
        <w:tab/>
      </w:r>
      <w:r>
        <w:rPr>
          <w:color w:val="auto"/>
          <w:highlight w:val="none"/>
        </w:rPr>
        <w:t>（项目名称）</w:t>
      </w:r>
      <w:r>
        <w:rPr>
          <w:color w:val="auto"/>
          <w:highlight w:val="none"/>
          <w:u w:val="single"/>
        </w:rPr>
        <w:tab/>
      </w:r>
      <w:r>
        <w:rPr>
          <w:color w:val="auto"/>
          <w:highlight w:val="none"/>
        </w:rPr>
        <w:t>标段施工合同文件，自觉按合同办事。</w:t>
      </w:r>
    </w:p>
    <w:p>
      <w:pPr>
        <w:pStyle w:val="20"/>
        <w:spacing w:line="312" w:lineRule="auto"/>
        <w:ind w:left="424" w:right="385" w:firstLine="616"/>
        <w:jc w:val="both"/>
        <w:rPr>
          <w:color w:val="auto"/>
          <w:highlight w:val="none"/>
        </w:rPr>
      </w:pPr>
      <w:r>
        <w:rPr>
          <w:color w:val="auto"/>
          <w:highlight w:val="none"/>
        </w:rPr>
        <w:t>（</w:t>
      </w:r>
      <w:r>
        <w:rPr>
          <w:rFonts w:ascii="Times New Roman" w:eastAsia="Times New Roman"/>
          <w:color w:val="auto"/>
          <w:highlight w:val="none"/>
        </w:rPr>
        <w:t>3</w:t>
      </w:r>
      <w:r>
        <w:rPr>
          <w:color w:val="auto"/>
          <w:highlight w:val="none"/>
        </w:rPr>
        <w:t>）双方的业务活动坚持公开、公正、诚信、透明的原则（法律认定的商业秘密和合同文件另有规定除外</w:t>
      </w:r>
      <w:r>
        <w:rPr>
          <w:color w:val="auto"/>
          <w:spacing w:val="-82"/>
          <w:highlight w:val="none"/>
        </w:rPr>
        <w:t>）</w:t>
      </w:r>
      <w:r>
        <w:rPr>
          <w:color w:val="auto"/>
          <w:spacing w:val="-13"/>
          <w:highlight w:val="none"/>
        </w:rPr>
        <w:t>，不得损害国家和集体利益，不得违反工程建设管理规章制度。</w:t>
      </w:r>
    </w:p>
    <w:p>
      <w:pPr>
        <w:pStyle w:val="20"/>
        <w:spacing w:before="1" w:line="312" w:lineRule="auto"/>
        <w:ind w:left="424" w:right="390" w:firstLine="616"/>
        <w:rPr>
          <w:color w:val="auto"/>
          <w:highlight w:val="none"/>
        </w:rPr>
      </w:pPr>
      <w:r>
        <w:rPr>
          <w:color w:val="auto"/>
          <w:highlight w:val="none"/>
        </w:rPr>
        <w:t>（</w:t>
      </w:r>
      <w:r>
        <w:rPr>
          <w:rFonts w:ascii="Times New Roman" w:eastAsia="Times New Roman"/>
          <w:color w:val="auto"/>
          <w:highlight w:val="none"/>
        </w:rPr>
        <w:t>4</w:t>
      </w:r>
      <w:r>
        <w:rPr>
          <w:color w:val="auto"/>
          <w:highlight w:val="none"/>
        </w:rPr>
        <w:t>）建立健全廉政制度，开展廉政教育，设立廉政告示牌，公布举报电话， 监督并认真查处违法违纪行为。</w:t>
      </w:r>
    </w:p>
    <w:p>
      <w:pPr>
        <w:pStyle w:val="20"/>
        <w:spacing w:line="312" w:lineRule="auto"/>
        <w:ind w:left="424" w:right="390" w:firstLine="616"/>
        <w:rPr>
          <w:color w:val="auto"/>
          <w:highlight w:val="none"/>
        </w:rPr>
      </w:pPr>
      <w:r>
        <w:rPr>
          <w:color w:val="auto"/>
          <w:highlight w:val="none"/>
        </w:rPr>
        <w:t>（</w:t>
      </w:r>
      <w:r>
        <w:rPr>
          <w:rFonts w:ascii="Times New Roman" w:eastAsia="Times New Roman"/>
          <w:color w:val="auto"/>
          <w:highlight w:val="none"/>
        </w:rPr>
        <w:t>5</w:t>
      </w:r>
      <w:r>
        <w:rPr>
          <w:color w:val="auto"/>
          <w:highlight w:val="none"/>
        </w:rPr>
        <w:t>）发现对方在业务活动中有违反廉政规定的行为，有及时提醒对方纠正的权利和义务。</w:t>
      </w:r>
    </w:p>
    <w:p>
      <w:pPr>
        <w:pStyle w:val="20"/>
        <w:spacing w:before="2" w:line="312" w:lineRule="auto"/>
        <w:ind w:left="424" w:right="390" w:firstLine="616"/>
        <w:rPr>
          <w:color w:val="auto"/>
          <w:highlight w:val="none"/>
        </w:rPr>
      </w:pPr>
      <w:r>
        <w:rPr>
          <w:color w:val="auto"/>
          <w:highlight w:val="none"/>
        </w:rPr>
        <w:t>（</w:t>
      </w:r>
      <w:r>
        <w:rPr>
          <w:rFonts w:ascii="Times New Roman" w:eastAsia="Times New Roman"/>
          <w:color w:val="auto"/>
          <w:highlight w:val="none"/>
        </w:rPr>
        <w:t>6</w:t>
      </w:r>
      <w:r>
        <w:rPr>
          <w:color w:val="auto"/>
          <w:highlight w:val="none"/>
        </w:rPr>
        <w:t>）发现对方严重违反本合同义务条款的行为，有向其上级有关部门举报、建议给予处理并要求告知处理结果的权利。</w:t>
      </w:r>
    </w:p>
    <w:p>
      <w:pPr>
        <w:pStyle w:val="86"/>
        <w:numPr>
          <w:ilvl w:val="0"/>
          <w:numId w:val="40"/>
        </w:numPr>
        <w:tabs>
          <w:tab w:val="left" w:pos="1342"/>
        </w:tabs>
        <w:spacing w:line="307" w:lineRule="exact"/>
        <w:ind w:firstLine="617"/>
        <w:rPr>
          <w:rFonts w:ascii="黑体" w:eastAsia="黑体"/>
          <w:color w:val="auto"/>
          <w:sz w:val="24"/>
          <w:highlight w:val="none"/>
        </w:rPr>
      </w:pPr>
      <w:r>
        <w:rPr>
          <w:rFonts w:hint="eastAsia" w:ascii="黑体" w:eastAsia="黑体"/>
          <w:color w:val="auto"/>
          <w:sz w:val="24"/>
          <w:highlight w:val="none"/>
        </w:rPr>
        <w:t>发包人的义务</w:t>
      </w:r>
    </w:p>
    <w:p>
      <w:pPr>
        <w:pStyle w:val="20"/>
        <w:spacing w:before="93" w:line="312" w:lineRule="auto"/>
        <w:ind w:left="424" w:right="387" w:firstLine="616"/>
        <w:rPr>
          <w:color w:val="auto"/>
          <w:highlight w:val="none"/>
        </w:rPr>
      </w:pPr>
      <w:r>
        <w:rPr>
          <w:color w:val="auto"/>
          <w:highlight w:val="none"/>
        </w:rPr>
        <w:t>（</w:t>
      </w:r>
      <w:r>
        <w:rPr>
          <w:rFonts w:ascii="Times New Roman" w:eastAsia="Times New Roman"/>
          <w:color w:val="auto"/>
          <w:highlight w:val="none"/>
        </w:rPr>
        <w:t>1</w:t>
      </w:r>
      <w:r>
        <w:rPr>
          <w:color w:val="auto"/>
          <w:highlight w:val="none"/>
        </w:rPr>
        <w:t>）发包人及其工作人员不得索要或接受承包人的礼金、有价证券和贵重物品，不得让承包人报销任何应由发包人或发包人工作人员个人支付的费用等。</w:t>
      </w:r>
    </w:p>
    <w:p>
      <w:pPr>
        <w:pStyle w:val="20"/>
        <w:spacing w:line="312" w:lineRule="auto"/>
        <w:ind w:left="424" w:right="388" w:firstLine="616"/>
        <w:rPr>
          <w:color w:val="auto"/>
          <w:highlight w:val="none"/>
        </w:rPr>
      </w:pPr>
      <w:r>
        <w:rPr>
          <w:color w:val="auto"/>
          <w:highlight w:val="none"/>
        </w:rPr>
        <w:t>（</w:t>
      </w:r>
      <w:r>
        <w:rPr>
          <w:rFonts w:ascii="Times New Roman" w:eastAsia="Times New Roman"/>
          <w:color w:val="auto"/>
          <w:highlight w:val="none"/>
        </w:rPr>
        <w:t>2</w:t>
      </w:r>
      <w:r>
        <w:rPr>
          <w:color w:val="auto"/>
          <w:highlight w:val="none"/>
        </w:rPr>
        <w:t>）发包人工作人员不得参加承包人安排的超标准宴请和娱乐活动；不得接受承包人提供的通信工具、交通工具和高档办公用品等。</w:t>
      </w:r>
    </w:p>
    <w:p>
      <w:pPr>
        <w:pStyle w:val="20"/>
        <w:spacing w:line="312" w:lineRule="auto"/>
        <w:ind w:left="424" w:right="388" w:firstLine="616"/>
        <w:rPr>
          <w:color w:val="auto"/>
          <w:highlight w:val="none"/>
        </w:rPr>
      </w:pPr>
      <w:r>
        <w:rPr>
          <w:color w:val="auto"/>
          <w:highlight w:val="none"/>
        </w:rPr>
        <w:t>（</w:t>
      </w:r>
      <w:r>
        <w:rPr>
          <w:rFonts w:ascii="Times New Roman" w:eastAsia="Times New Roman"/>
          <w:color w:val="auto"/>
          <w:highlight w:val="none"/>
        </w:rPr>
        <w:t>3</w:t>
      </w:r>
      <w:r>
        <w:rPr>
          <w:color w:val="auto"/>
          <w:highlight w:val="none"/>
        </w:rPr>
        <w:t>）发包人及其工作人员不得要求或者接受承包人为其住房装修、婚丧嫁娶活动、配偶子女的工作安排以及出国出境、旅游等提供方便等。</w:t>
      </w:r>
    </w:p>
    <w:p>
      <w:pPr>
        <w:pStyle w:val="20"/>
        <w:spacing w:before="2" w:line="312" w:lineRule="auto"/>
        <w:ind w:left="424" w:right="388" w:firstLine="616"/>
        <w:rPr>
          <w:color w:val="auto"/>
          <w:highlight w:val="none"/>
        </w:rPr>
      </w:pPr>
      <w:r>
        <w:rPr>
          <w:color w:val="auto"/>
          <w:highlight w:val="none"/>
        </w:rPr>
        <w:t>（</w:t>
      </w:r>
      <w:r>
        <w:rPr>
          <w:rFonts w:ascii="Times New Roman" w:eastAsia="Times New Roman"/>
          <w:color w:val="auto"/>
          <w:highlight w:val="none"/>
        </w:rPr>
        <w:t>4</w:t>
      </w:r>
      <w:r>
        <w:rPr>
          <w:color w:val="auto"/>
          <w:highlight w:val="none"/>
        </w:rPr>
        <w:t>）发包人工作人员及其配偶、子女不得从事与发包人工程有关的材料设备供应、工程分包、劳务等经济活动等。</w:t>
      </w:r>
    </w:p>
    <w:p>
      <w:pPr>
        <w:pStyle w:val="20"/>
        <w:spacing w:line="312" w:lineRule="auto"/>
        <w:ind w:left="424" w:right="263" w:firstLine="616"/>
        <w:rPr>
          <w:color w:val="auto"/>
          <w:highlight w:val="none"/>
        </w:rPr>
      </w:pPr>
      <w:r>
        <w:rPr>
          <w:color w:val="auto"/>
          <w:highlight w:val="none"/>
        </w:rPr>
        <w:t>（</w:t>
      </w:r>
      <w:r>
        <w:rPr>
          <w:rFonts w:ascii="Times New Roman" w:eastAsia="Times New Roman"/>
          <w:color w:val="auto"/>
          <w:highlight w:val="none"/>
        </w:rPr>
        <w:t>5</w:t>
      </w:r>
      <w:r>
        <w:rPr>
          <w:color w:val="auto"/>
          <w:spacing w:val="-104"/>
          <w:highlight w:val="none"/>
        </w:rPr>
        <w:t>）</w:t>
      </w:r>
      <w:r>
        <w:rPr>
          <w:color w:val="auto"/>
          <w:highlight w:val="none"/>
        </w:rPr>
        <w:t>发包人及其工作人员不得以任何理由向承包人推荐分包单位或推销材料，不得要求承包人购买合同规定外的材料和设备。</w:t>
      </w:r>
    </w:p>
    <w:p>
      <w:pPr>
        <w:pStyle w:val="20"/>
        <w:spacing w:line="312" w:lineRule="auto"/>
        <w:ind w:left="424" w:right="391" w:firstLine="616"/>
        <w:rPr>
          <w:color w:val="auto"/>
          <w:highlight w:val="none"/>
        </w:rPr>
      </w:pPr>
      <w:r>
        <w:rPr>
          <w:color w:val="auto"/>
          <w:highlight w:val="none"/>
        </w:rPr>
        <w:t>（</w:t>
      </w:r>
      <w:r>
        <w:rPr>
          <w:rFonts w:ascii="Times New Roman" w:eastAsia="Times New Roman"/>
          <w:color w:val="auto"/>
          <w:highlight w:val="none"/>
        </w:rPr>
        <w:t>6</w:t>
      </w:r>
      <w:r>
        <w:rPr>
          <w:color w:val="auto"/>
          <w:highlight w:val="none"/>
        </w:rPr>
        <w:t>）发包人工作人员要秉公办事，不准营私舞弊，不准利用职权从事各种个人有偿中介活动和安排个人施工队伍。</w:t>
      </w:r>
    </w:p>
    <w:p>
      <w:pPr>
        <w:spacing w:line="312" w:lineRule="auto"/>
        <w:rPr>
          <w:color w:val="auto"/>
          <w:highlight w:val="none"/>
        </w:rPr>
        <w:sectPr>
          <w:type w:val="continuous"/>
          <w:pgSz w:w="11910" w:h="16850"/>
          <w:pgMar w:top="1418" w:right="1191" w:bottom="1418" w:left="1191" w:header="720" w:footer="720" w:gutter="0"/>
          <w:cols w:space="720" w:num="1"/>
        </w:sectPr>
      </w:pPr>
    </w:p>
    <w:p>
      <w:pPr>
        <w:pStyle w:val="20"/>
        <w:spacing w:before="7"/>
        <w:rPr>
          <w:color w:val="auto"/>
          <w:sz w:val="9"/>
          <w:highlight w:val="none"/>
        </w:rPr>
      </w:pPr>
    </w:p>
    <w:p>
      <w:pPr>
        <w:pStyle w:val="86"/>
        <w:numPr>
          <w:ilvl w:val="0"/>
          <w:numId w:val="40"/>
        </w:numPr>
        <w:tabs>
          <w:tab w:val="left" w:pos="1342"/>
        </w:tabs>
        <w:spacing w:before="74"/>
        <w:ind w:firstLine="617"/>
        <w:rPr>
          <w:rFonts w:ascii="黑体" w:eastAsia="黑体"/>
          <w:color w:val="auto"/>
          <w:sz w:val="24"/>
          <w:highlight w:val="none"/>
        </w:rPr>
      </w:pPr>
      <w:r>
        <w:rPr>
          <w:rFonts w:hint="eastAsia" w:ascii="黑体" w:eastAsia="黑体"/>
          <w:color w:val="auto"/>
          <w:sz w:val="24"/>
          <w:highlight w:val="none"/>
        </w:rPr>
        <w:t>承包人的义务</w:t>
      </w:r>
    </w:p>
    <w:p>
      <w:pPr>
        <w:pStyle w:val="20"/>
        <w:spacing w:before="91" w:line="312" w:lineRule="auto"/>
        <w:ind w:left="424" w:right="388" w:firstLine="616"/>
        <w:jc w:val="both"/>
        <w:rPr>
          <w:color w:val="auto"/>
          <w:highlight w:val="none"/>
        </w:rPr>
      </w:pPr>
      <w:r>
        <w:rPr>
          <w:color w:val="auto"/>
          <w:highlight w:val="none"/>
        </w:rPr>
        <w:t>（</w:t>
      </w:r>
      <w:r>
        <w:rPr>
          <w:rFonts w:ascii="Times New Roman" w:eastAsia="Times New Roman"/>
          <w:color w:val="auto"/>
          <w:highlight w:val="none"/>
        </w:rPr>
        <w:t>1</w:t>
      </w:r>
      <w:r>
        <w:rPr>
          <w:color w:val="auto"/>
          <w:highlight w:val="none"/>
        </w:rPr>
        <w:t>）承包人不得以任何理由向发包人及其工作人员行贿或馈赠礼金、有价证券、贵重礼品。</w:t>
      </w:r>
    </w:p>
    <w:p>
      <w:pPr>
        <w:pStyle w:val="20"/>
        <w:spacing w:before="2" w:line="312" w:lineRule="auto"/>
        <w:ind w:left="424" w:right="387" w:firstLine="616"/>
        <w:jc w:val="both"/>
        <w:rPr>
          <w:color w:val="auto"/>
          <w:highlight w:val="none"/>
        </w:rPr>
      </w:pPr>
      <w:r>
        <w:rPr>
          <w:color w:val="auto"/>
          <w:highlight w:val="none"/>
        </w:rPr>
        <w:t>（</w:t>
      </w:r>
      <w:r>
        <w:rPr>
          <w:rFonts w:ascii="Times New Roman" w:eastAsia="Times New Roman"/>
          <w:color w:val="auto"/>
          <w:highlight w:val="none"/>
        </w:rPr>
        <w:t>2</w:t>
      </w:r>
      <w:r>
        <w:rPr>
          <w:color w:val="auto"/>
          <w:highlight w:val="none"/>
        </w:rPr>
        <w:t>）承包人不得以任何名义为发包人及其工作人员报销应由发包人单位或个人支付的任何费用。</w:t>
      </w:r>
    </w:p>
    <w:p>
      <w:pPr>
        <w:pStyle w:val="20"/>
        <w:spacing w:line="307" w:lineRule="exact"/>
        <w:ind w:left="1041"/>
        <w:rPr>
          <w:color w:val="auto"/>
          <w:highlight w:val="none"/>
        </w:rPr>
      </w:pPr>
      <w:r>
        <w:rPr>
          <w:color w:val="auto"/>
          <w:highlight w:val="none"/>
        </w:rPr>
        <w:t>（</w:t>
      </w:r>
      <w:r>
        <w:rPr>
          <w:rFonts w:ascii="Times New Roman" w:eastAsia="Times New Roman"/>
          <w:color w:val="auto"/>
          <w:highlight w:val="none"/>
        </w:rPr>
        <w:t>3</w:t>
      </w:r>
      <w:r>
        <w:rPr>
          <w:color w:val="auto"/>
          <w:spacing w:val="-104"/>
          <w:highlight w:val="none"/>
        </w:rPr>
        <w:t>）</w:t>
      </w:r>
      <w:r>
        <w:rPr>
          <w:color w:val="auto"/>
          <w:highlight w:val="none"/>
        </w:rPr>
        <w:t>承包人不得以任何理由安排发包人工作人员参加超标准宴请及娱乐活动。</w:t>
      </w:r>
    </w:p>
    <w:p>
      <w:pPr>
        <w:pStyle w:val="20"/>
        <w:spacing w:before="94" w:line="312" w:lineRule="auto"/>
        <w:ind w:left="424" w:right="388" w:firstLine="616"/>
        <w:jc w:val="both"/>
        <w:rPr>
          <w:color w:val="auto"/>
          <w:highlight w:val="none"/>
        </w:rPr>
      </w:pPr>
      <w:r>
        <w:rPr>
          <w:color w:val="auto"/>
          <w:highlight w:val="none"/>
        </w:rPr>
        <w:t>（</w:t>
      </w:r>
      <w:r>
        <w:rPr>
          <w:rFonts w:ascii="Times New Roman" w:eastAsia="Times New Roman"/>
          <w:color w:val="auto"/>
          <w:highlight w:val="none"/>
        </w:rPr>
        <w:t>4</w:t>
      </w:r>
      <w:r>
        <w:rPr>
          <w:color w:val="auto"/>
          <w:highlight w:val="none"/>
        </w:rPr>
        <w:t>）承包人不得为发包人单位和个人购置或提供通信工具、交通工具和高档办公用品等。</w:t>
      </w:r>
    </w:p>
    <w:p>
      <w:pPr>
        <w:pStyle w:val="86"/>
        <w:numPr>
          <w:ilvl w:val="0"/>
          <w:numId w:val="40"/>
        </w:numPr>
        <w:tabs>
          <w:tab w:val="left" w:pos="1342"/>
        </w:tabs>
        <w:ind w:firstLine="617"/>
        <w:rPr>
          <w:rFonts w:ascii="黑体" w:eastAsia="黑体"/>
          <w:color w:val="auto"/>
          <w:sz w:val="24"/>
          <w:highlight w:val="none"/>
        </w:rPr>
      </w:pPr>
      <w:r>
        <w:rPr>
          <w:rFonts w:hint="eastAsia" w:ascii="黑体" w:eastAsia="黑体"/>
          <w:color w:val="auto"/>
          <w:sz w:val="24"/>
          <w:highlight w:val="none"/>
        </w:rPr>
        <w:t>违约责任</w:t>
      </w:r>
    </w:p>
    <w:p>
      <w:pPr>
        <w:pStyle w:val="20"/>
        <w:spacing w:before="93" w:line="312" w:lineRule="auto"/>
        <w:ind w:left="424" w:right="385" w:firstLine="616"/>
        <w:jc w:val="both"/>
        <w:rPr>
          <w:color w:val="auto"/>
          <w:highlight w:val="none"/>
        </w:rPr>
      </w:pPr>
      <w:r>
        <w:rPr>
          <w:color w:val="auto"/>
          <w:spacing w:val="-9"/>
          <w:highlight w:val="none"/>
        </w:rPr>
        <w:t>（</w:t>
      </w:r>
      <w:r>
        <w:rPr>
          <w:rFonts w:ascii="Times New Roman" w:eastAsia="Times New Roman"/>
          <w:color w:val="auto"/>
          <w:spacing w:val="-9"/>
          <w:highlight w:val="none"/>
        </w:rPr>
        <w:t>1</w:t>
      </w:r>
      <w:r>
        <w:rPr>
          <w:color w:val="auto"/>
          <w:spacing w:val="-9"/>
          <w:highlight w:val="none"/>
        </w:rPr>
        <w:t>）</w:t>
      </w:r>
      <w:r>
        <w:rPr>
          <w:color w:val="auto"/>
          <w:spacing w:val="-4"/>
          <w:highlight w:val="none"/>
        </w:rPr>
        <w:t xml:space="preserve">发包人及其工作人员违反本合同第 </w:t>
      </w:r>
      <w:r>
        <w:rPr>
          <w:rFonts w:ascii="Times New Roman" w:eastAsia="Times New Roman"/>
          <w:color w:val="auto"/>
          <w:highlight w:val="none"/>
        </w:rPr>
        <w:t>1</w:t>
      </w:r>
      <w:r>
        <w:rPr>
          <w:color w:val="auto"/>
          <w:spacing w:val="-27"/>
          <w:highlight w:val="none"/>
        </w:rPr>
        <w:t>、</w:t>
      </w:r>
      <w:r>
        <w:rPr>
          <w:rFonts w:ascii="Times New Roman" w:eastAsia="Times New Roman"/>
          <w:color w:val="auto"/>
          <w:highlight w:val="none"/>
        </w:rPr>
        <w:t xml:space="preserve">2 </w:t>
      </w:r>
      <w:r>
        <w:rPr>
          <w:color w:val="auto"/>
          <w:spacing w:val="-8"/>
          <w:highlight w:val="none"/>
        </w:rPr>
        <w:t>条，按管理权限，依据有关规定给予党纪、政纪或组织处理；涉嫌犯罪的，移交司法机关追究刑事责任；给承包人单位造成经济损失的，应予以赔偿。</w:t>
      </w:r>
    </w:p>
    <w:p>
      <w:pPr>
        <w:pStyle w:val="20"/>
        <w:spacing w:before="1" w:line="312" w:lineRule="auto"/>
        <w:ind w:left="424" w:right="385" w:firstLine="616"/>
        <w:jc w:val="both"/>
        <w:rPr>
          <w:color w:val="auto"/>
          <w:highlight w:val="none"/>
        </w:rPr>
      </w:pPr>
      <w:r>
        <w:rPr>
          <w:color w:val="auto"/>
          <w:spacing w:val="-9"/>
          <w:highlight w:val="none"/>
        </w:rPr>
        <w:t>（</w:t>
      </w:r>
      <w:r>
        <w:rPr>
          <w:rFonts w:ascii="Times New Roman" w:eastAsia="Times New Roman"/>
          <w:color w:val="auto"/>
          <w:spacing w:val="-9"/>
          <w:highlight w:val="none"/>
        </w:rPr>
        <w:t>2</w:t>
      </w:r>
      <w:r>
        <w:rPr>
          <w:color w:val="auto"/>
          <w:spacing w:val="-9"/>
          <w:highlight w:val="none"/>
        </w:rPr>
        <w:t>）</w:t>
      </w:r>
      <w:r>
        <w:rPr>
          <w:color w:val="auto"/>
          <w:spacing w:val="-4"/>
          <w:highlight w:val="none"/>
        </w:rPr>
        <w:t xml:space="preserve">承包人及其工作人员违反本合同第 </w:t>
      </w:r>
      <w:r>
        <w:rPr>
          <w:rFonts w:ascii="Times New Roman" w:eastAsia="Times New Roman"/>
          <w:color w:val="auto"/>
          <w:highlight w:val="none"/>
        </w:rPr>
        <w:t>1</w:t>
      </w:r>
      <w:r>
        <w:rPr>
          <w:color w:val="auto"/>
          <w:spacing w:val="-27"/>
          <w:highlight w:val="none"/>
        </w:rPr>
        <w:t>、</w:t>
      </w:r>
      <w:r>
        <w:rPr>
          <w:rFonts w:ascii="Times New Roman" w:eastAsia="Times New Roman"/>
          <w:color w:val="auto"/>
          <w:highlight w:val="none"/>
        </w:rPr>
        <w:t xml:space="preserve">3 </w:t>
      </w:r>
      <w:r>
        <w:rPr>
          <w:color w:val="auto"/>
          <w:spacing w:val="-8"/>
          <w:highlight w:val="none"/>
        </w:rPr>
        <w:t>条，按管理权限，依据有关规定给予党纪、政纪或组织处理；给发包人单位造成经济损失的，应予以赔偿；情节严重的，发包人建议交通运输主管部门给予承包人一至三年内不得进入其主管的公路建设市场的处罚。</w:t>
      </w:r>
    </w:p>
    <w:p>
      <w:pPr>
        <w:pStyle w:val="86"/>
        <w:numPr>
          <w:ilvl w:val="0"/>
          <w:numId w:val="40"/>
        </w:numPr>
        <w:tabs>
          <w:tab w:val="left" w:pos="1344"/>
        </w:tabs>
        <w:spacing w:line="312" w:lineRule="auto"/>
        <w:ind w:right="383" w:firstLine="617"/>
        <w:jc w:val="both"/>
        <w:rPr>
          <w:color w:val="auto"/>
          <w:sz w:val="24"/>
          <w:highlight w:val="none"/>
        </w:rPr>
      </w:pPr>
      <w:r>
        <w:rPr>
          <w:color w:val="auto"/>
          <w:sz w:val="24"/>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pStyle w:val="86"/>
        <w:numPr>
          <w:ilvl w:val="0"/>
          <w:numId w:val="40"/>
        </w:numPr>
        <w:tabs>
          <w:tab w:val="left" w:pos="1342"/>
        </w:tabs>
        <w:spacing w:before="1"/>
        <w:ind w:firstLine="617"/>
        <w:rPr>
          <w:color w:val="auto"/>
          <w:sz w:val="24"/>
          <w:highlight w:val="none"/>
        </w:rPr>
      </w:pPr>
      <w:r>
        <w:rPr>
          <w:color w:val="auto"/>
          <w:sz w:val="24"/>
          <w:highlight w:val="none"/>
        </w:rPr>
        <w:t>本合同有效期为发包人和承包人签署之日起至该工程项目竣工验收后止。</w:t>
      </w:r>
    </w:p>
    <w:p>
      <w:pPr>
        <w:pStyle w:val="86"/>
        <w:numPr>
          <w:ilvl w:val="0"/>
          <w:numId w:val="40"/>
        </w:numPr>
        <w:tabs>
          <w:tab w:val="left" w:pos="1344"/>
          <w:tab w:val="left" w:pos="3652"/>
        </w:tabs>
        <w:spacing w:before="93" w:line="312" w:lineRule="auto"/>
        <w:ind w:right="384" w:firstLine="617"/>
        <w:jc w:val="both"/>
        <w:rPr>
          <w:color w:val="auto"/>
          <w:sz w:val="24"/>
          <w:highlight w:val="none"/>
        </w:rPr>
      </w:pPr>
      <w:r>
        <w:rPr>
          <w:color w:val="auto"/>
          <w:sz w:val="24"/>
          <w:highlight w:val="none"/>
        </w:rPr>
        <w:t>本合同作为</w:t>
      </w:r>
      <w:r>
        <w:rPr>
          <w:color w:val="auto"/>
          <w:sz w:val="24"/>
          <w:highlight w:val="none"/>
          <w:u w:val="single"/>
        </w:rPr>
        <w:tab/>
      </w:r>
      <w:r>
        <w:rPr>
          <w:color w:val="auto"/>
          <w:sz w:val="24"/>
          <w:highlight w:val="none"/>
        </w:rPr>
        <w:t>（项目名称）标段施工合同的附件，与工程施工合同具有同等的法律效力，经合同双方签署后立即生效。</w:t>
      </w:r>
    </w:p>
    <w:p>
      <w:pPr>
        <w:pStyle w:val="86"/>
        <w:numPr>
          <w:ilvl w:val="0"/>
          <w:numId w:val="40"/>
        </w:numPr>
        <w:tabs>
          <w:tab w:val="left" w:pos="1344"/>
        </w:tabs>
        <w:spacing w:line="314" w:lineRule="auto"/>
        <w:ind w:right="382" w:firstLine="617"/>
        <w:jc w:val="both"/>
        <w:rPr>
          <w:color w:val="auto"/>
          <w:sz w:val="24"/>
          <w:highlight w:val="none"/>
        </w:rPr>
      </w:pPr>
      <w:r>
        <w:rPr>
          <w:color w:val="auto"/>
          <w:sz w:val="24"/>
          <w:highlight w:val="none"/>
        </w:rPr>
        <w:t>本合同一式四份，由发包人和承包人各执一份，送交发包人和承包人的监督单位各一份。</w:t>
      </w:r>
    </w:p>
    <w:p>
      <w:pPr>
        <w:pStyle w:val="20"/>
        <w:spacing w:before="8"/>
        <w:rPr>
          <w:color w:val="auto"/>
          <w:sz w:val="32"/>
          <w:highlight w:val="none"/>
        </w:rPr>
      </w:pPr>
    </w:p>
    <w:p>
      <w:pPr>
        <w:pStyle w:val="20"/>
        <w:tabs>
          <w:tab w:val="left" w:pos="3151"/>
          <w:tab w:val="left" w:pos="5174"/>
          <w:tab w:val="left" w:pos="7781"/>
          <w:tab w:val="left" w:pos="8261"/>
        </w:tabs>
        <w:spacing w:before="1" w:line="345" w:lineRule="auto"/>
        <w:ind w:left="424" w:right="262"/>
        <w:rPr>
          <w:color w:val="auto"/>
          <w:highlight w:val="none"/>
        </w:rPr>
      </w:pPr>
      <w:r>
        <w:rPr>
          <w:color w:val="auto"/>
          <w:highlight w:val="none"/>
        </w:rPr>
        <w:t>发包人</w:t>
      </w:r>
      <w:r>
        <w:rPr>
          <w:color w:val="auto"/>
          <w:spacing w:val="-17"/>
          <w:highlight w:val="none"/>
        </w:rPr>
        <w:t>：</w:t>
      </w:r>
      <w:r>
        <w:rPr>
          <w:color w:val="auto"/>
          <w:spacing w:val="-17"/>
          <w:highlight w:val="none"/>
          <w:u w:val="single"/>
        </w:rPr>
        <w:tab/>
      </w:r>
      <w:r>
        <w:rPr>
          <w:color w:val="auto"/>
          <w:highlight w:val="none"/>
        </w:rPr>
        <w:t>（盖单位章）</w:t>
      </w:r>
      <w:r>
        <w:rPr>
          <w:color w:val="auto"/>
          <w:highlight w:val="none"/>
        </w:rPr>
        <w:tab/>
      </w:r>
      <w:r>
        <w:rPr>
          <w:color w:val="auto"/>
          <w:highlight w:val="none"/>
        </w:rPr>
        <w:t>承包人</w:t>
      </w:r>
      <w:r>
        <w:rPr>
          <w:color w:val="auto"/>
          <w:spacing w:val="-17"/>
          <w:highlight w:val="none"/>
        </w:rPr>
        <w:t>：</w:t>
      </w:r>
      <w:r>
        <w:rPr>
          <w:color w:val="auto"/>
          <w:spacing w:val="-17"/>
          <w:highlight w:val="none"/>
          <w:u w:val="single"/>
        </w:rPr>
        <w:tab/>
      </w:r>
      <w:r>
        <w:rPr>
          <w:color w:val="auto"/>
          <w:highlight w:val="none"/>
        </w:rPr>
        <w:t>（盖单位章） 法定代表人或其委托代理人</w:t>
      </w:r>
      <w:r>
        <w:rPr>
          <w:color w:val="auto"/>
          <w:highlight w:val="none"/>
          <w:u w:val="single"/>
        </w:rPr>
        <w:t>：（</w:t>
      </w:r>
      <w:r>
        <w:rPr>
          <w:color w:val="auto"/>
          <w:highlight w:val="none"/>
        </w:rPr>
        <w:t>签字）法定代表人或其委托代理人</w:t>
      </w:r>
      <w:r>
        <w:rPr>
          <w:color w:val="auto"/>
          <w:spacing w:val="-40"/>
          <w:highlight w:val="none"/>
        </w:rPr>
        <w:t>：</w:t>
      </w:r>
      <w:r>
        <w:rPr>
          <w:color w:val="auto"/>
          <w:spacing w:val="-40"/>
          <w:highlight w:val="none"/>
          <w:u w:val="single"/>
        </w:rPr>
        <w:tab/>
      </w:r>
      <w:r>
        <w:rPr>
          <w:color w:val="auto"/>
          <w:highlight w:val="none"/>
          <w:u w:val="single"/>
        </w:rPr>
        <w:t>（</w:t>
      </w:r>
      <w:r>
        <w:rPr>
          <w:color w:val="auto"/>
          <w:highlight w:val="none"/>
        </w:rPr>
        <w:t>签字）</w:t>
      </w:r>
    </w:p>
    <w:p>
      <w:pPr>
        <w:pStyle w:val="20"/>
        <w:tabs>
          <w:tab w:val="left" w:pos="2344"/>
          <w:tab w:val="left" w:pos="3184"/>
          <w:tab w:val="left" w:pos="4024"/>
          <w:tab w:val="left" w:pos="5104"/>
          <w:tab w:val="left" w:pos="5945"/>
          <w:tab w:val="left" w:pos="7025"/>
          <w:tab w:val="left" w:pos="7865"/>
          <w:tab w:val="left" w:pos="8705"/>
        </w:tabs>
        <w:spacing w:line="669" w:lineRule="auto"/>
        <w:ind w:left="424" w:right="298" w:firstLine="839"/>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r>
        <w:rPr>
          <w:color w:val="auto"/>
          <w:highlight w:val="none"/>
        </w:rPr>
        <w:tab/>
      </w:r>
      <w:r>
        <w:rPr>
          <w:color w:val="auto"/>
          <w:highlight w:val="none"/>
        </w:rPr>
        <w:tab/>
      </w:r>
      <w:r>
        <w:rPr>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日发包</w:t>
      </w:r>
      <w:r>
        <w:rPr>
          <w:color w:val="auto"/>
          <w:spacing w:val="-1"/>
          <w:highlight w:val="none"/>
        </w:rPr>
        <w:t>人</w:t>
      </w:r>
      <w:r>
        <w:rPr>
          <w:color w:val="auto"/>
          <w:highlight w:val="none"/>
        </w:rPr>
        <w:t>监督单位</w:t>
      </w:r>
      <w:r>
        <w:rPr>
          <w:color w:val="auto"/>
          <w:spacing w:val="-120"/>
          <w:highlight w:val="none"/>
        </w:rPr>
        <w:t>：</w:t>
      </w:r>
      <w:r>
        <w:rPr>
          <w:color w:val="auto"/>
          <w:highlight w:val="none"/>
          <w:u w:val="single"/>
        </w:rPr>
        <w:t>（全称</w:t>
      </w:r>
      <w:r>
        <w:rPr>
          <w:color w:val="auto"/>
          <w:spacing w:val="-120"/>
          <w:highlight w:val="none"/>
          <w:u w:val="single"/>
        </w:rPr>
        <w:t>）</w:t>
      </w:r>
      <w:r>
        <w:rPr>
          <w:color w:val="auto"/>
          <w:highlight w:val="none"/>
          <w:u w:val="single"/>
        </w:rPr>
        <w:t>（盖单位章）</w:t>
      </w:r>
      <w:r>
        <w:rPr>
          <w:color w:val="auto"/>
          <w:highlight w:val="none"/>
        </w:rPr>
        <w:tab/>
      </w:r>
      <w:r>
        <w:rPr>
          <w:color w:val="auto"/>
          <w:highlight w:val="none"/>
        </w:rPr>
        <w:t>承包人监督单位</w:t>
      </w:r>
      <w:r>
        <w:rPr>
          <w:color w:val="auto"/>
          <w:spacing w:val="-120"/>
          <w:highlight w:val="none"/>
        </w:rPr>
        <w:t>：</w:t>
      </w:r>
      <w:r>
        <w:rPr>
          <w:color w:val="auto"/>
          <w:highlight w:val="none"/>
          <w:u w:val="single"/>
        </w:rPr>
        <w:t>（全称</w:t>
      </w:r>
      <w:r>
        <w:rPr>
          <w:color w:val="auto"/>
          <w:spacing w:val="-120"/>
          <w:highlight w:val="none"/>
          <w:u w:val="single"/>
        </w:rPr>
        <w:t>）</w:t>
      </w:r>
      <w:r>
        <w:rPr>
          <w:color w:val="auto"/>
          <w:highlight w:val="none"/>
          <w:u w:val="single"/>
        </w:rPr>
        <w:t>（盖单位章）</w:t>
      </w:r>
    </w:p>
    <w:p>
      <w:pPr>
        <w:spacing w:line="669" w:lineRule="auto"/>
        <w:rPr>
          <w:color w:val="auto"/>
          <w:highlight w:val="none"/>
        </w:rPr>
        <w:sectPr>
          <w:pgSz w:w="11910" w:h="16850"/>
          <w:pgMar w:top="1418" w:right="1191" w:bottom="1418" w:left="1191" w:header="876" w:footer="853" w:gutter="0"/>
          <w:cols w:space="720" w:num="1"/>
        </w:sectPr>
      </w:pPr>
    </w:p>
    <w:p>
      <w:pPr>
        <w:pStyle w:val="20"/>
        <w:spacing w:before="9"/>
        <w:rPr>
          <w:color w:val="auto"/>
          <w:sz w:val="8"/>
          <w:highlight w:val="none"/>
        </w:rPr>
      </w:pPr>
    </w:p>
    <w:p>
      <w:pPr>
        <w:rPr>
          <w:color w:val="auto"/>
          <w:sz w:val="8"/>
          <w:highlight w:val="none"/>
        </w:rPr>
        <w:sectPr>
          <w:pgSz w:w="11910" w:h="16850"/>
          <w:pgMar w:top="1418" w:right="1191" w:bottom="1418" w:left="1191" w:header="883" w:footer="884" w:gutter="0"/>
          <w:cols w:space="720" w:num="1"/>
        </w:sectPr>
      </w:pPr>
    </w:p>
    <w:p>
      <w:pPr>
        <w:pStyle w:val="20"/>
        <w:spacing w:before="66"/>
        <w:ind w:left="424"/>
        <w:outlineLvl w:val="2"/>
        <w:rPr>
          <w:rFonts w:ascii="黑体" w:eastAsia="黑体"/>
          <w:color w:val="auto"/>
          <w:highlight w:val="none"/>
        </w:rPr>
      </w:pPr>
      <w:bookmarkStart w:id="3989" w:name="_bookmark272"/>
      <w:bookmarkEnd w:id="3989"/>
      <w:bookmarkStart w:id="3990" w:name="_Toc29020"/>
      <w:bookmarkStart w:id="3991" w:name="_Toc14528"/>
      <w:bookmarkStart w:id="3992" w:name="_Toc22738"/>
      <w:bookmarkStart w:id="3993" w:name="_Toc12721"/>
      <w:r>
        <w:rPr>
          <w:rFonts w:hint="eastAsia" w:ascii="黑体" w:eastAsia="黑体"/>
          <w:color w:val="auto"/>
          <w:highlight w:val="none"/>
        </w:rPr>
        <w:t>附件三 安全生产合同</w:t>
      </w:r>
      <w:bookmarkEnd w:id="3990"/>
      <w:bookmarkEnd w:id="3991"/>
      <w:bookmarkEnd w:id="3992"/>
      <w:bookmarkEnd w:id="3993"/>
    </w:p>
    <w:p>
      <w:pPr>
        <w:pStyle w:val="20"/>
        <w:spacing w:before="6"/>
        <w:rPr>
          <w:rFonts w:ascii="黑体"/>
          <w:color w:val="auto"/>
          <w:sz w:val="31"/>
          <w:highlight w:val="none"/>
        </w:rPr>
      </w:pPr>
      <w:r>
        <w:rPr>
          <w:color w:val="auto"/>
          <w:highlight w:val="none"/>
        </w:rPr>
        <w:br w:type="column"/>
      </w:r>
    </w:p>
    <w:p>
      <w:pPr>
        <w:ind w:left="424"/>
        <w:rPr>
          <w:rFonts w:ascii="黑体" w:eastAsia="黑体"/>
          <w:color w:val="auto"/>
          <w:sz w:val="28"/>
          <w:highlight w:val="none"/>
        </w:rPr>
      </w:pPr>
      <w:r>
        <w:rPr>
          <w:rFonts w:hint="eastAsia" w:ascii="黑体" w:eastAsia="黑体"/>
          <w:color w:val="auto"/>
          <w:sz w:val="28"/>
          <w:highlight w:val="none"/>
        </w:rPr>
        <w:t>安全生产合同</w:t>
      </w:r>
    </w:p>
    <w:p>
      <w:pPr>
        <w:rPr>
          <w:rFonts w:ascii="黑体" w:eastAsia="黑体"/>
          <w:color w:val="auto"/>
          <w:sz w:val="28"/>
          <w:highlight w:val="none"/>
        </w:rPr>
        <w:sectPr>
          <w:type w:val="continuous"/>
          <w:pgSz w:w="11910" w:h="16850"/>
          <w:pgMar w:top="1418" w:right="1191" w:bottom="1418" w:left="1191" w:header="720" w:footer="720" w:gutter="0"/>
          <w:cols w:equalWidth="0" w:num="2">
            <w:col w:w="2774" w:space="752"/>
            <w:col w:w="6002"/>
          </w:cols>
        </w:sectPr>
      </w:pPr>
    </w:p>
    <w:p>
      <w:pPr>
        <w:pStyle w:val="20"/>
        <w:rPr>
          <w:rFonts w:ascii="黑体"/>
          <w:color w:val="auto"/>
          <w:sz w:val="20"/>
          <w:highlight w:val="none"/>
        </w:rPr>
      </w:pPr>
    </w:p>
    <w:p>
      <w:pPr>
        <w:pStyle w:val="20"/>
        <w:tabs>
          <w:tab w:val="left" w:pos="3081"/>
          <w:tab w:val="left" w:pos="5122"/>
          <w:tab w:val="left" w:pos="6125"/>
          <w:tab w:val="left" w:pos="8619"/>
        </w:tabs>
        <w:spacing w:before="217" w:line="304" w:lineRule="auto"/>
        <w:ind w:left="424" w:right="282" w:firstLine="616"/>
        <w:rPr>
          <w:color w:val="auto"/>
          <w:highlight w:val="none"/>
        </w:rPr>
      </w:pPr>
      <w:r>
        <w:rPr>
          <w:color w:val="auto"/>
          <w:highlight w:val="none"/>
        </w:rPr>
        <w:t>为在</w:t>
      </w:r>
      <w:r>
        <w:rPr>
          <w:color w:val="auto"/>
          <w:highlight w:val="none"/>
          <w:u w:val="single"/>
        </w:rPr>
        <w:tab/>
      </w:r>
      <w:r>
        <w:rPr>
          <w:color w:val="auto"/>
          <w:highlight w:val="none"/>
        </w:rPr>
        <w:t>（项目名称）</w:t>
      </w:r>
      <w:r>
        <w:rPr>
          <w:color w:val="auto"/>
          <w:highlight w:val="none"/>
          <w:u w:val="single"/>
        </w:rPr>
        <w:tab/>
      </w:r>
      <w:r>
        <w:rPr>
          <w:color w:val="auto"/>
          <w:highlight w:val="none"/>
        </w:rPr>
        <w:t>标段施工合同的实施过程中创造安全、高效的施工环境</w:t>
      </w:r>
      <w:r>
        <w:rPr>
          <w:color w:val="auto"/>
          <w:spacing w:val="-29"/>
          <w:highlight w:val="none"/>
        </w:rPr>
        <w:t>，</w:t>
      </w:r>
      <w:r>
        <w:rPr>
          <w:color w:val="auto"/>
          <w:highlight w:val="none"/>
        </w:rPr>
        <w:t>切实搞好本项目的安全管理工作</w:t>
      </w:r>
      <w:r>
        <w:rPr>
          <w:color w:val="auto"/>
          <w:spacing w:val="-29"/>
          <w:highlight w:val="none"/>
        </w:rPr>
        <w:t>，</w:t>
      </w:r>
      <w:r>
        <w:rPr>
          <w:color w:val="auto"/>
          <w:highlight w:val="none"/>
        </w:rPr>
        <w:t>本项目发包人</w:t>
      </w:r>
      <w:r>
        <w:rPr>
          <w:color w:val="auto"/>
          <w:highlight w:val="none"/>
          <w:u w:val="single"/>
        </w:rPr>
        <w:tab/>
      </w:r>
      <w:r>
        <w:rPr>
          <w:color w:val="auto"/>
          <w:highlight w:val="none"/>
        </w:rPr>
        <w:t>（发包人名称</w:t>
      </w:r>
      <w:r>
        <w:rPr>
          <w:color w:val="auto"/>
          <w:spacing w:val="-13"/>
          <w:highlight w:val="none"/>
        </w:rPr>
        <w:t>，</w:t>
      </w:r>
      <w:r>
        <w:rPr>
          <w:color w:val="auto"/>
          <w:highlight w:val="none"/>
        </w:rPr>
        <w:t>以下简称</w:t>
      </w:r>
      <w:r>
        <w:rPr>
          <w:rFonts w:ascii="Times New Roman" w:hAnsi="Times New Roman" w:eastAsia="Times New Roman"/>
          <w:color w:val="auto"/>
          <w:highlight w:val="none"/>
        </w:rPr>
        <w:t>“</w:t>
      </w:r>
      <w:r>
        <w:rPr>
          <w:color w:val="auto"/>
          <w:highlight w:val="none"/>
        </w:rPr>
        <w:t>发包人</w:t>
      </w:r>
      <w:r>
        <w:rPr>
          <w:rFonts w:ascii="Times New Roman" w:hAnsi="Times New Roman" w:eastAsia="Times New Roman"/>
          <w:color w:val="auto"/>
          <w:spacing w:val="-7"/>
          <w:highlight w:val="none"/>
        </w:rPr>
        <w:t>”</w:t>
      </w:r>
      <w:r>
        <w:rPr>
          <w:color w:val="auto"/>
          <w:spacing w:val="-7"/>
          <w:highlight w:val="none"/>
        </w:rPr>
        <w:t>）</w:t>
      </w:r>
      <w:r>
        <w:rPr>
          <w:color w:val="auto"/>
          <w:highlight w:val="none"/>
        </w:rPr>
        <w:t>与承包人</w:t>
      </w:r>
      <w:r>
        <w:rPr>
          <w:color w:val="auto"/>
          <w:highlight w:val="none"/>
          <w:u w:val="single"/>
        </w:rPr>
        <w:tab/>
      </w:r>
      <w:r>
        <w:rPr>
          <w:color w:val="auto"/>
          <w:highlight w:val="none"/>
          <w:u w:val="single"/>
        </w:rPr>
        <w:tab/>
      </w:r>
      <w:r>
        <w:rPr>
          <w:color w:val="auto"/>
          <w:highlight w:val="none"/>
        </w:rPr>
        <w:t>（承包人名称</w:t>
      </w:r>
      <w:r>
        <w:rPr>
          <w:color w:val="auto"/>
          <w:spacing w:val="-12"/>
          <w:highlight w:val="none"/>
        </w:rPr>
        <w:t>，</w:t>
      </w:r>
      <w:r>
        <w:rPr>
          <w:color w:val="auto"/>
          <w:highlight w:val="none"/>
        </w:rPr>
        <w:t>以下简称</w:t>
      </w:r>
      <w:r>
        <w:rPr>
          <w:rFonts w:ascii="Times New Roman" w:hAnsi="Times New Roman" w:eastAsia="Times New Roman"/>
          <w:color w:val="auto"/>
          <w:highlight w:val="none"/>
        </w:rPr>
        <w:t>“</w:t>
      </w:r>
      <w:r>
        <w:rPr>
          <w:color w:val="auto"/>
          <w:highlight w:val="none"/>
        </w:rPr>
        <w:t>承包人</w:t>
      </w:r>
      <w:r>
        <w:rPr>
          <w:rFonts w:ascii="Times New Roman" w:hAnsi="Times New Roman" w:eastAsia="Times New Roman"/>
          <w:color w:val="auto"/>
          <w:highlight w:val="none"/>
        </w:rPr>
        <w:t>”</w:t>
      </w:r>
      <w:r>
        <w:rPr>
          <w:color w:val="auto"/>
          <w:highlight w:val="none"/>
        </w:rPr>
        <w:t>）特此签订安全生产合同。</w:t>
      </w:r>
    </w:p>
    <w:p>
      <w:pPr>
        <w:pStyle w:val="20"/>
        <w:spacing w:line="305" w:lineRule="exact"/>
        <w:ind w:left="1041"/>
        <w:rPr>
          <w:rFonts w:ascii="黑体" w:eastAsia="黑体"/>
          <w:color w:val="auto"/>
          <w:highlight w:val="none"/>
        </w:rPr>
      </w:pPr>
      <w:r>
        <w:rPr>
          <w:rFonts w:ascii="Times New Roman" w:eastAsia="Times New Roman"/>
          <w:color w:val="auto"/>
          <w:highlight w:val="none"/>
        </w:rPr>
        <w:t>1.</w:t>
      </w:r>
      <w:r>
        <w:rPr>
          <w:rFonts w:hint="eastAsia" w:ascii="黑体" w:eastAsia="黑体"/>
          <w:color w:val="auto"/>
          <w:highlight w:val="none"/>
        </w:rPr>
        <w:t>发包人职责</w:t>
      </w:r>
    </w:p>
    <w:p>
      <w:pPr>
        <w:pStyle w:val="20"/>
        <w:spacing w:before="82" w:line="304" w:lineRule="auto"/>
        <w:ind w:left="424" w:right="390" w:firstLine="616"/>
        <w:rPr>
          <w:color w:val="auto"/>
          <w:highlight w:val="none"/>
        </w:rPr>
      </w:pPr>
      <w:r>
        <w:rPr>
          <w:color w:val="auto"/>
          <w:highlight w:val="none"/>
        </w:rPr>
        <w:t>（</w:t>
      </w:r>
      <w:r>
        <w:rPr>
          <w:rFonts w:ascii="Times New Roman" w:eastAsia="Times New Roman"/>
          <w:color w:val="auto"/>
          <w:highlight w:val="none"/>
        </w:rPr>
        <w:t>1</w:t>
      </w:r>
      <w:r>
        <w:rPr>
          <w:color w:val="auto"/>
          <w:highlight w:val="none"/>
        </w:rPr>
        <w:t>）严格遵守国家有关安全生产的法律法规，认真执行工程承包合同中的有关安全要求。</w:t>
      </w:r>
    </w:p>
    <w:p>
      <w:pPr>
        <w:pStyle w:val="20"/>
        <w:spacing w:line="304" w:lineRule="auto"/>
        <w:ind w:left="424" w:right="380" w:firstLine="616"/>
        <w:rPr>
          <w:color w:val="auto"/>
          <w:highlight w:val="none"/>
        </w:rPr>
      </w:pPr>
      <w:r>
        <w:rPr>
          <w:color w:val="auto"/>
          <w:highlight w:val="none"/>
        </w:rPr>
        <w:t>（</w:t>
      </w:r>
      <w:r>
        <w:rPr>
          <w:rFonts w:ascii="Times New Roman" w:hAnsi="Times New Roman" w:eastAsia="Times New Roman"/>
          <w:color w:val="auto"/>
          <w:highlight w:val="none"/>
        </w:rPr>
        <w:t>2</w:t>
      </w:r>
      <w:r>
        <w:rPr>
          <w:color w:val="auto"/>
          <w:highlight w:val="none"/>
        </w:rPr>
        <w:t>）按照</w:t>
      </w:r>
      <w:r>
        <w:rPr>
          <w:rFonts w:ascii="Times New Roman" w:hAnsi="Times New Roman" w:eastAsia="Times New Roman"/>
          <w:color w:val="auto"/>
          <w:highlight w:val="none"/>
        </w:rPr>
        <w:t>“</w:t>
      </w:r>
      <w:r>
        <w:rPr>
          <w:color w:val="auto"/>
          <w:highlight w:val="none"/>
        </w:rPr>
        <w:t>安全第一、预防为主、综合治理</w:t>
      </w:r>
      <w:r>
        <w:rPr>
          <w:rFonts w:ascii="Times New Roman" w:hAnsi="Times New Roman" w:eastAsia="Times New Roman"/>
          <w:color w:val="auto"/>
          <w:highlight w:val="none"/>
        </w:rPr>
        <w:t>”</w:t>
      </w:r>
      <w:r>
        <w:rPr>
          <w:color w:val="auto"/>
          <w:highlight w:val="none"/>
        </w:rPr>
        <w:t>和坚持</w:t>
      </w:r>
      <w:r>
        <w:rPr>
          <w:rFonts w:ascii="Times New Roman" w:hAnsi="Times New Roman" w:eastAsia="Times New Roman"/>
          <w:color w:val="auto"/>
          <w:highlight w:val="none"/>
        </w:rPr>
        <w:t>“</w:t>
      </w:r>
      <w:r>
        <w:rPr>
          <w:color w:val="auto"/>
          <w:highlight w:val="none"/>
        </w:rPr>
        <w:t>管生产必须管安全</w:t>
      </w:r>
      <w:r>
        <w:rPr>
          <w:rFonts w:ascii="Times New Roman" w:hAnsi="Times New Roman" w:eastAsia="Times New Roman"/>
          <w:color w:val="auto"/>
          <w:highlight w:val="none"/>
        </w:rPr>
        <w:t>”</w:t>
      </w:r>
      <w:r>
        <w:rPr>
          <w:color w:val="auto"/>
          <w:highlight w:val="none"/>
        </w:rPr>
        <w:t>的原则进行安全生产管理，做到生产与安全工作同时计划、布置、检查、总结和评比。</w:t>
      </w:r>
    </w:p>
    <w:p>
      <w:pPr>
        <w:pStyle w:val="20"/>
        <w:spacing w:line="304" w:lineRule="auto"/>
        <w:ind w:left="424" w:right="382" w:firstLine="616"/>
        <w:rPr>
          <w:color w:val="auto"/>
          <w:highlight w:val="none"/>
        </w:rPr>
      </w:pPr>
      <w:r>
        <w:rPr>
          <w:color w:val="auto"/>
          <w:highlight w:val="none"/>
        </w:rPr>
        <w:t>（</w:t>
      </w:r>
      <w:r>
        <w:rPr>
          <w:rFonts w:ascii="Times New Roman" w:hAnsi="Times New Roman" w:eastAsia="Times New Roman"/>
          <w:color w:val="auto"/>
          <w:highlight w:val="none"/>
        </w:rPr>
        <w:t>3</w:t>
      </w:r>
      <w:r>
        <w:rPr>
          <w:color w:val="auto"/>
          <w:highlight w:val="none"/>
        </w:rPr>
        <w:t>）重要的安全设施必须坚持与主体工程</w:t>
      </w:r>
      <w:r>
        <w:rPr>
          <w:rFonts w:ascii="Times New Roman" w:hAnsi="Times New Roman" w:eastAsia="Times New Roman"/>
          <w:color w:val="auto"/>
          <w:highlight w:val="none"/>
        </w:rPr>
        <w:t>“</w:t>
      </w:r>
      <w:r>
        <w:rPr>
          <w:color w:val="auto"/>
          <w:highlight w:val="none"/>
        </w:rPr>
        <w:t>三同时</w:t>
      </w:r>
      <w:r>
        <w:rPr>
          <w:rFonts w:ascii="Times New Roman" w:hAnsi="Times New Roman" w:eastAsia="Times New Roman"/>
          <w:color w:val="auto"/>
          <w:highlight w:val="none"/>
        </w:rPr>
        <w:t>”</w:t>
      </w:r>
      <w:r>
        <w:rPr>
          <w:color w:val="auto"/>
          <w:highlight w:val="none"/>
        </w:rPr>
        <w:t>的原则，即：同时设计、审批，同时施工，同时验收，投入使用。</w:t>
      </w:r>
    </w:p>
    <w:p>
      <w:pPr>
        <w:pStyle w:val="20"/>
        <w:spacing w:line="306" w:lineRule="exact"/>
        <w:ind w:left="1041"/>
        <w:rPr>
          <w:color w:val="auto"/>
          <w:highlight w:val="none"/>
        </w:rPr>
      </w:pPr>
      <w:r>
        <w:rPr>
          <w:color w:val="auto"/>
          <w:highlight w:val="none"/>
        </w:rPr>
        <w:t>（</w:t>
      </w:r>
      <w:r>
        <w:rPr>
          <w:rFonts w:ascii="Times New Roman" w:eastAsia="Times New Roman"/>
          <w:color w:val="auto"/>
          <w:highlight w:val="none"/>
        </w:rPr>
        <w:t>4</w:t>
      </w:r>
      <w:r>
        <w:rPr>
          <w:color w:val="auto"/>
          <w:highlight w:val="none"/>
        </w:rPr>
        <w:t>）定期召开安全生产调度会，及时传达中央及地方有关安全生产的精神。</w:t>
      </w:r>
    </w:p>
    <w:p>
      <w:pPr>
        <w:pStyle w:val="20"/>
        <w:spacing w:before="82" w:line="302" w:lineRule="auto"/>
        <w:ind w:left="424" w:right="388" w:firstLine="616"/>
        <w:rPr>
          <w:color w:val="auto"/>
          <w:highlight w:val="none"/>
        </w:rPr>
      </w:pPr>
      <w:r>
        <w:rPr>
          <w:color w:val="auto"/>
          <w:highlight w:val="none"/>
        </w:rPr>
        <w:t>（</w:t>
      </w:r>
      <w:r>
        <w:rPr>
          <w:rFonts w:ascii="Times New Roman" w:eastAsia="Times New Roman"/>
          <w:color w:val="auto"/>
          <w:highlight w:val="none"/>
        </w:rPr>
        <w:t>5</w:t>
      </w:r>
      <w:r>
        <w:rPr>
          <w:color w:val="auto"/>
          <w:highlight w:val="none"/>
        </w:rPr>
        <w:t>）组织对承包人施工现场进行安全生产检查，监督承包人及时处理发现的各种安全隐患。</w:t>
      </w:r>
    </w:p>
    <w:p>
      <w:pPr>
        <w:pStyle w:val="20"/>
        <w:spacing w:before="5"/>
        <w:ind w:left="1041"/>
        <w:rPr>
          <w:rFonts w:ascii="黑体" w:eastAsia="黑体"/>
          <w:color w:val="auto"/>
          <w:highlight w:val="none"/>
        </w:rPr>
      </w:pPr>
      <w:r>
        <w:rPr>
          <w:rFonts w:ascii="Times New Roman" w:eastAsia="Times New Roman"/>
          <w:color w:val="auto"/>
          <w:highlight w:val="none"/>
        </w:rPr>
        <w:t>2.</w:t>
      </w:r>
      <w:r>
        <w:rPr>
          <w:rFonts w:hint="eastAsia" w:ascii="黑体" w:eastAsia="黑体"/>
          <w:color w:val="auto"/>
          <w:highlight w:val="none"/>
        </w:rPr>
        <w:t>承包人职责</w:t>
      </w:r>
    </w:p>
    <w:p>
      <w:pPr>
        <w:pStyle w:val="20"/>
        <w:spacing w:before="81" w:line="304" w:lineRule="auto"/>
        <w:ind w:left="424" w:right="283" w:firstLine="616"/>
        <w:rPr>
          <w:color w:val="auto"/>
          <w:highlight w:val="none"/>
        </w:rPr>
      </w:pPr>
      <w:r>
        <w:rPr>
          <w:color w:val="auto"/>
          <w:highlight w:val="none"/>
        </w:rPr>
        <w:t>（</w:t>
      </w:r>
      <w:r>
        <w:rPr>
          <w:rFonts w:ascii="Times New Roman" w:eastAsia="Times New Roman"/>
          <w:color w:val="auto"/>
          <w:highlight w:val="none"/>
        </w:rPr>
        <w:t>1</w:t>
      </w:r>
      <w:r>
        <w:rPr>
          <w:color w:val="auto"/>
          <w:highlight w:val="none"/>
        </w:rPr>
        <w:t>）</w:t>
      </w:r>
      <w:r>
        <w:rPr>
          <w:color w:val="auto"/>
          <w:spacing w:val="-7"/>
          <w:highlight w:val="none"/>
        </w:rPr>
        <w:t>严格遵守《中华人民共和国安全生产法》《建设工程安全生产管理条例》等国家有关安全生产的法律法规</w:t>
      </w:r>
      <w:r>
        <w:rPr>
          <w:color w:val="auto"/>
          <w:spacing w:val="-16"/>
          <w:highlight w:val="none"/>
        </w:rPr>
        <w:t>、《公路水运工程安全生产监督管理办法》和《公路工程施工安全技术规范》等有关安全生产的规定。认真执行工程承包合同中的有关安全要求。</w:t>
      </w:r>
    </w:p>
    <w:p>
      <w:pPr>
        <w:pStyle w:val="20"/>
        <w:spacing w:line="304" w:lineRule="auto"/>
        <w:ind w:left="424" w:right="266" w:firstLine="616"/>
        <w:jc w:val="both"/>
        <w:rPr>
          <w:color w:val="auto"/>
          <w:highlight w:val="none"/>
        </w:rPr>
      </w:pPr>
      <w:r>
        <w:rPr>
          <w:color w:val="auto"/>
          <w:highlight w:val="none"/>
        </w:rPr>
        <w:t>（</w:t>
      </w:r>
      <w:r>
        <w:rPr>
          <w:rFonts w:ascii="Times New Roman" w:hAnsi="Times New Roman" w:eastAsia="Times New Roman"/>
          <w:color w:val="auto"/>
          <w:highlight w:val="none"/>
        </w:rPr>
        <w:t>2</w:t>
      </w:r>
      <w:r>
        <w:rPr>
          <w:color w:val="auto"/>
          <w:highlight w:val="none"/>
        </w:rPr>
        <w:t>）坚持</w:t>
      </w:r>
      <w:r>
        <w:rPr>
          <w:rFonts w:ascii="Times New Roman" w:hAnsi="Times New Roman" w:eastAsia="Times New Roman"/>
          <w:color w:val="auto"/>
          <w:highlight w:val="none"/>
        </w:rPr>
        <w:t>“</w:t>
      </w:r>
      <w:r>
        <w:rPr>
          <w:color w:val="auto"/>
          <w:highlight w:val="none"/>
        </w:rPr>
        <w:t>安全第一、预防为主、综合治理</w:t>
      </w:r>
      <w:r>
        <w:rPr>
          <w:rFonts w:ascii="Times New Roman" w:hAnsi="Times New Roman" w:eastAsia="Times New Roman"/>
          <w:color w:val="auto"/>
          <w:highlight w:val="none"/>
        </w:rPr>
        <w:t>”</w:t>
      </w:r>
      <w:r>
        <w:rPr>
          <w:color w:val="auto"/>
          <w:highlight w:val="none"/>
        </w:rPr>
        <w:t>和</w:t>
      </w:r>
      <w:r>
        <w:rPr>
          <w:rFonts w:ascii="Times New Roman" w:hAnsi="Times New Roman" w:eastAsia="Times New Roman"/>
          <w:color w:val="auto"/>
          <w:highlight w:val="none"/>
        </w:rPr>
        <w:t>“</w:t>
      </w:r>
      <w:r>
        <w:rPr>
          <w:color w:val="auto"/>
          <w:highlight w:val="none"/>
        </w:rPr>
        <w:t>管生产必须管安全</w:t>
      </w:r>
      <w:r>
        <w:rPr>
          <w:rFonts w:ascii="Times New Roman" w:hAnsi="Times New Roman" w:eastAsia="Times New Roman"/>
          <w:color w:val="auto"/>
          <w:highlight w:val="none"/>
        </w:rPr>
        <w:t>”</w:t>
      </w:r>
      <w:r>
        <w:rPr>
          <w:color w:val="auto"/>
          <w:highlight w:val="none"/>
        </w:rPr>
        <w:t>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color w:val="auto"/>
          <w:spacing w:val="-5"/>
          <w:highlight w:val="none"/>
        </w:rPr>
        <w:t>遵守本合同的各项规定，做到生产与安全工作同时计划、布置、检查、总结和评比。</w:t>
      </w:r>
    </w:p>
    <w:p>
      <w:pPr>
        <w:pStyle w:val="20"/>
        <w:spacing w:line="304" w:lineRule="auto"/>
        <w:ind w:left="424" w:right="387" w:firstLine="616"/>
        <w:jc w:val="both"/>
        <w:rPr>
          <w:color w:val="auto"/>
          <w:highlight w:val="none"/>
        </w:rPr>
      </w:pPr>
      <w:r>
        <w:rPr>
          <w:color w:val="auto"/>
          <w:highlight w:val="none"/>
        </w:rPr>
        <w:t>（</w:t>
      </w:r>
      <w:r>
        <w:rPr>
          <w:rFonts w:ascii="Times New Roman" w:eastAsia="Times New Roman"/>
          <w:color w:val="auto"/>
          <w:highlight w:val="none"/>
        </w:rPr>
        <w:t>3</w:t>
      </w:r>
      <w:r>
        <w:rPr>
          <w:color w:val="auto"/>
          <w:highlight w:val="none"/>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pStyle w:val="20"/>
        <w:spacing w:line="303" w:lineRule="exact"/>
        <w:ind w:left="1041"/>
        <w:rPr>
          <w:color w:val="auto"/>
          <w:highlight w:val="none"/>
        </w:rPr>
      </w:pPr>
      <w:r>
        <w:rPr>
          <w:color w:val="auto"/>
          <w:highlight w:val="none"/>
        </w:rPr>
        <w:t>（</w:t>
      </w:r>
      <w:r>
        <w:rPr>
          <w:rFonts w:ascii="Times New Roman" w:eastAsia="Times New Roman"/>
          <w:color w:val="auto"/>
          <w:highlight w:val="none"/>
        </w:rPr>
        <w:t>4</w:t>
      </w:r>
      <w:r>
        <w:rPr>
          <w:color w:val="auto"/>
          <w:highlight w:val="none"/>
        </w:rPr>
        <w:t>）承包人在任何时候都应采取各种合理的预防措施，防止其员工发生任何</w:t>
      </w:r>
    </w:p>
    <w:p>
      <w:pPr>
        <w:spacing w:line="303" w:lineRule="exact"/>
        <w:rPr>
          <w:color w:val="auto"/>
          <w:highlight w:val="none"/>
        </w:rPr>
        <w:sectPr>
          <w:type w:val="continuous"/>
          <w:pgSz w:w="11910" w:h="16850"/>
          <w:pgMar w:top="1418" w:right="1191" w:bottom="1418" w:left="1191" w:header="720" w:footer="720" w:gutter="0"/>
          <w:cols w:space="720" w:num="1"/>
        </w:sectPr>
      </w:pPr>
    </w:p>
    <w:p>
      <w:pPr>
        <w:pStyle w:val="20"/>
        <w:spacing w:before="5"/>
        <w:rPr>
          <w:color w:val="auto"/>
          <w:sz w:val="9"/>
          <w:highlight w:val="none"/>
        </w:rPr>
      </w:pPr>
    </w:p>
    <w:p>
      <w:pPr>
        <w:pStyle w:val="20"/>
        <w:spacing w:before="67"/>
        <w:ind w:left="424"/>
        <w:rPr>
          <w:color w:val="auto"/>
          <w:highlight w:val="none"/>
        </w:rPr>
      </w:pPr>
      <w:r>
        <w:rPr>
          <w:color w:val="auto"/>
          <w:highlight w:val="none"/>
        </w:rPr>
        <w:t>违法、违禁、暴力或妨碍治安的行为。</w:t>
      </w:r>
    </w:p>
    <w:p>
      <w:pPr>
        <w:pStyle w:val="20"/>
        <w:spacing w:before="81" w:line="304" w:lineRule="auto"/>
        <w:ind w:left="424" w:right="266" w:firstLine="616"/>
        <w:rPr>
          <w:color w:val="auto"/>
          <w:highlight w:val="none"/>
        </w:rPr>
      </w:pPr>
      <w:r>
        <w:rPr>
          <w:color w:val="auto"/>
          <w:highlight w:val="none"/>
        </w:rPr>
        <w:t>（</w:t>
      </w:r>
      <w:r>
        <w:rPr>
          <w:rFonts w:ascii="Times New Roman" w:eastAsia="Times New Roman"/>
          <w:color w:val="auto"/>
          <w:highlight w:val="none"/>
        </w:rPr>
        <w:t>5</w:t>
      </w:r>
      <w:r>
        <w:rPr>
          <w:color w:val="auto"/>
          <w:highlight w:val="none"/>
        </w:rPr>
        <w:t>）承包人必须具有劳动安全管理部门颁发的安全生产考核合格证书，参加</w:t>
      </w:r>
      <w:r>
        <w:rPr>
          <w:color w:val="auto"/>
          <w:spacing w:val="-10"/>
          <w:highlight w:val="none"/>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20"/>
        <w:spacing w:line="304" w:lineRule="auto"/>
        <w:ind w:left="424" w:right="388" w:firstLine="616"/>
        <w:jc w:val="both"/>
        <w:rPr>
          <w:color w:val="auto"/>
          <w:highlight w:val="none"/>
        </w:rPr>
      </w:pPr>
      <w:r>
        <w:rPr>
          <w:color w:val="auto"/>
          <w:highlight w:val="none"/>
        </w:rPr>
        <w:t>（</w:t>
      </w:r>
      <w:r>
        <w:rPr>
          <w:rFonts w:ascii="Times New Roman" w:eastAsia="Times New Roman"/>
          <w:color w:val="auto"/>
          <w:highlight w:val="none"/>
        </w:rPr>
        <w:t>6</w:t>
      </w:r>
      <w:r>
        <w:rPr>
          <w:color w:val="auto"/>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pStyle w:val="20"/>
        <w:spacing w:line="302" w:lineRule="auto"/>
        <w:ind w:left="424" w:right="390" w:firstLine="616"/>
        <w:rPr>
          <w:color w:val="auto"/>
          <w:highlight w:val="none"/>
        </w:rPr>
      </w:pPr>
      <w:r>
        <w:rPr>
          <w:color w:val="auto"/>
          <w:highlight w:val="none"/>
        </w:rPr>
        <w:t>（</w:t>
      </w:r>
      <w:r>
        <w:rPr>
          <w:rFonts w:ascii="Times New Roman" w:eastAsia="Times New Roman"/>
          <w:color w:val="auto"/>
          <w:highlight w:val="none"/>
        </w:rPr>
        <w:t>7</w:t>
      </w:r>
      <w:r>
        <w:rPr>
          <w:color w:val="auto"/>
          <w:highlight w:val="none"/>
        </w:rPr>
        <w:t>）操作人员上岗，必须按规定穿戴防护用品。施工负责人和安全检查员应随时检查劳动防护用品的穿戴情况，不按规定穿戴防护用品的人员不得上岗。</w:t>
      </w:r>
    </w:p>
    <w:p>
      <w:pPr>
        <w:pStyle w:val="20"/>
        <w:spacing w:before="2" w:line="302" w:lineRule="auto"/>
        <w:ind w:left="424" w:right="389" w:firstLine="616"/>
        <w:rPr>
          <w:color w:val="auto"/>
          <w:highlight w:val="none"/>
        </w:rPr>
      </w:pPr>
      <w:r>
        <w:rPr>
          <w:color w:val="auto"/>
          <w:highlight w:val="none"/>
        </w:rPr>
        <w:t>（</w:t>
      </w:r>
      <w:r>
        <w:rPr>
          <w:rFonts w:ascii="Times New Roman" w:eastAsia="Times New Roman"/>
          <w:color w:val="auto"/>
          <w:highlight w:val="none"/>
        </w:rPr>
        <w:t>8</w:t>
      </w:r>
      <w:r>
        <w:rPr>
          <w:color w:val="auto"/>
          <w:highlight w:val="none"/>
        </w:rPr>
        <w:t>）所有施工机具设备和高空作业的设备均应定期检查，并有安全员的签字记录，保证其经常处于完好状态；不合格的机具、设备和劳动保护用品严禁使用。</w:t>
      </w:r>
    </w:p>
    <w:p>
      <w:pPr>
        <w:pStyle w:val="20"/>
        <w:spacing w:before="5" w:line="304" w:lineRule="auto"/>
        <w:ind w:left="424" w:right="390" w:firstLine="616"/>
        <w:rPr>
          <w:color w:val="auto"/>
          <w:highlight w:val="none"/>
        </w:rPr>
      </w:pPr>
      <w:r>
        <w:rPr>
          <w:color w:val="auto"/>
          <w:highlight w:val="none"/>
        </w:rPr>
        <w:t>（</w:t>
      </w:r>
      <w:r>
        <w:rPr>
          <w:rFonts w:ascii="Times New Roman" w:eastAsia="Times New Roman"/>
          <w:color w:val="auto"/>
          <w:highlight w:val="none"/>
        </w:rPr>
        <w:t>9</w:t>
      </w:r>
      <w:r>
        <w:rPr>
          <w:color w:val="auto"/>
          <w:highlight w:val="none"/>
        </w:rPr>
        <w:t>）施工中采用新技术、新工艺、新设备、新材料时，必须制定相应的安全技术措施，施工现场必须具有相关的安全标志牌。</w:t>
      </w:r>
    </w:p>
    <w:p>
      <w:pPr>
        <w:pStyle w:val="20"/>
        <w:spacing w:line="304" w:lineRule="auto"/>
        <w:ind w:left="424" w:right="377" w:firstLine="616"/>
        <w:jc w:val="both"/>
        <w:rPr>
          <w:color w:val="auto"/>
          <w:highlight w:val="none"/>
        </w:rPr>
      </w:pPr>
      <w:r>
        <w:rPr>
          <w:color w:val="auto"/>
          <w:spacing w:val="-13"/>
          <w:highlight w:val="none"/>
        </w:rPr>
        <w:t>（</w:t>
      </w:r>
      <w:r>
        <w:rPr>
          <w:rFonts w:ascii="Times New Roman" w:hAnsi="Times New Roman" w:eastAsia="Times New Roman"/>
          <w:color w:val="auto"/>
          <w:spacing w:val="-13"/>
          <w:highlight w:val="none"/>
        </w:rPr>
        <w:t>10</w:t>
      </w:r>
      <w:r>
        <w:rPr>
          <w:color w:val="auto"/>
          <w:spacing w:val="-13"/>
          <w:highlight w:val="none"/>
        </w:rPr>
        <w:t>）</w:t>
      </w:r>
      <w:r>
        <w:rPr>
          <w:color w:val="auto"/>
          <w:spacing w:val="-4"/>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ascii="Times New Roman" w:hAnsi="Times New Roman" w:eastAsia="Times New Roman"/>
          <w:color w:val="auto"/>
          <w:highlight w:val="none"/>
        </w:rPr>
        <w:t>“</w:t>
      </w:r>
      <w:r>
        <w:rPr>
          <w:color w:val="auto"/>
          <w:highlight w:val="none"/>
        </w:rPr>
        <w:t>四不放过</w:t>
      </w:r>
      <w:r>
        <w:rPr>
          <w:rFonts w:ascii="Times New Roman" w:hAnsi="Times New Roman" w:eastAsia="Times New Roman"/>
          <w:color w:val="auto"/>
          <w:highlight w:val="none"/>
        </w:rPr>
        <w:t>”</w:t>
      </w:r>
      <w:r>
        <w:rPr>
          <w:color w:val="auto"/>
          <w:highlight w:val="none"/>
        </w:rPr>
        <w:t>的原则， 严肃处理相关责任人。</w:t>
      </w:r>
    </w:p>
    <w:p>
      <w:pPr>
        <w:pStyle w:val="20"/>
        <w:spacing w:line="302" w:lineRule="auto"/>
        <w:ind w:left="424" w:right="385" w:firstLine="616"/>
        <w:rPr>
          <w:color w:val="auto"/>
          <w:highlight w:val="none"/>
        </w:rPr>
      </w:pPr>
      <w:r>
        <w:rPr>
          <w:color w:val="auto"/>
          <w:spacing w:val="-11"/>
          <w:highlight w:val="none"/>
        </w:rPr>
        <w:t>（</w:t>
      </w:r>
      <w:r>
        <w:rPr>
          <w:rFonts w:ascii="Times New Roman" w:eastAsia="Times New Roman"/>
          <w:color w:val="auto"/>
          <w:spacing w:val="-11"/>
          <w:highlight w:val="none"/>
        </w:rPr>
        <w:t>11</w:t>
      </w:r>
      <w:r>
        <w:rPr>
          <w:color w:val="auto"/>
          <w:spacing w:val="-11"/>
          <w:highlight w:val="none"/>
        </w:rPr>
        <w:t>）</w:t>
      </w:r>
      <w:r>
        <w:rPr>
          <w:color w:val="auto"/>
          <w:spacing w:val="-6"/>
          <w:highlight w:val="none"/>
        </w:rPr>
        <w:t>安全生产费用按照《公路水运工程安全生产监督管理办法》的相关规定使用和管理。</w:t>
      </w:r>
    </w:p>
    <w:p>
      <w:pPr>
        <w:pStyle w:val="20"/>
        <w:spacing w:before="3"/>
        <w:ind w:left="1041"/>
        <w:rPr>
          <w:rFonts w:ascii="黑体" w:eastAsia="黑体"/>
          <w:color w:val="auto"/>
          <w:highlight w:val="none"/>
        </w:rPr>
      </w:pPr>
      <w:r>
        <w:rPr>
          <w:rFonts w:ascii="Times New Roman" w:eastAsia="Times New Roman"/>
          <w:color w:val="auto"/>
          <w:highlight w:val="none"/>
        </w:rPr>
        <w:t>3.</w:t>
      </w:r>
      <w:r>
        <w:rPr>
          <w:rFonts w:hint="eastAsia" w:ascii="黑体" w:eastAsia="黑体"/>
          <w:color w:val="auto"/>
          <w:highlight w:val="none"/>
        </w:rPr>
        <w:t>违约责任</w:t>
      </w:r>
    </w:p>
    <w:p>
      <w:pPr>
        <w:pStyle w:val="20"/>
        <w:spacing w:before="82"/>
        <w:ind w:left="1041"/>
        <w:rPr>
          <w:color w:val="auto"/>
          <w:highlight w:val="none"/>
        </w:rPr>
      </w:pPr>
      <w:r>
        <w:rPr>
          <w:color w:val="auto"/>
          <w:highlight w:val="none"/>
        </w:rPr>
        <w:t>如因发包人或承包人违约造成安全事故，将依法追究责任。</w:t>
      </w:r>
    </w:p>
    <w:p>
      <w:pPr>
        <w:pStyle w:val="86"/>
        <w:numPr>
          <w:ilvl w:val="0"/>
          <w:numId w:val="41"/>
        </w:numPr>
        <w:tabs>
          <w:tab w:val="left" w:pos="1344"/>
        </w:tabs>
        <w:spacing w:before="83" w:line="302" w:lineRule="auto"/>
        <w:ind w:right="385" w:firstLine="617"/>
        <w:rPr>
          <w:color w:val="auto"/>
          <w:sz w:val="24"/>
          <w:highlight w:val="none"/>
        </w:rPr>
      </w:pPr>
      <w:r>
        <w:rPr>
          <w:color w:val="auto"/>
          <w:sz w:val="24"/>
          <w:highlight w:val="none"/>
        </w:rPr>
        <w:t>本合同由双方法定代表人或其授权的代理人签署并加盖单位章后生效，全部工程竣工验收后失效。</w:t>
      </w:r>
    </w:p>
    <w:p>
      <w:pPr>
        <w:pStyle w:val="86"/>
        <w:numPr>
          <w:ilvl w:val="0"/>
          <w:numId w:val="41"/>
        </w:numPr>
        <w:tabs>
          <w:tab w:val="left" w:pos="1344"/>
          <w:tab w:val="left" w:pos="4252"/>
          <w:tab w:val="left" w:pos="8377"/>
        </w:tabs>
        <w:spacing w:before="6" w:line="302" w:lineRule="auto"/>
        <w:ind w:right="380" w:firstLine="617"/>
        <w:rPr>
          <w:color w:val="auto"/>
          <w:sz w:val="24"/>
          <w:highlight w:val="none"/>
        </w:rPr>
      </w:pPr>
      <w:r>
        <w:rPr>
          <w:color w:val="auto"/>
          <w:sz w:val="24"/>
          <w:highlight w:val="none"/>
        </w:rPr>
        <w:t>本合同正本二份</w:t>
      </w:r>
      <w:r>
        <w:rPr>
          <w:color w:val="auto"/>
          <w:spacing w:val="2"/>
          <w:sz w:val="24"/>
          <w:highlight w:val="none"/>
        </w:rPr>
        <w:t>、</w:t>
      </w:r>
      <w:r>
        <w:rPr>
          <w:color w:val="auto"/>
          <w:sz w:val="24"/>
          <w:highlight w:val="none"/>
        </w:rPr>
        <w:t>副</w:t>
      </w:r>
      <w:r>
        <w:rPr>
          <w:color w:val="auto"/>
          <w:spacing w:val="2"/>
          <w:sz w:val="24"/>
          <w:highlight w:val="none"/>
        </w:rPr>
        <w:t>本</w:t>
      </w:r>
      <w:r>
        <w:rPr>
          <w:color w:val="auto"/>
          <w:spacing w:val="2"/>
          <w:sz w:val="24"/>
          <w:highlight w:val="none"/>
          <w:u w:val="single"/>
        </w:rPr>
        <w:tab/>
      </w:r>
      <w:r>
        <w:rPr>
          <w:color w:val="auto"/>
          <w:sz w:val="24"/>
          <w:highlight w:val="none"/>
        </w:rPr>
        <w:t>份，合同双</w:t>
      </w:r>
      <w:r>
        <w:rPr>
          <w:color w:val="auto"/>
          <w:spacing w:val="2"/>
          <w:sz w:val="24"/>
          <w:highlight w:val="none"/>
        </w:rPr>
        <w:t>方</w:t>
      </w:r>
      <w:r>
        <w:rPr>
          <w:color w:val="auto"/>
          <w:sz w:val="24"/>
          <w:highlight w:val="none"/>
        </w:rPr>
        <w:t>各执正本一份，副</w:t>
      </w:r>
      <w:r>
        <w:rPr>
          <w:color w:val="auto"/>
          <w:spacing w:val="5"/>
          <w:sz w:val="24"/>
          <w:highlight w:val="none"/>
        </w:rPr>
        <w:t>本</w:t>
      </w:r>
      <w:r>
        <w:rPr>
          <w:color w:val="auto"/>
          <w:spacing w:val="5"/>
          <w:sz w:val="24"/>
          <w:highlight w:val="none"/>
          <w:u w:val="single"/>
        </w:rPr>
        <w:tab/>
      </w:r>
      <w:r>
        <w:rPr>
          <w:color w:val="auto"/>
          <w:sz w:val="24"/>
          <w:highlight w:val="none"/>
        </w:rPr>
        <w:t>份，当正本与副本的内容不一致时，以正本为准。</w:t>
      </w:r>
    </w:p>
    <w:p>
      <w:pPr>
        <w:pStyle w:val="20"/>
        <w:rPr>
          <w:color w:val="auto"/>
          <w:highlight w:val="none"/>
        </w:rPr>
      </w:pPr>
    </w:p>
    <w:p>
      <w:pPr>
        <w:pStyle w:val="20"/>
        <w:rPr>
          <w:color w:val="auto"/>
          <w:highlight w:val="none"/>
        </w:rPr>
      </w:pPr>
    </w:p>
    <w:p>
      <w:pPr>
        <w:pStyle w:val="20"/>
        <w:spacing w:before="4"/>
        <w:rPr>
          <w:color w:val="auto"/>
          <w:sz w:val="17"/>
          <w:highlight w:val="none"/>
        </w:rPr>
      </w:pPr>
    </w:p>
    <w:p>
      <w:pPr>
        <w:pStyle w:val="20"/>
        <w:tabs>
          <w:tab w:val="left" w:pos="3151"/>
          <w:tab w:val="left" w:pos="4934"/>
          <w:tab w:val="left" w:pos="5174"/>
          <w:tab w:val="left" w:pos="7781"/>
        </w:tabs>
        <w:spacing w:before="1" w:line="336" w:lineRule="auto"/>
        <w:ind w:left="424" w:right="262"/>
        <w:rPr>
          <w:color w:val="auto"/>
          <w:highlight w:val="none"/>
        </w:rPr>
      </w:pPr>
      <w:r>
        <w:rPr>
          <w:color w:val="auto"/>
          <w:highlight w:val="none"/>
        </w:rPr>
        <w:t>发包人</w:t>
      </w:r>
      <w:r>
        <w:rPr>
          <w:color w:val="auto"/>
          <w:spacing w:val="-17"/>
          <w:highlight w:val="none"/>
        </w:rPr>
        <w:t>：</w:t>
      </w:r>
      <w:r>
        <w:rPr>
          <w:color w:val="auto"/>
          <w:spacing w:val="-17"/>
          <w:highlight w:val="none"/>
          <w:u w:val="single"/>
        </w:rPr>
        <w:tab/>
      </w:r>
      <w:r>
        <w:rPr>
          <w:color w:val="auto"/>
          <w:highlight w:val="none"/>
        </w:rPr>
        <w:t>（盖单位章）</w:t>
      </w:r>
      <w:r>
        <w:rPr>
          <w:color w:val="auto"/>
          <w:highlight w:val="none"/>
        </w:rPr>
        <w:tab/>
      </w:r>
      <w:r>
        <w:rPr>
          <w:color w:val="auto"/>
          <w:highlight w:val="none"/>
        </w:rPr>
        <w:tab/>
      </w:r>
      <w:r>
        <w:rPr>
          <w:color w:val="auto"/>
          <w:highlight w:val="none"/>
        </w:rPr>
        <w:t>承包人</w:t>
      </w:r>
      <w:r>
        <w:rPr>
          <w:color w:val="auto"/>
          <w:spacing w:val="-17"/>
          <w:highlight w:val="none"/>
        </w:rPr>
        <w:t>：</w:t>
      </w:r>
      <w:r>
        <w:rPr>
          <w:color w:val="auto"/>
          <w:spacing w:val="-17"/>
          <w:highlight w:val="none"/>
          <w:u w:val="single"/>
        </w:rPr>
        <w:tab/>
      </w:r>
      <w:r>
        <w:rPr>
          <w:color w:val="auto"/>
          <w:highlight w:val="none"/>
        </w:rPr>
        <w:t>（盖单位章） 法定代表人或其委托代理人</w:t>
      </w:r>
      <w:r>
        <w:rPr>
          <w:color w:val="auto"/>
          <w:spacing w:val="-17"/>
          <w:highlight w:val="none"/>
        </w:rPr>
        <w:t>：</w:t>
      </w:r>
      <w:r>
        <w:rPr>
          <w:i/>
          <w:color w:val="auto"/>
          <w:sz w:val="25"/>
          <w:highlight w:val="none"/>
        </w:rPr>
        <w:t>（</w:t>
      </w:r>
      <w:r>
        <w:rPr>
          <w:color w:val="auto"/>
          <w:highlight w:val="none"/>
        </w:rPr>
        <w:t>签字）</w:t>
      </w:r>
      <w:r>
        <w:rPr>
          <w:color w:val="auto"/>
          <w:highlight w:val="none"/>
        </w:rPr>
        <w:tab/>
      </w:r>
      <w:r>
        <w:rPr>
          <w:color w:val="auto"/>
          <w:highlight w:val="none"/>
        </w:rPr>
        <w:t>法定代表人或其委托代理人</w:t>
      </w:r>
      <w:r>
        <w:rPr>
          <w:color w:val="auto"/>
          <w:spacing w:val="-16"/>
          <w:highlight w:val="none"/>
        </w:rPr>
        <w:t>：</w:t>
      </w:r>
      <w:r>
        <w:rPr>
          <w:color w:val="auto"/>
          <w:highlight w:val="none"/>
        </w:rPr>
        <w:t>（签字）</w:t>
      </w:r>
    </w:p>
    <w:p>
      <w:pPr>
        <w:pStyle w:val="20"/>
        <w:tabs>
          <w:tab w:val="left" w:pos="2344"/>
          <w:tab w:val="left" w:pos="3184"/>
          <w:tab w:val="left" w:pos="4024"/>
          <w:tab w:val="left" w:pos="5945"/>
          <w:tab w:val="left" w:pos="7025"/>
          <w:tab w:val="left" w:pos="7865"/>
          <w:tab w:val="left" w:pos="8705"/>
        </w:tabs>
        <w:spacing w:before="2"/>
        <w:ind w:left="1264"/>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r>
        <w:rPr>
          <w:color w:val="auto"/>
          <w:highlight w:val="none"/>
        </w:rPr>
        <w:tab/>
      </w:r>
      <w:r>
        <w:rPr>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rPr>
          <w:color w:val="auto"/>
          <w:highlight w:val="none"/>
        </w:rPr>
        <w:sectPr>
          <w:pgSz w:w="11910" w:h="16850"/>
          <w:pgMar w:top="1418" w:right="1191" w:bottom="1418" w:left="1191" w:header="876" w:footer="853" w:gutter="0"/>
          <w:cols w:space="720" w:num="1"/>
        </w:sectPr>
      </w:pPr>
    </w:p>
    <w:p>
      <w:pPr>
        <w:pStyle w:val="20"/>
        <w:spacing w:before="1"/>
        <w:rPr>
          <w:color w:val="auto"/>
          <w:sz w:val="8"/>
          <w:highlight w:val="none"/>
        </w:rPr>
      </w:pPr>
    </w:p>
    <w:p>
      <w:pPr>
        <w:pStyle w:val="20"/>
        <w:spacing w:before="74"/>
        <w:ind w:left="424"/>
        <w:outlineLvl w:val="2"/>
        <w:rPr>
          <w:b/>
          <w:color w:val="auto"/>
          <w:sz w:val="12"/>
          <w:highlight w:val="none"/>
        </w:rPr>
      </w:pPr>
      <w:bookmarkStart w:id="3994" w:name="_bookmark273"/>
      <w:bookmarkEnd w:id="3994"/>
      <w:bookmarkStart w:id="3995" w:name="_Toc491"/>
      <w:bookmarkStart w:id="3996" w:name="_Toc9956"/>
      <w:bookmarkStart w:id="3997" w:name="_Toc24595"/>
      <w:bookmarkStart w:id="3998" w:name="_Toc18647"/>
      <w:r>
        <w:rPr>
          <w:rFonts w:hint="eastAsia" w:ascii="黑体" w:hAnsi="黑体" w:eastAsia="黑体"/>
          <w:color w:val="auto"/>
          <w:highlight w:val="none"/>
        </w:rPr>
        <w:t xml:space="preserve">附件四 其他管理和技术人员最低要求 </w:t>
      </w:r>
      <w:r>
        <w:rPr>
          <w:b/>
          <w:color w:val="auto"/>
          <w:position w:val="11"/>
          <w:sz w:val="12"/>
          <w:highlight w:val="none"/>
        </w:rPr>
        <w:t>①</w:t>
      </w:r>
      <w:bookmarkEnd w:id="3995"/>
      <w:bookmarkEnd w:id="3996"/>
      <w:bookmarkEnd w:id="3997"/>
      <w:bookmarkEnd w:id="3998"/>
    </w:p>
    <w:p>
      <w:pPr>
        <w:pStyle w:val="20"/>
        <w:rPr>
          <w:b/>
          <w:color w:val="auto"/>
          <w:sz w:val="20"/>
          <w:highlight w:val="none"/>
        </w:rPr>
      </w:pPr>
    </w:p>
    <w:p>
      <w:pPr>
        <w:pStyle w:val="20"/>
        <w:spacing w:before="6"/>
        <w:rPr>
          <w:b/>
          <w:color w:val="auto"/>
          <w:sz w:val="11"/>
          <w:highlight w:val="none"/>
        </w:rPr>
      </w:pPr>
    </w:p>
    <w:tbl>
      <w:tblPr>
        <w:tblStyle w:val="47"/>
        <w:tblW w:w="8894" w:type="dxa"/>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9"/>
        <w:gridCol w:w="2160"/>
        <w:gridCol w:w="4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2449" w:type="dxa"/>
          </w:tcPr>
          <w:p>
            <w:pPr>
              <w:pStyle w:val="87"/>
              <w:spacing w:before="6"/>
              <w:rPr>
                <w:b/>
                <w:color w:val="auto"/>
                <w:sz w:val="24"/>
                <w:highlight w:val="none"/>
              </w:rPr>
            </w:pPr>
          </w:p>
          <w:p>
            <w:pPr>
              <w:pStyle w:val="87"/>
              <w:tabs>
                <w:tab w:val="left" w:pos="488"/>
              </w:tabs>
              <w:ind w:left="8"/>
              <w:jc w:val="center"/>
              <w:rPr>
                <w:color w:val="auto"/>
                <w:sz w:val="24"/>
                <w:highlight w:val="none"/>
              </w:rPr>
            </w:pPr>
            <w:r>
              <w:rPr>
                <w:color w:val="auto"/>
                <w:sz w:val="24"/>
                <w:highlight w:val="none"/>
              </w:rPr>
              <w:t>人</w:t>
            </w:r>
            <w:r>
              <w:rPr>
                <w:color w:val="auto"/>
                <w:sz w:val="24"/>
                <w:highlight w:val="none"/>
              </w:rPr>
              <w:tab/>
            </w:r>
            <w:r>
              <w:rPr>
                <w:color w:val="auto"/>
                <w:sz w:val="24"/>
                <w:highlight w:val="none"/>
              </w:rPr>
              <w:t>员</w:t>
            </w:r>
          </w:p>
        </w:tc>
        <w:tc>
          <w:tcPr>
            <w:tcW w:w="2160" w:type="dxa"/>
          </w:tcPr>
          <w:p>
            <w:pPr>
              <w:pStyle w:val="87"/>
              <w:spacing w:before="6"/>
              <w:rPr>
                <w:b/>
                <w:color w:val="auto"/>
                <w:sz w:val="24"/>
                <w:highlight w:val="none"/>
              </w:rPr>
            </w:pPr>
          </w:p>
          <w:p>
            <w:pPr>
              <w:pStyle w:val="87"/>
              <w:tabs>
                <w:tab w:val="left" w:pos="1199"/>
              </w:tabs>
              <w:ind w:left="719"/>
              <w:rPr>
                <w:color w:val="auto"/>
                <w:sz w:val="24"/>
                <w:highlight w:val="none"/>
              </w:rPr>
            </w:pPr>
            <w:r>
              <w:rPr>
                <w:color w:val="auto"/>
                <w:sz w:val="24"/>
                <w:highlight w:val="none"/>
              </w:rPr>
              <w:t>数</w:t>
            </w:r>
            <w:r>
              <w:rPr>
                <w:color w:val="auto"/>
                <w:sz w:val="24"/>
                <w:highlight w:val="none"/>
              </w:rPr>
              <w:tab/>
            </w:r>
            <w:r>
              <w:rPr>
                <w:color w:val="auto"/>
                <w:sz w:val="24"/>
                <w:highlight w:val="none"/>
              </w:rPr>
              <w:t>量</w:t>
            </w:r>
          </w:p>
        </w:tc>
        <w:tc>
          <w:tcPr>
            <w:tcW w:w="4285" w:type="dxa"/>
          </w:tcPr>
          <w:p>
            <w:pPr>
              <w:pStyle w:val="87"/>
              <w:spacing w:before="6"/>
              <w:rPr>
                <w:b/>
                <w:color w:val="auto"/>
                <w:sz w:val="24"/>
                <w:highlight w:val="none"/>
              </w:rPr>
            </w:pPr>
          </w:p>
          <w:p>
            <w:pPr>
              <w:pStyle w:val="87"/>
              <w:ind w:left="1460" w:right="1454"/>
              <w:jc w:val="center"/>
              <w:rPr>
                <w:color w:val="auto"/>
                <w:sz w:val="24"/>
                <w:highlight w:val="none"/>
              </w:rPr>
            </w:pPr>
            <w:r>
              <w:rPr>
                <w:color w:val="auto"/>
                <w:sz w:val="24"/>
                <w:highlight w:val="none"/>
              </w:rPr>
              <w:t>资 格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道路工程师</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道桥专业工程师及以上，至少有5年专业工程经历，其中有3年类似工程经验。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桥梁工程师</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3</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道桥专业工程师及以上，至少有5年专业工程经历，其中有3年类似工程经验。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试验检测工程师</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道桥专业工程师及以上，至少有5年专业工程经历，其中有3年类似工程经验。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质检工程师</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2</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道桥专业工程师及以上，至少有5年专业工程经历，其中有3年类似工程经验。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测量工程师</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2</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测量专业工程师及以上，至少有5年专业工程经历，其中有3年类似工程经验。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计划负责人</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工程师或经济师、统计师及以上，至少有5年专业工程经历，其中有3年类似工程经验。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449"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财务负责人</w:t>
            </w:r>
          </w:p>
        </w:tc>
        <w:tc>
          <w:tcPr>
            <w:tcW w:w="2160" w:type="dxa"/>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w:t>
            </w:r>
          </w:p>
        </w:tc>
        <w:tc>
          <w:tcPr>
            <w:tcW w:w="4285" w:type="dxa"/>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会计师及以上，至少有5年专业工程经历，其中有3年类似工程经验。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449" w:type="dxa"/>
            <w:vAlign w:val="center"/>
          </w:tcPr>
          <w:p>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专职安全生产管理人员</w:t>
            </w:r>
          </w:p>
        </w:tc>
        <w:tc>
          <w:tcPr>
            <w:tcW w:w="2160" w:type="dxa"/>
            <w:vAlign w:val="center"/>
          </w:tcPr>
          <w:p>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w:t>
            </w:r>
          </w:p>
        </w:tc>
        <w:tc>
          <w:tcPr>
            <w:tcW w:w="4285" w:type="dxa"/>
            <w:vAlign w:val="center"/>
          </w:tcPr>
          <w:p>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至少有5年专业工程经验，其中有3年类似工程经历，且经考核合格取得由有关主管部门颁发的《安全生产考核C类合格证书》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tcPr>
          <w:p>
            <w:pPr>
              <w:pStyle w:val="87"/>
              <w:rPr>
                <w:rFonts w:ascii="Times New Roman"/>
                <w:color w:val="auto"/>
                <w:sz w:val="18"/>
                <w:highlight w:val="none"/>
              </w:rPr>
            </w:pPr>
          </w:p>
        </w:tc>
        <w:tc>
          <w:tcPr>
            <w:tcW w:w="2160" w:type="dxa"/>
          </w:tcPr>
          <w:p>
            <w:pPr>
              <w:pStyle w:val="87"/>
              <w:rPr>
                <w:rFonts w:ascii="Times New Roman"/>
                <w:color w:val="auto"/>
                <w:sz w:val="18"/>
                <w:highlight w:val="none"/>
              </w:rPr>
            </w:pPr>
          </w:p>
        </w:tc>
        <w:tc>
          <w:tcPr>
            <w:tcW w:w="4285" w:type="dxa"/>
          </w:tcPr>
          <w:p>
            <w:pPr>
              <w:pStyle w:val="87"/>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tcPr>
          <w:p>
            <w:pPr>
              <w:pStyle w:val="87"/>
              <w:rPr>
                <w:rFonts w:ascii="Times New Roman"/>
                <w:color w:val="auto"/>
                <w:sz w:val="18"/>
                <w:highlight w:val="none"/>
              </w:rPr>
            </w:pPr>
          </w:p>
        </w:tc>
        <w:tc>
          <w:tcPr>
            <w:tcW w:w="2160" w:type="dxa"/>
          </w:tcPr>
          <w:p>
            <w:pPr>
              <w:pStyle w:val="87"/>
              <w:rPr>
                <w:rFonts w:ascii="Times New Roman"/>
                <w:color w:val="auto"/>
                <w:sz w:val="18"/>
                <w:highlight w:val="none"/>
              </w:rPr>
            </w:pPr>
          </w:p>
        </w:tc>
        <w:tc>
          <w:tcPr>
            <w:tcW w:w="4285" w:type="dxa"/>
          </w:tcPr>
          <w:p>
            <w:pPr>
              <w:pStyle w:val="87"/>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449" w:type="dxa"/>
          </w:tcPr>
          <w:p>
            <w:pPr>
              <w:pStyle w:val="87"/>
              <w:rPr>
                <w:rFonts w:ascii="Times New Roman"/>
                <w:color w:val="auto"/>
                <w:sz w:val="18"/>
                <w:highlight w:val="none"/>
              </w:rPr>
            </w:pPr>
          </w:p>
        </w:tc>
        <w:tc>
          <w:tcPr>
            <w:tcW w:w="2160" w:type="dxa"/>
          </w:tcPr>
          <w:p>
            <w:pPr>
              <w:pStyle w:val="87"/>
              <w:rPr>
                <w:rFonts w:ascii="Times New Roman"/>
                <w:color w:val="auto"/>
                <w:sz w:val="18"/>
                <w:highlight w:val="none"/>
              </w:rPr>
            </w:pPr>
          </w:p>
        </w:tc>
        <w:tc>
          <w:tcPr>
            <w:tcW w:w="4285" w:type="dxa"/>
          </w:tcPr>
          <w:p>
            <w:pPr>
              <w:pStyle w:val="87"/>
              <w:rPr>
                <w:rFonts w:ascii="Times New Roman"/>
                <w:color w:val="auto"/>
                <w:sz w:val="18"/>
                <w:highlight w:val="none"/>
              </w:rPr>
            </w:pPr>
          </w:p>
        </w:tc>
      </w:tr>
    </w:tbl>
    <w:p>
      <w:pPr>
        <w:pStyle w:val="20"/>
        <w:rPr>
          <w:b/>
          <w:color w:val="auto"/>
          <w:sz w:val="20"/>
          <w:highlight w:val="none"/>
        </w:rPr>
      </w:pPr>
    </w:p>
    <w:p>
      <w:pPr>
        <w:pStyle w:val="20"/>
        <w:rPr>
          <w:b/>
          <w:color w:val="auto"/>
          <w:sz w:val="20"/>
          <w:highlight w:val="none"/>
        </w:rPr>
      </w:pPr>
    </w:p>
    <w:p>
      <w:pPr>
        <w:pStyle w:val="20"/>
        <w:spacing w:before="12"/>
        <w:rPr>
          <w:b/>
          <w:color w:val="auto"/>
          <w:sz w:val="12"/>
          <w:highlight w:val="none"/>
        </w:rPr>
      </w:pPr>
      <w:r>
        <w:rPr>
          <w:color w:val="auto"/>
          <w:highlight w:val="none"/>
        </w:rPr>
        <w:pict>
          <v:line id="_x0000_s1063" o:spid="_x0000_s1063" o:spt="20" style="position:absolute;left:0pt;margin-left:82.2pt;margin-top:10.5pt;height:0pt;width:144.05pt;mso-position-horizontal-relative:page;mso-wrap-distance-bottom:0pt;mso-wrap-distance-top:0pt;z-index:251679744;mso-width-relative:page;mso-height-relative:page;" coordsize="21600,21600">
            <v:path arrowok="t"/>
            <v:fill focussize="0,0"/>
            <v:stroke weight="0.48pt"/>
            <v:imagedata o:title=""/>
            <o:lock v:ext="edit"/>
            <w10:wrap type="topAndBottom"/>
          </v:line>
        </w:pict>
      </w:r>
    </w:p>
    <w:p>
      <w:pPr>
        <w:keepNext w:val="0"/>
        <w:keepLines w:val="0"/>
        <w:pageBreakBefore w:val="0"/>
        <w:widowControl w:val="0"/>
        <w:kinsoku/>
        <w:wordWrap/>
        <w:overflowPunct/>
        <w:topLinePunct w:val="0"/>
        <w:autoSpaceDE w:val="0"/>
        <w:autoSpaceDN w:val="0"/>
        <w:bidi w:val="0"/>
        <w:adjustRightInd w:val="0"/>
        <w:snapToGrid w:val="0"/>
        <w:spacing w:before="129" w:line="312" w:lineRule="auto"/>
        <w:ind w:left="784" w:right="380" w:hanging="360"/>
        <w:jc w:val="both"/>
        <w:textAlignment w:val="auto"/>
        <w:rPr>
          <w:color w:val="auto"/>
          <w:spacing w:val="-6"/>
          <w:sz w:val="18"/>
          <w:highlight w:val="none"/>
        </w:rPr>
      </w:pPr>
      <w:r>
        <w:rPr>
          <w:color w:val="auto"/>
          <w:position w:val="9"/>
          <w:sz w:val="9"/>
          <w:highlight w:val="none"/>
        </w:rPr>
        <w:t>①</w:t>
      </w:r>
      <w:r>
        <w:rPr>
          <w:rFonts w:ascii="Times New Roman" w:hAnsi="Times New Roman" w:eastAsia="Times New Roman"/>
          <w:sz w:val="18"/>
        </w:rPr>
        <w:t>a.</w:t>
      </w:r>
      <w:r>
        <w:rPr>
          <w:color w:val="auto"/>
          <w:spacing w:val="-2"/>
          <w:sz w:val="18"/>
          <w:highlight w:val="none"/>
        </w:rPr>
        <w:t>招标人应在招标文件中规定若投标人在所投标段中标需派驻的其他管理和技术人员</w:t>
      </w:r>
      <w:r>
        <w:rPr>
          <w:color w:val="auto"/>
          <w:sz w:val="18"/>
          <w:highlight w:val="none"/>
        </w:rPr>
        <w:t>（</w:t>
      </w:r>
      <w:r>
        <w:rPr>
          <w:color w:val="auto"/>
          <w:spacing w:val="-6"/>
          <w:sz w:val="18"/>
          <w:highlight w:val="none"/>
        </w:rPr>
        <w:t>例如项目副经理、专业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w:t>
      </w:r>
    </w:p>
    <w:p>
      <w:pPr>
        <w:keepNext w:val="0"/>
        <w:keepLines w:val="0"/>
        <w:pageBreakBefore w:val="0"/>
        <w:widowControl w:val="0"/>
        <w:kinsoku/>
        <w:wordWrap/>
        <w:overflowPunct/>
        <w:topLinePunct w:val="0"/>
        <w:autoSpaceDE w:val="0"/>
        <w:autoSpaceDN w:val="0"/>
        <w:bidi w:val="0"/>
        <w:adjustRightInd w:val="0"/>
        <w:snapToGrid w:val="0"/>
        <w:spacing w:before="129" w:line="312" w:lineRule="auto"/>
        <w:ind w:left="535" w:leftChars="243" w:right="380" w:firstLine="0" w:firstLineChars="0"/>
        <w:jc w:val="both"/>
        <w:textAlignment w:val="auto"/>
        <w:rPr>
          <w:rFonts w:hint="eastAsia"/>
          <w:sz w:val="18"/>
          <w:lang w:val="en-US" w:eastAsia="zh-CN"/>
        </w:rPr>
      </w:pPr>
      <w:r>
        <w:rPr>
          <w:rFonts w:hint="eastAsia"/>
          <w:sz w:val="18"/>
          <w:lang w:val="en-US" w:eastAsia="zh-CN"/>
        </w:rPr>
        <w:t>b.本表不是招投标阶段的评审内容，而是投标人中标后合同谈判阶段确定的内容。</w:t>
      </w:r>
    </w:p>
    <w:p>
      <w:pPr>
        <w:spacing w:before="1" w:line="312" w:lineRule="auto"/>
        <w:ind w:left="784" w:right="384" w:hanging="180"/>
        <w:rPr>
          <w:color w:val="auto"/>
          <w:sz w:val="18"/>
          <w:highlight w:val="none"/>
        </w:rPr>
      </w:pPr>
    </w:p>
    <w:p>
      <w:pPr>
        <w:spacing w:line="312" w:lineRule="auto"/>
        <w:rPr>
          <w:color w:val="auto"/>
          <w:sz w:val="18"/>
          <w:highlight w:val="none"/>
        </w:rPr>
        <w:sectPr>
          <w:pgSz w:w="11910" w:h="16850"/>
          <w:pgMar w:top="1418" w:right="1191" w:bottom="1418" w:left="1191" w:header="883" w:footer="884" w:gutter="0"/>
          <w:cols w:space="720" w:num="1"/>
        </w:sectPr>
      </w:pPr>
    </w:p>
    <w:p>
      <w:pPr>
        <w:pStyle w:val="20"/>
        <w:spacing w:before="1"/>
        <w:rPr>
          <w:color w:val="auto"/>
          <w:sz w:val="8"/>
          <w:highlight w:val="none"/>
        </w:rPr>
      </w:pPr>
    </w:p>
    <w:p>
      <w:pPr>
        <w:pStyle w:val="20"/>
        <w:tabs>
          <w:tab w:val="left" w:pos="5902"/>
        </w:tabs>
        <w:spacing w:before="74"/>
        <w:ind w:left="424"/>
        <w:outlineLvl w:val="2"/>
        <w:rPr>
          <w:b/>
          <w:color w:val="auto"/>
          <w:sz w:val="12"/>
          <w:highlight w:val="none"/>
        </w:rPr>
      </w:pPr>
      <w:bookmarkStart w:id="3999" w:name="_bookmark274"/>
      <w:bookmarkEnd w:id="3999"/>
      <w:bookmarkStart w:id="4000" w:name="_Toc22864"/>
      <w:bookmarkStart w:id="4001" w:name="_Toc27569"/>
      <w:bookmarkStart w:id="4002" w:name="_Toc32151"/>
      <w:bookmarkStart w:id="4003" w:name="_Toc6156"/>
      <w:r>
        <w:rPr>
          <w:rFonts w:hint="eastAsia" w:ascii="黑体" w:hAnsi="黑体" w:eastAsia="黑体"/>
          <w:color w:val="auto"/>
          <w:highlight w:val="none"/>
        </w:rPr>
        <w:t>附件五 主要机械设备和试验检测设备最低要求</w:t>
      </w:r>
      <w:r>
        <w:rPr>
          <w:b/>
          <w:color w:val="auto"/>
          <w:position w:val="11"/>
          <w:sz w:val="12"/>
          <w:highlight w:val="none"/>
        </w:rPr>
        <w:t>①</w:t>
      </w:r>
      <w:bookmarkEnd w:id="4000"/>
      <w:bookmarkEnd w:id="4001"/>
      <w:bookmarkEnd w:id="4002"/>
      <w:bookmarkEnd w:id="4003"/>
      <w:r>
        <w:rPr>
          <w:b/>
          <w:color w:val="auto"/>
          <w:position w:val="11"/>
          <w:sz w:val="12"/>
          <w:highlight w:val="none"/>
        </w:rPr>
        <w:tab/>
      </w:r>
    </w:p>
    <w:p>
      <w:pPr>
        <w:pStyle w:val="20"/>
        <w:rPr>
          <w:b/>
          <w:color w:val="auto"/>
          <w:sz w:val="20"/>
          <w:highlight w:val="none"/>
        </w:rPr>
      </w:pPr>
    </w:p>
    <w:p>
      <w:pPr>
        <w:pStyle w:val="20"/>
        <w:spacing w:before="6"/>
        <w:rPr>
          <w:b/>
          <w:color w:val="auto"/>
          <w:sz w:val="11"/>
          <w:highlight w:val="none"/>
        </w:rPr>
      </w:pPr>
    </w:p>
    <w:tbl>
      <w:tblPr>
        <w:tblStyle w:val="47"/>
        <w:tblW w:w="9106" w:type="dxa"/>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2400"/>
        <w:gridCol w:w="2744"/>
        <w:gridCol w:w="1388"/>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tcPr>
          <w:p>
            <w:pPr>
              <w:pStyle w:val="87"/>
              <w:spacing w:before="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400" w:type="dxa"/>
          </w:tcPr>
          <w:p>
            <w:pPr>
              <w:pStyle w:val="87"/>
              <w:spacing w:before="199"/>
              <w:ind w:left="6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744" w:type="dxa"/>
          </w:tcPr>
          <w:p>
            <w:pPr>
              <w:pStyle w:val="87"/>
              <w:spacing w:before="199"/>
              <w:ind w:left="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规格、功率及容量</w:t>
            </w:r>
          </w:p>
        </w:tc>
        <w:tc>
          <w:tcPr>
            <w:tcW w:w="1388" w:type="dxa"/>
          </w:tcPr>
          <w:p>
            <w:pPr>
              <w:pStyle w:val="87"/>
              <w:spacing w:before="199"/>
              <w:ind w:left="4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748" w:type="dxa"/>
            <w:vAlign w:val="center"/>
          </w:tcPr>
          <w:p>
            <w:pPr>
              <w:pStyle w:val="87"/>
              <w:spacing w:before="19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restart"/>
            <w:vAlign w:val="center"/>
          </w:tcPr>
          <w:p>
            <w:pPr>
              <w:pStyle w:val="8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施工设备</w:t>
            </w: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桥梁主体的设备</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预制梁场的设备</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水泥拌和站的设备</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挖掘机</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自卸汽车</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装载机</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洒水车</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双驱双振压路机</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振动压路机</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沥青混凝土摊铺机</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胶轮压路机</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26" w:type="dxa"/>
            <w:vMerge w:val="continue"/>
          </w:tcPr>
          <w:p>
            <w:pPr>
              <w:pStyle w:val="87"/>
              <w:rPr>
                <w:rFonts w:hint="eastAsia" w:ascii="宋体" w:hAnsi="宋体" w:eastAsia="宋体" w:cs="宋体"/>
                <w:color w:val="auto"/>
                <w:sz w:val="21"/>
                <w:szCs w:val="21"/>
                <w:highlight w:val="none"/>
              </w:rPr>
            </w:pPr>
          </w:p>
        </w:tc>
        <w:tc>
          <w:tcPr>
            <w:tcW w:w="24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沥青洒布车</w:t>
            </w:r>
          </w:p>
        </w:tc>
        <w:tc>
          <w:tcPr>
            <w:tcW w:w="274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满足施工要求</w:t>
            </w:r>
          </w:p>
        </w:tc>
        <w:tc>
          <w:tcPr>
            <w:tcW w:w="138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台</w:t>
            </w:r>
          </w:p>
        </w:tc>
        <w:tc>
          <w:tcPr>
            <w:tcW w:w="174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106" w:type="dxa"/>
            <w:gridSpan w:val="5"/>
          </w:tcPr>
          <w:p>
            <w:pPr>
              <w:spacing w:line="360" w:lineRule="auto"/>
              <w:jc w:val="center"/>
              <w:rPr>
                <w:rFonts w:hint="eastAsia" w:ascii="宋体" w:hAnsi="宋体" w:eastAsia="宋体" w:cs="宋体"/>
                <w:color w:val="auto"/>
                <w:sz w:val="21"/>
                <w:szCs w:val="21"/>
                <w:highlight w:val="none"/>
              </w:rPr>
            </w:pPr>
          </w:p>
        </w:tc>
      </w:tr>
    </w:tbl>
    <w:p>
      <w:pPr>
        <w:pStyle w:val="20"/>
        <w:rPr>
          <w:b/>
          <w:color w:val="auto"/>
          <w:sz w:val="20"/>
          <w:highlight w:val="none"/>
        </w:rPr>
      </w:pPr>
    </w:p>
    <w:p>
      <w:pPr>
        <w:pStyle w:val="20"/>
        <w:spacing w:before="12"/>
        <w:rPr>
          <w:b/>
          <w:color w:val="auto"/>
          <w:sz w:val="17"/>
          <w:highlight w:val="none"/>
        </w:rPr>
      </w:pPr>
      <w:r>
        <w:rPr>
          <w:color w:val="auto"/>
          <w:highlight w:val="none"/>
        </w:rPr>
        <w:pict>
          <v:line id="_x0000_s1062" o:spid="_x0000_s1062" o:spt="20" style="position:absolute;left:0pt;margin-left:82.2pt;margin-top:13.7pt;height:0pt;width:144.05pt;mso-position-horizontal-relative:page;mso-wrap-distance-bottom:0pt;mso-wrap-distance-top:0pt;z-index:251680768;mso-width-relative:page;mso-height-relative:page;" coordsize="21600,21600">
            <v:path arrowok="t"/>
            <v:fill focussize="0,0"/>
            <v:stroke weight="0.48pt"/>
            <v:imagedata o:title=""/>
            <o:lock v:ext="edit"/>
            <w10:wrap type="topAndBottom"/>
          </v:line>
        </w:pict>
      </w:r>
    </w:p>
    <w:p>
      <w:pPr>
        <w:spacing w:before="1" w:line="312" w:lineRule="auto"/>
        <w:ind w:left="625" w:leftChars="243" w:right="383" w:hanging="90" w:hangingChars="100"/>
        <w:rPr>
          <w:rFonts w:hint="eastAsia"/>
          <w:sz w:val="18"/>
          <w:lang w:val="en-US" w:eastAsia="zh-CN"/>
        </w:rPr>
      </w:pPr>
      <w:r>
        <w:rPr>
          <w:color w:val="auto"/>
          <w:position w:val="8"/>
          <w:sz w:val="9"/>
          <w:highlight w:val="none"/>
        </w:rPr>
        <w:t>①</w:t>
      </w:r>
      <w:r>
        <w:rPr>
          <w:rFonts w:ascii="Times New Roman" w:hAnsi="Times New Roman" w:eastAsia="Times New Roman"/>
          <w:sz w:val="18"/>
        </w:rPr>
        <w:t>a.</w:t>
      </w:r>
      <w:r>
        <w:rPr>
          <w:color w:val="auto"/>
          <w:sz w:val="18"/>
          <w:highlight w:val="none"/>
        </w:rPr>
        <w:t>招标人应在招标文件中规定若投标人在所投标段中标需提供的主要机械设备和试验检测设备。招标人将在合同谈判阶段要求中标人按照本表的最低要求填报为本标段配备的主要设备，在经招标人审批后作为投入本标段的主要设备且不允许更换。如招标人拟提供的设备数量和规格指标等不满足本表要求，招标人应取消</w:t>
      </w:r>
      <w:r>
        <w:rPr>
          <w:rFonts w:hint="eastAsia"/>
          <w:sz w:val="18"/>
          <w:lang w:val="en-US" w:eastAsia="zh-CN"/>
        </w:rPr>
        <w:t>其中标资格。</w:t>
      </w:r>
    </w:p>
    <w:p>
      <w:pPr>
        <w:spacing w:before="1" w:line="312" w:lineRule="auto"/>
        <w:ind w:left="715" w:leftChars="243" w:right="383" w:hanging="180" w:hangingChars="100"/>
        <w:rPr>
          <w:rFonts w:hint="eastAsia"/>
          <w:sz w:val="18"/>
          <w:lang w:val="en-US" w:eastAsia="zh-CN"/>
        </w:rPr>
      </w:pPr>
      <w:r>
        <w:rPr>
          <w:rFonts w:hint="eastAsia"/>
          <w:sz w:val="18"/>
          <w:lang w:val="en-US" w:eastAsia="zh-CN"/>
        </w:rPr>
        <w:t>b.本表不是招投标阶段的评审内容，而是投标人中标后合同谈判阶段确定的内容。</w:t>
      </w:r>
    </w:p>
    <w:p>
      <w:pPr>
        <w:spacing w:line="312" w:lineRule="auto"/>
        <w:rPr>
          <w:color w:val="auto"/>
          <w:sz w:val="18"/>
          <w:highlight w:val="none"/>
        </w:rPr>
        <w:sectPr>
          <w:footerReference r:id="rId34" w:type="default"/>
          <w:footerReference r:id="rId35" w:type="even"/>
          <w:pgSz w:w="11910" w:h="16850"/>
          <w:pgMar w:top="1418" w:right="1191" w:bottom="1418" w:left="1191" w:header="876" w:footer="853" w:gutter="0"/>
          <w:cols w:space="720" w:num="1"/>
        </w:sectPr>
      </w:pPr>
    </w:p>
    <w:p>
      <w:pPr>
        <w:pStyle w:val="20"/>
        <w:rPr>
          <w:color w:val="auto"/>
          <w:sz w:val="20"/>
          <w:highlight w:val="none"/>
        </w:rPr>
      </w:pPr>
    </w:p>
    <w:p>
      <w:pPr>
        <w:pStyle w:val="20"/>
        <w:spacing w:before="10"/>
        <w:rPr>
          <w:color w:val="auto"/>
          <w:sz w:val="19"/>
          <w:highlight w:val="none"/>
        </w:rPr>
      </w:pPr>
    </w:p>
    <w:p>
      <w:pPr>
        <w:rPr>
          <w:color w:val="auto"/>
          <w:sz w:val="19"/>
          <w:highlight w:val="none"/>
        </w:rPr>
        <w:sectPr>
          <w:pgSz w:w="11910" w:h="16850"/>
          <w:pgMar w:top="1418" w:right="1191" w:bottom="1418" w:left="1191" w:header="883" w:footer="884" w:gutter="0"/>
          <w:cols w:space="720" w:num="1"/>
        </w:sectPr>
      </w:pPr>
    </w:p>
    <w:p>
      <w:pPr>
        <w:pStyle w:val="20"/>
        <w:spacing w:before="66"/>
        <w:ind w:left="424"/>
        <w:outlineLvl w:val="2"/>
        <w:rPr>
          <w:rFonts w:ascii="黑体" w:eastAsia="黑体"/>
          <w:color w:val="auto"/>
          <w:highlight w:val="none"/>
        </w:rPr>
      </w:pPr>
      <w:bookmarkStart w:id="4004" w:name="_bookmark275"/>
      <w:bookmarkEnd w:id="4004"/>
      <w:bookmarkStart w:id="4005" w:name="_Toc21663"/>
      <w:bookmarkStart w:id="4006" w:name="_Toc21089"/>
      <w:bookmarkStart w:id="4007" w:name="_Toc7228"/>
      <w:bookmarkStart w:id="4008" w:name="_Toc5543"/>
      <w:r>
        <w:rPr>
          <w:rFonts w:hint="eastAsia" w:ascii="黑体" w:eastAsia="黑体"/>
          <w:color w:val="auto"/>
          <w:highlight w:val="none"/>
        </w:rPr>
        <w:t>附件六 项目经理委任书</w:t>
      </w:r>
      <w:bookmarkEnd w:id="4005"/>
      <w:bookmarkEnd w:id="4006"/>
      <w:bookmarkEnd w:id="4007"/>
      <w:bookmarkEnd w:id="4008"/>
    </w:p>
    <w:p>
      <w:pPr>
        <w:pStyle w:val="20"/>
        <w:spacing w:before="5"/>
        <w:rPr>
          <w:rFonts w:ascii="黑体"/>
          <w:color w:val="auto"/>
          <w:sz w:val="32"/>
          <w:highlight w:val="none"/>
        </w:rPr>
      </w:pPr>
      <w:r>
        <w:rPr>
          <w:color w:val="auto"/>
          <w:highlight w:val="none"/>
        </w:rPr>
        <w:br w:type="column"/>
      </w:r>
    </w:p>
    <w:p>
      <w:pPr>
        <w:ind w:left="424"/>
        <w:rPr>
          <w:rFonts w:ascii="黑体" w:eastAsia="黑体"/>
          <w:color w:val="auto"/>
          <w:sz w:val="28"/>
          <w:highlight w:val="none"/>
        </w:rPr>
      </w:pPr>
      <w:r>
        <w:rPr>
          <w:rFonts w:hint="eastAsia" w:ascii="黑体" w:eastAsia="黑体"/>
          <w:color w:val="auto"/>
          <w:sz w:val="28"/>
          <w:highlight w:val="none"/>
          <w:u w:val="single"/>
        </w:rPr>
        <w:t>（承包人全称）</w:t>
      </w:r>
    </w:p>
    <w:p>
      <w:pPr>
        <w:rPr>
          <w:rFonts w:ascii="黑体" w:eastAsia="黑体"/>
          <w:color w:val="auto"/>
          <w:sz w:val="28"/>
          <w:highlight w:val="none"/>
        </w:rPr>
        <w:sectPr>
          <w:type w:val="continuous"/>
          <w:pgSz w:w="11910" w:h="16850"/>
          <w:pgMar w:top="1418" w:right="1191" w:bottom="1418" w:left="1191" w:header="720" w:footer="720" w:gutter="0"/>
          <w:cols w:equalWidth="0" w:num="2">
            <w:col w:w="3014" w:space="373"/>
            <w:col w:w="6141"/>
          </w:cols>
        </w:sectPr>
      </w:pPr>
    </w:p>
    <w:p>
      <w:pPr>
        <w:spacing w:before="40"/>
        <w:ind w:left="2592"/>
        <w:rPr>
          <w:rFonts w:ascii="黑体" w:eastAsia="黑体"/>
          <w:color w:val="auto"/>
          <w:sz w:val="28"/>
          <w:highlight w:val="none"/>
        </w:rPr>
      </w:pPr>
      <w:r>
        <w:rPr>
          <w:rFonts w:hint="eastAsia" w:ascii="黑体" w:eastAsia="黑体"/>
          <w:color w:val="auto"/>
          <w:sz w:val="28"/>
          <w:highlight w:val="none"/>
          <w:u w:val="single"/>
        </w:rPr>
        <w:t xml:space="preserve">（合同工程名称） </w:t>
      </w:r>
      <w:r>
        <w:rPr>
          <w:rFonts w:hint="eastAsia" w:ascii="黑体" w:eastAsia="黑体"/>
          <w:color w:val="auto"/>
          <w:sz w:val="28"/>
          <w:highlight w:val="none"/>
        </w:rPr>
        <w:t>项目经理委任书</w:t>
      </w:r>
    </w:p>
    <w:p>
      <w:pPr>
        <w:pStyle w:val="20"/>
        <w:rPr>
          <w:rFonts w:ascii="黑体"/>
          <w:color w:val="auto"/>
          <w:sz w:val="28"/>
          <w:highlight w:val="none"/>
        </w:rPr>
      </w:pPr>
    </w:p>
    <w:p>
      <w:pPr>
        <w:pStyle w:val="20"/>
        <w:spacing w:before="9"/>
        <w:rPr>
          <w:rFonts w:ascii="黑体"/>
          <w:color w:val="auto"/>
          <w:sz w:val="41"/>
          <w:highlight w:val="none"/>
        </w:rPr>
      </w:pPr>
    </w:p>
    <w:p>
      <w:pPr>
        <w:pStyle w:val="20"/>
        <w:ind w:left="424"/>
        <w:rPr>
          <w:color w:val="auto"/>
          <w:highlight w:val="none"/>
        </w:rPr>
      </w:pPr>
      <w:r>
        <w:rPr>
          <w:color w:val="auto"/>
          <w:spacing w:val="-61"/>
          <w:highlight w:val="none"/>
        </w:rPr>
        <w:t>致：</w:t>
      </w:r>
      <w:r>
        <w:rPr>
          <w:color w:val="auto"/>
          <w:highlight w:val="none"/>
          <w:u w:val="single"/>
        </w:rPr>
        <w:t>（发包人全称）</w:t>
      </w:r>
    </w:p>
    <w:p>
      <w:pPr>
        <w:pStyle w:val="20"/>
        <w:spacing w:before="94" w:line="312" w:lineRule="auto"/>
        <w:ind w:left="424" w:right="299" w:firstLine="616"/>
        <w:jc w:val="both"/>
        <w:rPr>
          <w:color w:val="auto"/>
          <w:highlight w:val="none"/>
        </w:rPr>
      </w:pPr>
      <w:r>
        <w:rPr>
          <w:color w:val="auto"/>
          <w:highlight w:val="none"/>
          <w:u w:val="single"/>
        </w:rPr>
        <w:t>（承包人全称）</w:t>
      </w:r>
      <w:r>
        <w:rPr>
          <w:color w:val="auto"/>
          <w:spacing w:val="-4"/>
          <w:highlight w:val="none"/>
        </w:rPr>
        <w:t xml:space="preserve"> 法定代表人</w:t>
      </w:r>
      <w:r>
        <w:rPr>
          <w:color w:val="auto"/>
          <w:highlight w:val="none"/>
          <w:u w:val="single"/>
        </w:rPr>
        <w:t>（</w:t>
      </w:r>
      <w:r>
        <w:rPr>
          <w:color w:val="auto"/>
          <w:spacing w:val="-4"/>
          <w:highlight w:val="none"/>
          <w:u w:val="single"/>
        </w:rPr>
        <w:t>职务、姓名</w:t>
      </w:r>
      <w:r>
        <w:rPr>
          <w:color w:val="auto"/>
          <w:highlight w:val="none"/>
          <w:u w:val="single"/>
        </w:rPr>
        <w:t>）</w:t>
      </w:r>
      <w:r>
        <w:rPr>
          <w:color w:val="auto"/>
          <w:spacing w:val="-4"/>
          <w:highlight w:val="none"/>
        </w:rPr>
        <w:t xml:space="preserve"> 代表本单位委任</w:t>
      </w:r>
      <w:r>
        <w:rPr>
          <w:color w:val="auto"/>
          <w:highlight w:val="none"/>
          <w:u w:val="single"/>
        </w:rPr>
        <w:t>（</w:t>
      </w:r>
      <w:r>
        <w:rPr>
          <w:color w:val="auto"/>
          <w:spacing w:val="-5"/>
          <w:highlight w:val="none"/>
          <w:u w:val="single"/>
        </w:rPr>
        <w:t>职务、姓名）</w:t>
      </w:r>
      <w:r>
        <w:rPr>
          <w:color w:val="auto"/>
          <w:spacing w:val="-15"/>
          <w:highlight w:val="none"/>
        </w:rPr>
        <w:t xml:space="preserve"> 为</w:t>
      </w:r>
      <w:r>
        <w:rPr>
          <w:color w:val="auto"/>
          <w:highlight w:val="none"/>
          <w:u w:val="single"/>
        </w:rPr>
        <w:t>（合同工程名称</w:t>
      </w:r>
      <w:r>
        <w:rPr>
          <w:color w:val="auto"/>
          <w:spacing w:val="-15"/>
          <w:highlight w:val="none"/>
          <w:u w:val="single"/>
        </w:rPr>
        <w:t>）</w:t>
      </w:r>
      <w:r>
        <w:rPr>
          <w:color w:val="auto"/>
          <w:spacing w:val="-5"/>
          <w:highlight w:val="none"/>
        </w:rPr>
        <w:t>的项目经理。凡本合同执行中的有关技术、工程进度、现场管理、质量检验、结算与支付等方面工作，由</w:t>
      </w:r>
      <w:r>
        <w:rPr>
          <w:color w:val="auto"/>
          <w:spacing w:val="-5"/>
          <w:highlight w:val="none"/>
          <w:u w:val="single"/>
        </w:rPr>
        <w:t xml:space="preserve"> （姓名） </w:t>
      </w:r>
      <w:r>
        <w:rPr>
          <w:color w:val="auto"/>
          <w:spacing w:val="-5"/>
          <w:highlight w:val="none"/>
        </w:rPr>
        <w:t>代表本单位全面负责。</w:t>
      </w:r>
    </w:p>
    <w:p>
      <w:pPr>
        <w:pStyle w:val="20"/>
        <w:spacing w:before="4"/>
        <w:rPr>
          <w:color w:val="auto"/>
          <w:sz w:val="31"/>
          <w:highlight w:val="none"/>
        </w:rPr>
      </w:pPr>
    </w:p>
    <w:p>
      <w:pPr>
        <w:pStyle w:val="20"/>
        <w:tabs>
          <w:tab w:val="left" w:pos="7308"/>
          <w:tab w:val="left" w:pos="7745"/>
          <w:tab w:val="left" w:pos="9101"/>
        </w:tabs>
        <w:spacing w:line="312" w:lineRule="auto"/>
        <w:ind w:left="5028" w:right="298" w:hanging="764"/>
        <w:rPr>
          <w:color w:val="auto"/>
          <w:highlight w:val="none"/>
        </w:rPr>
      </w:pPr>
      <w:r>
        <w:rPr>
          <w:color w:val="auto"/>
          <w:highlight w:val="none"/>
        </w:rPr>
        <w:t>承包人：</w:t>
      </w:r>
      <w:r>
        <w:rPr>
          <w:color w:val="auto"/>
          <w:highlight w:val="none"/>
          <w:u w:val="single"/>
        </w:rPr>
        <w:tab/>
      </w:r>
      <w:r>
        <w:rPr>
          <w:color w:val="auto"/>
          <w:highlight w:val="none"/>
          <w:u w:val="single"/>
        </w:rPr>
        <w:tab/>
      </w:r>
      <w:r>
        <w:rPr>
          <w:color w:val="auto"/>
          <w:highlight w:val="none"/>
        </w:rPr>
        <w:t>（盖单位章） 法定代表人：</w:t>
      </w:r>
      <w:r>
        <w:rPr>
          <w:color w:val="auto"/>
          <w:highlight w:val="none"/>
          <w:u w:val="single"/>
        </w:rPr>
        <w:tab/>
      </w:r>
      <w:r>
        <w:rPr>
          <w:color w:val="auto"/>
          <w:highlight w:val="none"/>
          <w:u w:val="single"/>
        </w:rPr>
        <w:t>（职务）</w:t>
      </w:r>
      <w:r>
        <w:rPr>
          <w:color w:val="auto"/>
          <w:highlight w:val="none"/>
          <w:u w:val="single"/>
        </w:rPr>
        <w:tab/>
      </w:r>
    </w:p>
    <w:p>
      <w:pPr>
        <w:pStyle w:val="20"/>
        <w:tabs>
          <w:tab w:val="left" w:pos="839"/>
          <w:tab w:val="left" w:pos="2556"/>
        </w:tabs>
        <w:spacing w:line="307" w:lineRule="exact"/>
        <w:ind w:right="382"/>
        <w:jc w:val="right"/>
        <w:rPr>
          <w:color w:val="auto"/>
          <w:highlight w:val="none"/>
        </w:rPr>
      </w:pPr>
      <w:r>
        <w:rPr>
          <w:rFonts w:ascii="Times New Roman" w:eastAsia="Times New Roman"/>
          <w:color w:val="auto"/>
          <w:highlight w:val="none"/>
          <w:u w:val="single"/>
        </w:rPr>
        <w:tab/>
      </w:r>
      <w:r>
        <w:rPr>
          <w:color w:val="auto"/>
          <w:highlight w:val="none"/>
          <w:u w:val="single"/>
        </w:rPr>
        <w:t>（姓名）</w:t>
      </w:r>
      <w:r>
        <w:rPr>
          <w:color w:val="auto"/>
          <w:highlight w:val="none"/>
          <w:u w:val="single"/>
        </w:rPr>
        <w:tab/>
      </w:r>
    </w:p>
    <w:p>
      <w:pPr>
        <w:pStyle w:val="20"/>
        <w:tabs>
          <w:tab w:val="left" w:pos="839"/>
          <w:tab w:val="left" w:pos="2556"/>
        </w:tabs>
        <w:spacing w:before="94"/>
        <w:ind w:right="382"/>
        <w:jc w:val="right"/>
        <w:rPr>
          <w:color w:val="auto"/>
          <w:highlight w:val="none"/>
        </w:rPr>
      </w:pPr>
      <w:r>
        <w:rPr>
          <w:rFonts w:ascii="Times New Roman" w:eastAsia="Times New Roman"/>
          <w:color w:val="auto"/>
          <w:highlight w:val="none"/>
          <w:u w:val="single"/>
        </w:rPr>
        <w:tab/>
      </w:r>
      <w:r>
        <w:rPr>
          <w:color w:val="auto"/>
          <w:highlight w:val="none"/>
          <w:u w:val="single"/>
        </w:rPr>
        <w:t>（签字）</w:t>
      </w:r>
      <w:r>
        <w:rPr>
          <w:color w:val="auto"/>
          <w:highlight w:val="none"/>
          <w:u w:val="single"/>
        </w:rPr>
        <w:tab/>
      </w:r>
    </w:p>
    <w:p>
      <w:pPr>
        <w:pStyle w:val="20"/>
        <w:tabs>
          <w:tab w:val="left" w:pos="6905"/>
          <w:tab w:val="left" w:pos="7745"/>
          <w:tab w:val="left" w:pos="8585"/>
        </w:tabs>
        <w:spacing w:before="91"/>
        <w:ind w:left="6065"/>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rPr>
          <w:color w:val="auto"/>
          <w:sz w:val="26"/>
          <w:highlight w:val="none"/>
        </w:rPr>
      </w:pPr>
    </w:p>
    <w:p>
      <w:pPr>
        <w:pStyle w:val="20"/>
        <w:rPr>
          <w:color w:val="auto"/>
          <w:sz w:val="26"/>
          <w:highlight w:val="none"/>
        </w:rPr>
      </w:pPr>
    </w:p>
    <w:p>
      <w:pPr>
        <w:pStyle w:val="20"/>
        <w:rPr>
          <w:color w:val="auto"/>
          <w:sz w:val="26"/>
          <w:highlight w:val="none"/>
        </w:rPr>
      </w:pPr>
    </w:p>
    <w:p>
      <w:pPr>
        <w:pStyle w:val="20"/>
        <w:spacing w:before="12"/>
        <w:rPr>
          <w:color w:val="auto"/>
          <w:sz w:val="22"/>
          <w:highlight w:val="none"/>
        </w:rPr>
      </w:pPr>
    </w:p>
    <w:p>
      <w:pPr>
        <w:pStyle w:val="20"/>
        <w:tabs>
          <w:tab w:val="left" w:pos="2824"/>
        </w:tabs>
        <w:ind w:left="424"/>
        <w:rPr>
          <w:color w:val="auto"/>
          <w:highlight w:val="none"/>
        </w:rPr>
      </w:pPr>
      <w:r>
        <w:rPr>
          <w:color w:val="auto"/>
          <w:highlight w:val="none"/>
        </w:rPr>
        <w:t>抄送：</w:t>
      </w:r>
      <w:r>
        <w:rPr>
          <w:color w:val="auto"/>
          <w:highlight w:val="none"/>
          <w:u w:val="single"/>
        </w:rPr>
        <w:t>（监理人）</w:t>
      </w:r>
      <w:r>
        <w:rPr>
          <w:color w:val="auto"/>
          <w:highlight w:val="none"/>
          <w:u w:val="single"/>
        </w:rPr>
        <w:tab/>
      </w:r>
    </w:p>
    <w:p>
      <w:pPr>
        <w:rPr>
          <w:color w:val="auto"/>
          <w:highlight w:val="none"/>
        </w:rPr>
        <w:sectPr>
          <w:type w:val="continuous"/>
          <w:pgSz w:w="11910" w:h="16850"/>
          <w:pgMar w:top="1418" w:right="1191" w:bottom="1418" w:left="1191" w:header="720" w:footer="720" w:gutter="0"/>
          <w:cols w:space="720" w:num="1"/>
        </w:sectPr>
      </w:pPr>
    </w:p>
    <w:p>
      <w:pPr>
        <w:pStyle w:val="20"/>
        <w:spacing w:before="2"/>
        <w:rPr>
          <w:color w:val="auto"/>
          <w:sz w:val="10"/>
          <w:highlight w:val="none"/>
        </w:rPr>
      </w:pPr>
    </w:p>
    <w:p>
      <w:pPr>
        <w:pStyle w:val="20"/>
        <w:spacing w:before="67"/>
        <w:ind w:left="424"/>
        <w:outlineLvl w:val="2"/>
        <w:rPr>
          <w:rFonts w:ascii="黑体" w:eastAsia="黑体"/>
          <w:color w:val="auto"/>
          <w:highlight w:val="none"/>
        </w:rPr>
      </w:pPr>
      <w:bookmarkStart w:id="4009" w:name="_Toc16398"/>
      <w:bookmarkStart w:id="4010" w:name="_Toc11372"/>
      <w:bookmarkStart w:id="4011" w:name="_Toc15080"/>
      <w:bookmarkStart w:id="4012" w:name="_Toc24991"/>
      <w:r>
        <w:rPr>
          <w:rFonts w:hint="eastAsia" w:ascii="黑体" w:eastAsia="黑体"/>
          <w:color w:val="auto"/>
          <w:highlight w:val="none"/>
        </w:rPr>
        <w:t>附件七 履约保证金格式</w:t>
      </w:r>
      <w:bookmarkEnd w:id="4009"/>
      <w:bookmarkEnd w:id="4010"/>
      <w:bookmarkEnd w:id="4011"/>
      <w:bookmarkEnd w:id="4012"/>
    </w:p>
    <w:p>
      <w:pPr>
        <w:pStyle w:val="20"/>
        <w:spacing w:before="91"/>
        <w:ind w:left="424"/>
        <w:rPr>
          <w:color w:val="auto"/>
          <w:highlight w:val="none"/>
        </w:rPr>
      </w:pPr>
      <w:r>
        <w:rPr>
          <w:color w:val="auto"/>
          <w:highlight w:val="none"/>
        </w:rPr>
        <w:t>如采用银行保函，格式如下。</w:t>
      </w:r>
    </w:p>
    <w:p>
      <w:pPr>
        <w:pStyle w:val="20"/>
        <w:spacing w:before="9"/>
        <w:rPr>
          <w:color w:val="auto"/>
          <w:sz w:val="29"/>
          <w:highlight w:val="none"/>
        </w:rPr>
      </w:pPr>
    </w:p>
    <w:p>
      <w:pPr>
        <w:spacing w:before="61"/>
        <w:ind w:left="1098" w:right="1057"/>
        <w:jc w:val="center"/>
        <w:rPr>
          <w:rFonts w:ascii="黑体" w:eastAsia="黑体"/>
          <w:color w:val="auto"/>
          <w:sz w:val="28"/>
          <w:highlight w:val="none"/>
        </w:rPr>
      </w:pPr>
      <w:r>
        <w:rPr>
          <w:rFonts w:hint="eastAsia" w:ascii="黑体" w:eastAsia="黑体"/>
          <w:color w:val="auto"/>
          <w:sz w:val="28"/>
          <w:highlight w:val="none"/>
        </w:rPr>
        <w:t>履约保证金</w:t>
      </w:r>
    </w:p>
    <w:p>
      <w:pPr>
        <w:pStyle w:val="20"/>
        <w:rPr>
          <w:rFonts w:ascii="黑体"/>
          <w:color w:val="auto"/>
          <w:sz w:val="20"/>
          <w:highlight w:val="none"/>
        </w:rPr>
      </w:pPr>
    </w:p>
    <w:p>
      <w:pPr>
        <w:pStyle w:val="20"/>
        <w:spacing w:before="5"/>
        <w:rPr>
          <w:rFonts w:ascii="黑体"/>
          <w:color w:val="auto"/>
          <w:sz w:val="18"/>
          <w:highlight w:val="none"/>
        </w:rPr>
      </w:pPr>
    </w:p>
    <w:p>
      <w:pPr>
        <w:pStyle w:val="20"/>
        <w:tabs>
          <w:tab w:val="left" w:pos="2764"/>
        </w:tabs>
        <w:spacing w:before="1"/>
        <w:ind w:left="544"/>
        <w:rPr>
          <w:color w:val="auto"/>
          <w:highlight w:val="none"/>
        </w:rPr>
      </w:pPr>
      <w:r>
        <w:rPr>
          <w:rFonts w:ascii="Times New Roman" w:eastAsia="Times New Roman"/>
          <w:color w:val="auto"/>
          <w:highlight w:val="none"/>
          <w:u w:val="single"/>
        </w:rPr>
        <w:tab/>
      </w:r>
      <w:r>
        <w:rPr>
          <w:color w:val="auto"/>
          <w:highlight w:val="none"/>
        </w:rPr>
        <w:t>（发包人名称</w:t>
      </w:r>
      <w:r>
        <w:rPr>
          <w:color w:val="auto"/>
          <w:spacing w:val="-120"/>
          <w:highlight w:val="none"/>
        </w:rPr>
        <w:t>）</w:t>
      </w:r>
      <w:r>
        <w:rPr>
          <w:color w:val="auto"/>
          <w:highlight w:val="none"/>
        </w:rPr>
        <w:t>：</w:t>
      </w:r>
    </w:p>
    <w:p>
      <w:pPr>
        <w:pStyle w:val="20"/>
        <w:spacing w:before="5"/>
        <w:rPr>
          <w:color w:val="auto"/>
          <w:sz w:val="38"/>
          <w:highlight w:val="none"/>
        </w:rPr>
      </w:pPr>
    </w:p>
    <w:p>
      <w:pPr>
        <w:pStyle w:val="20"/>
        <w:tabs>
          <w:tab w:val="left" w:pos="2113"/>
          <w:tab w:val="left" w:pos="3410"/>
          <w:tab w:val="left" w:pos="8139"/>
          <w:tab w:val="left" w:pos="8621"/>
        </w:tabs>
        <w:spacing w:line="312" w:lineRule="auto"/>
        <w:ind w:left="424" w:right="380" w:firstLine="599"/>
        <w:jc w:val="both"/>
        <w:rPr>
          <w:color w:val="auto"/>
          <w:highlight w:val="none"/>
        </w:rPr>
      </w:pPr>
      <w:r>
        <w:rPr>
          <w:color w:val="auto"/>
          <w:highlight w:val="none"/>
        </w:rPr>
        <w:t>鉴于</w:t>
      </w:r>
      <w:r>
        <w:rPr>
          <w:color w:val="auto"/>
          <w:highlight w:val="none"/>
          <w:u w:val="single"/>
        </w:rPr>
        <w:tab/>
      </w:r>
      <w:r>
        <w:rPr>
          <w:color w:val="auto"/>
          <w:highlight w:val="none"/>
          <w:u w:val="single"/>
        </w:rPr>
        <w:tab/>
      </w:r>
      <w:r>
        <w:rPr>
          <w:color w:val="auto"/>
          <w:highlight w:val="none"/>
        </w:rPr>
        <w:t>（发包人名称</w:t>
      </w:r>
      <w:r>
        <w:rPr>
          <w:color w:val="auto"/>
          <w:spacing w:val="-15"/>
          <w:highlight w:val="none"/>
        </w:rPr>
        <w:t>，</w:t>
      </w:r>
      <w:r>
        <w:rPr>
          <w:color w:val="auto"/>
          <w:highlight w:val="none"/>
        </w:rPr>
        <w:t>以下简称</w:t>
      </w:r>
      <w:r>
        <w:rPr>
          <w:rFonts w:ascii="Times New Roman" w:hAnsi="Times New Roman" w:eastAsia="Times New Roman"/>
          <w:color w:val="auto"/>
          <w:highlight w:val="none"/>
        </w:rPr>
        <w:t>“</w:t>
      </w:r>
      <w:r>
        <w:rPr>
          <w:color w:val="auto"/>
          <w:highlight w:val="none"/>
        </w:rPr>
        <w:t>发包人</w:t>
      </w:r>
      <w:r>
        <w:rPr>
          <w:rFonts w:ascii="Times New Roman" w:hAnsi="Times New Roman" w:eastAsia="Times New Roman"/>
          <w:color w:val="auto"/>
          <w:spacing w:val="-8"/>
          <w:highlight w:val="none"/>
        </w:rPr>
        <w:t>”</w:t>
      </w:r>
      <w:r>
        <w:rPr>
          <w:color w:val="auto"/>
          <w:spacing w:val="-8"/>
          <w:highlight w:val="none"/>
        </w:rPr>
        <w:t>）</w:t>
      </w:r>
      <w:r>
        <w:rPr>
          <w:color w:val="auto"/>
          <w:highlight w:val="none"/>
        </w:rPr>
        <w:t>接受</w:t>
      </w:r>
      <w:r>
        <w:rPr>
          <w:color w:val="auto"/>
          <w:highlight w:val="none"/>
          <w:u w:val="single"/>
        </w:rPr>
        <w:tab/>
      </w:r>
      <w:r>
        <w:rPr>
          <w:color w:val="auto"/>
          <w:highlight w:val="none"/>
          <w:u w:val="single"/>
        </w:rPr>
        <w:tab/>
      </w:r>
      <w:r>
        <w:rPr>
          <w:color w:val="auto"/>
          <w:highlight w:val="none"/>
        </w:rPr>
        <w:t>（承包人名称，以下简称</w:t>
      </w:r>
      <w:r>
        <w:rPr>
          <w:rFonts w:ascii="Times New Roman" w:hAnsi="Times New Roman" w:eastAsia="Times New Roman"/>
          <w:color w:val="auto"/>
          <w:highlight w:val="none"/>
        </w:rPr>
        <w:t>“</w:t>
      </w:r>
      <w:r>
        <w:rPr>
          <w:color w:val="auto"/>
          <w:highlight w:val="none"/>
        </w:rPr>
        <w:t>承包人</w:t>
      </w:r>
      <w:r>
        <w:rPr>
          <w:rFonts w:ascii="Times New Roman" w:hAnsi="Times New Roman" w:eastAsia="Times New Roman"/>
          <w:color w:val="auto"/>
          <w:highlight w:val="none"/>
        </w:rPr>
        <w:t>”</w:t>
      </w:r>
      <w:r>
        <w:rPr>
          <w:color w:val="auto"/>
          <w:highlight w:val="none"/>
        </w:rPr>
        <w:t>）于年月日参加</w:t>
      </w:r>
      <w:r>
        <w:rPr>
          <w:color w:val="auto"/>
          <w:highlight w:val="none"/>
          <w:u w:val="single"/>
        </w:rPr>
        <w:tab/>
      </w:r>
      <w:r>
        <w:rPr>
          <w:color w:val="auto"/>
          <w:highlight w:val="none"/>
        </w:rPr>
        <w:t>（项目名称）</w:t>
      </w:r>
      <w:r>
        <w:rPr>
          <w:color w:val="auto"/>
          <w:highlight w:val="none"/>
          <w:u w:val="single"/>
        </w:rPr>
        <w:tab/>
      </w:r>
      <w:r>
        <w:rPr>
          <w:color w:val="auto"/>
          <w:highlight w:val="none"/>
        </w:rPr>
        <w:t>标段施工的投标。我方愿意无条件地、不可撤销地就承包人履行与你方订立的合同，向你方提供担保。</w:t>
      </w:r>
    </w:p>
    <w:p>
      <w:pPr>
        <w:pStyle w:val="86"/>
        <w:numPr>
          <w:ilvl w:val="0"/>
          <w:numId w:val="42"/>
        </w:numPr>
        <w:tabs>
          <w:tab w:val="left" w:pos="1205"/>
          <w:tab w:val="left" w:pos="5820"/>
          <w:tab w:val="left" w:pos="8045"/>
        </w:tabs>
        <w:spacing w:before="2"/>
        <w:ind w:firstLine="480"/>
        <w:rPr>
          <w:color w:val="auto"/>
          <w:sz w:val="24"/>
          <w:highlight w:val="none"/>
        </w:rPr>
      </w:pPr>
      <w:r>
        <w:rPr>
          <w:color w:val="auto"/>
          <w:sz w:val="24"/>
          <w:highlight w:val="none"/>
        </w:rPr>
        <w:t>担保金额人民币（大写）</w:t>
      </w:r>
      <w:r>
        <w:rPr>
          <w:color w:val="auto"/>
          <w:sz w:val="24"/>
          <w:highlight w:val="none"/>
          <w:u w:val="single"/>
        </w:rPr>
        <w:tab/>
      </w:r>
      <w:r>
        <w:rPr>
          <w:color w:val="auto"/>
          <w:sz w:val="24"/>
          <w:highlight w:val="none"/>
        </w:rPr>
        <w:t>元（</w:t>
      </w:r>
      <w:r>
        <w:rPr>
          <w:rFonts w:ascii="Times New Roman" w:hAnsi="Times New Roman" w:eastAsia="Times New Roman"/>
          <w:color w:val="auto"/>
          <w:sz w:val="24"/>
          <w:highlight w:val="none"/>
        </w:rPr>
        <w:t>¥</w:t>
      </w:r>
      <w:r>
        <w:rPr>
          <w:rFonts w:ascii="Times New Roman" w:hAnsi="Times New Roman" w:eastAsia="Times New Roman"/>
          <w:color w:val="auto"/>
          <w:sz w:val="24"/>
          <w:highlight w:val="none"/>
          <w:u w:val="single"/>
        </w:rPr>
        <w:tab/>
      </w:r>
      <w:r>
        <w:rPr>
          <w:color w:val="auto"/>
          <w:spacing w:val="-120"/>
          <w:sz w:val="24"/>
          <w:highlight w:val="none"/>
        </w:rPr>
        <w:t>）</w:t>
      </w:r>
      <w:r>
        <w:rPr>
          <w:color w:val="auto"/>
          <w:sz w:val="24"/>
          <w:highlight w:val="none"/>
        </w:rPr>
        <w:t>。</w:t>
      </w:r>
    </w:p>
    <w:p>
      <w:pPr>
        <w:pStyle w:val="86"/>
        <w:numPr>
          <w:ilvl w:val="0"/>
          <w:numId w:val="42"/>
        </w:numPr>
        <w:tabs>
          <w:tab w:val="left" w:pos="1212"/>
        </w:tabs>
        <w:spacing w:before="93" w:line="288" w:lineRule="auto"/>
        <w:ind w:right="375" w:firstLine="480"/>
        <w:rPr>
          <w:rFonts w:ascii="黑体" w:hAnsi="黑体" w:eastAsia="黑体"/>
          <w:color w:val="auto"/>
          <w:sz w:val="14"/>
          <w:highlight w:val="none"/>
        </w:rPr>
      </w:pPr>
      <w:r>
        <w:rPr>
          <w:color w:val="auto"/>
          <w:spacing w:val="2"/>
          <w:sz w:val="24"/>
          <w:highlight w:val="none"/>
        </w:rPr>
        <w:t>担保有效期自发包人与承包人签订的合同生效之日起至发包人签发交工验</w:t>
      </w:r>
      <w:r>
        <w:rPr>
          <w:color w:val="auto"/>
          <w:sz w:val="24"/>
          <w:highlight w:val="none"/>
        </w:rPr>
        <w:t>收证书且承包人按照合同约定缴纳质量保证金之日止。</w:t>
      </w:r>
      <w:r>
        <w:rPr>
          <w:rFonts w:hint="eastAsia" w:ascii="黑体" w:hAnsi="黑体" w:eastAsia="黑体"/>
          <w:color w:val="auto"/>
          <w:position w:val="13"/>
          <w:sz w:val="14"/>
          <w:highlight w:val="none"/>
        </w:rPr>
        <w:t>①</w:t>
      </w:r>
    </w:p>
    <w:p>
      <w:pPr>
        <w:pStyle w:val="86"/>
        <w:numPr>
          <w:ilvl w:val="0"/>
          <w:numId w:val="42"/>
        </w:numPr>
        <w:tabs>
          <w:tab w:val="left" w:pos="1205"/>
        </w:tabs>
        <w:spacing w:before="31" w:line="312" w:lineRule="auto"/>
        <w:ind w:right="361" w:firstLine="480"/>
        <w:jc w:val="both"/>
        <w:rPr>
          <w:color w:val="auto"/>
          <w:sz w:val="24"/>
          <w:highlight w:val="none"/>
        </w:rPr>
      </w:pPr>
      <w:r>
        <w:rPr>
          <w:color w:val="auto"/>
          <w:sz w:val="24"/>
          <w:highlight w:val="none"/>
        </w:rPr>
        <w:t xml:space="preserve">在本担保有效期内，因承包人违反合同约定的义务给你方造成经济损失时， </w:t>
      </w:r>
      <w:r>
        <w:rPr>
          <w:color w:val="auto"/>
          <w:spacing w:val="-2"/>
          <w:sz w:val="24"/>
          <w:highlight w:val="none"/>
        </w:rPr>
        <w:t xml:space="preserve">我方在收到你方以书面形式提出的在担保金额内的赔偿要求后，在 </w:t>
      </w:r>
      <w:r>
        <w:rPr>
          <w:rFonts w:ascii="Times New Roman" w:eastAsia="Times New Roman"/>
          <w:color w:val="auto"/>
          <w:sz w:val="24"/>
          <w:highlight w:val="none"/>
        </w:rPr>
        <w:t>7</w:t>
      </w:r>
      <w:r>
        <w:rPr>
          <w:color w:val="auto"/>
          <w:sz w:val="24"/>
          <w:highlight w:val="none"/>
        </w:rPr>
        <w:t>日内无条件支付，无须你方出具证明或陈述理由。</w:t>
      </w:r>
    </w:p>
    <w:p>
      <w:pPr>
        <w:pStyle w:val="86"/>
        <w:numPr>
          <w:ilvl w:val="0"/>
          <w:numId w:val="42"/>
        </w:numPr>
        <w:tabs>
          <w:tab w:val="left" w:pos="1205"/>
        </w:tabs>
        <w:spacing w:before="2" w:line="312" w:lineRule="auto"/>
        <w:ind w:right="263" w:firstLine="480"/>
        <w:rPr>
          <w:color w:val="auto"/>
          <w:sz w:val="24"/>
          <w:highlight w:val="none"/>
        </w:rPr>
      </w:pPr>
      <w:r>
        <w:rPr>
          <w:color w:val="auto"/>
          <w:spacing w:val="-5"/>
          <w:sz w:val="24"/>
          <w:highlight w:val="none"/>
        </w:rPr>
        <w:t xml:space="preserve">发包人和承包人按合同条款第 </w:t>
      </w:r>
      <w:r>
        <w:rPr>
          <w:rFonts w:ascii="Times New Roman" w:eastAsia="Times New Roman"/>
          <w:color w:val="auto"/>
          <w:sz w:val="24"/>
          <w:highlight w:val="none"/>
        </w:rPr>
        <w:t xml:space="preserve">15 </w:t>
      </w:r>
      <w:r>
        <w:rPr>
          <w:color w:val="auto"/>
          <w:spacing w:val="-4"/>
          <w:sz w:val="24"/>
          <w:highlight w:val="none"/>
        </w:rPr>
        <w:t>条变更合同时，无论我方是否收到该变更， 我方承担本担保规定的义务不变。</w:t>
      </w: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tabs>
          <w:tab w:val="left" w:pos="7781"/>
          <w:tab w:val="left" w:pos="8880"/>
        </w:tabs>
        <w:adjustRightInd w:val="0"/>
        <w:snapToGrid w:val="0"/>
        <w:spacing w:line="480" w:lineRule="auto"/>
        <w:ind w:left="2541" w:leftChars="1155" w:right="262"/>
        <w:jc w:val="both"/>
        <w:rPr>
          <w:color w:val="auto"/>
          <w:highlight w:val="none"/>
        </w:rPr>
      </w:pPr>
      <w:r>
        <w:rPr>
          <w:color w:val="auto"/>
          <w:highlight w:val="none"/>
        </w:rPr>
        <w:t>担保人名称：</w:t>
      </w:r>
      <w:r>
        <w:rPr>
          <w:color w:val="auto"/>
          <w:highlight w:val="none"/>
          <w:u w:val="single"/>
        </w:rPr>
        <w:tab/>
      </w:r>
      <w:r>
        <w:rPr>
          <w:color w:val="auto"/>
          <w:highlight w:val="none"/>
        </w:rPr>
        <w:t xml:space="preserve">（盖单位章） 法定代表人或其委托代理人：（签字） </w:t>
      </w:r>
    </w:p>
    <w:p>
      <w:pPr>
        <w:pStyle w:val="20"/>
        <w:tabs>
          <w:tab w:val="left" w:pos="7781"/>
          <w:tab w:val="left" w:pos="8880"/>
        </w:tabs>
        <w:adjustRightInd w:val="0"/>
        <w:snapToGrid w:val="0"/>
        <w:spacing w:line="480" w:lineRule="auto"/>
        <w:ind w:right="262" w:firstLine="2520" w:firstLineChars="1050"/>
        <w:jc w:val="both"/>
        <w:rPr>
          <w:rFonts w:ascii="Times New Roman" w:eastAsiaTheme="minorEastAsia"/>
          <w:color w:val="auto"/>
          <w:highlight w:val="none"/>
          <w:u w:val="single"/>
        </w:rPr>
      </w:pPr>
      <w:r>
        <w:rPr>
          <w:color w:val="auto"/>
          <w:highlight w:val="none"/>
        </w:rPr>
        <w:t>地 址 ：</w:t>
      </w:r>
      <w:r>
        <w:rPr>
          <w:rFonts w:ascii="Times New Roman" w:eastAsia="Times New Roman"/>
          <w:color w:val="auto"/>
          <w:highlight w:val="none"/>
          <w:u w:val="single"/>
        </w:rPr>
        <w:tab/>
      </w:r>
    </w:p>
    <w:p>
      <w:pPr>
        <w:pStyle w:val="20"/>
        <w:tabs>
          <w:tab w:val="left" w:pos="7755"/>
          <w:tab w:val="left" w:pos="8880"/>
          <w:tab w:val="left" w:pos="9017"/>
        </w:tabs>
        <w:adjustRightInd w:val="0"/>
        <w:snapToGrid w:val="0"/>
        <w:spacing w:line="480" w:lineRule="auto"/>
        <w:ind w:right="466" w:firstLine="2520" w:firstLineChars="1050"/>
        <w:rPr>
          <w:rFonts w:ascii="Times New Roman" w:eastAsiaTheme="minorEastAsia"/>
          <w:color w:val="auto"/>
          <w:highlight w:val="none"/>
          <w:u w:val="single"/>
        </w:rPr>
      </w:pPr>
      <w:r>
        <w:rPr>
          <w:color w:val="auto"/>
          <w:highlight w:val="none"/>
        </w:rPr>
        <w:t>电话：</w:t>
      </w:r>
      <w:r>
        <w:rPr>
          <w:rFonts w:ascii="Times New Roman" w:eastAsia="Times New Roman"/>
          <w:color w:val="auto"/>
          <w:highlight w:val="none"/>
          <w:u w:val="single"/>
        </w:rPr>
        <w:tab/>
      </w:r>
    </w:p>
    <w:p>
      <w:pPr>
        <w:pStyle w:val="20"/>
        <w:tabs>
          <w:tab w:val="left" w:pos="7755"/>
          <w:tab w:val="left" w:pos="8880"/>
          <w:tab w:val="left" w:pos="9017"/>
        </w:tabs>
        <w:adjustRightInd w:val="0"/>
        <w:snapToGrid w:val="0"/>
        <w:spacing w:line="480" w:lineRule="auto"/>
        <w:ind w:right="466" w:firstLine="2520" w:firstLineChars="1050"/>
        <w:rPr>
          <w:rFonts w:ascii="Times New Roman" w:eastAsiaTheme="minorEastAsia"/>
          <w:color w:val="auto"/>
          <w:highlight w:val="none"/>
        </w:rPr>
      </w:pPr>
      <w:r>
        <w:rPr>
          <w:color w:val="auto"/>
          <w:highlight w:val="none"/>
        </w:rPr>
        <w:t>传真：</w:t>
      </w:r>
      <w:r>
        <w:rPr>
          <w:rFonts w:ascii="Times New Roman" w:eastAsia="Times New Roman"/>
          <w:color w:val="auto"/>
          <w:highlight w:val="none"/>
          <w:u w:val="single"/>
        </w:rPr>
        <w:tab/>
      </w:r>
    </w:p>
    <w:p>
      <w:pPr>
        <w:pStyle w:val="20"/>
        <w:tabs>
          <w:tab w:val="left" w:pos="6876"/>
          <w:tab w:val="left" w:pos="7901"/>
          <w:tab w:val="left" w:pos="8861"/>
        </w:tabs>
        <w:adjustRightInd w:val="0"/>
        <w:snapToGrid w:val="0"/>
        <w:spacing w:line="480" w:lineRule="auto"/>
        <w:ind w:firstLine="5880" w:firstLineChars="2450"/>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rPr>
          <w:color w:val="auto"/>
          <w:sz w:val="20"/>
          <w:highlight w:val="none"/>
        </w:rPr>
      </w:pPr>
    </w:p>
    <w:p>
      <w:pPr>
        <w:pStyle w:val="20"/>
        <w:rPr>
          <w:color w:val="auto"/>
          <w:sz w:val="20"/>
          <w:highlight w:val="none"/>
        </w:rPr>
      </w:pPr>
    </w:p>
    <w:p>
      <w:pPr>
        <w:pStyle w:val="20"/>
        <w:rPr>
          <w:color w:val="auto"/>
          <w:sz w:val="20"/>
          <w:highlight w:val="none"/>
        </w:rPr>
      </w:pPr>
    </w:p>
    <w:p>
      <w:pPr>
        <w:spacing w:line="352" w:lineRule="auto"/>
        <w:jc w:val="both"/>
        <w:rPr>
          <w:color w:val="auto"/>
          <w:sz w:val="18"/>
          <w:highlight w:val="none"/>
        </w:rPr>
        <w:sectPr>
          <w:footerReference r:id="rId36" w:type="default"/>
          <w:footerReference r:id="rId37" w:type="even"/>
          <w:pgSz w:w="11910" w:h="16850"/>
          <w:pgMar w:top="1418" w:right="1191" w:bottom="1418" w:left="1191" w:header="876" w:footer="853" w:gutter="0"/>
          <w:cols w:space="720" w:num="1"/>
        </w:sectPr>
      </w:pPr>
    </w:p>
    <w:p>
      <w:pPr>
        <w:pStyle w:val="20"/>
        <w:spacing w:before="9"/>
        <w:rPr>
          <w:color w:val="auto"/>
          <w:sz w:val="8"/>
          <w:highlight w:val="none"/>
        </w:rPr>
      </w:pPr>
    </w:p>
    <w:p>
      <w:pPr>
        <w:pStyle w:val="20"/>
        <w:spacing w:before="66"/>
        <w:ind w:left="424"/>
        <w:outlineLvl w:val="2"/>
        <w:rPr>
          <w:rFonts w:ascii="黑体" w:eastAsia="黑体"/>
          <w:color w:val="auto"/>
          <w:highlight w:val="none"/>
        </w:rPr>
      </w:pPr>
      <w:bookmarkStart w:id="4013" w:name="_bookmark276"/>
      <w:bookmarkEnd w:id="4013"/>
      <w:bookmarkStart w:id="4014" w:name="_Toc20780"/>
      <w:bookmarkStart w:id="4015" w:name="_Toc21474"/>
      <w:bookmarkStart w:id="4016" w:name="_Toc28184"/>
      <w:bookmarkStart w:id="4017" w:name="_Toc6759"/>
      <w:r>
        <w:rPr>
          <w:rFonts w:hint="eastAsia" w:ascii="黑体" w:eastAsia="黑体"/>
          <w:color w:val="auto"/>
          <w:highlight w:val="none"/>
        </w:rPr>
        <w:t>附件八 工程资金监管协议格式</w:t>
      </w:r>
      <w:bookmarkEnd w:id="4014"/>
      <w:bookmarkEnd w:id="4015"/>
      <w:bookmarkEnd w:id="4016"/>
      <w:bookmarkEnd w:id="4017"/>
    </w:p>
    <w:p>
      <w:pPr>
        <w:pStyle w:val="20"/>
        <w:spacing w:before="72" w:line="295" w:lineRule="auto"/>
        <w:ind w:left="424" w:right="262" w:firstLine="479"/>
        <w:rPr>
          <w:color w:val="auto"/>
          <w:highlight w:val="none"/>
        </w:rPr>
      </w:pPr>
      <w:r>
        <w:rPr>
          <w:color w:val="auto"/>
          <w:highlight w:val="none"/>
        </w:rPr>
        <w:t>（发包人与承包人签订合同协议书时应与发包人指定的银行签署工程资金监管</w:t>
      </w:r>
      <w:r>
        <w:rPr>
          <w:color w:val="auto"/>
          <w:spacing w:val="-10"/>
          <w:highlight w:val="none"/>
        </w:rPr>
        <w:t>协议，工程资金监管协议内容在保证本项目资金有效监管的前提下由三方共同商定</w:t>
      </w:r>
      <w:r>
        <w:rPr>
          <w:color w:val="auto"/>
          <w:highlight w:val="none"/>
        </w:rPr>
        <w:t>）</w:t>
      </w:r>
    </w:p>
    <w:p>
      <w:pPr>
        <w:pStyle w:val="20"/>
        <w:spacing w:before="11"/>
        <w:rPr>
          <w:color w:val="auto"/>
          <w:sz w:val="25"/>
          <w:highlight w:val="none"/>
        </w:rPr>
      </w:pPr>
    </w:p>
    <w:p>
      <w:pPr>
        <w:ind w:left="3643"/>
        <w:rPr>
          <w:rFonts w:ascii="黑体" w:eastAsia="黑体"/>
          <w:color w:val="auto"/>
          <w:sz w:val="28"/>
          <w:highlight w:val="none"/>
        </w:rPr>
      </w:pPr>
      <w:r>
        <w:rPr>
          <w:rFonts w:hint="eastAsia" w:ascii="黑体" w:eastAsia="黑体"/>
          <w:color w:val="auto"/>
          <w:sz w:val="28"/>
          <w:highlight w:val="none"/>
        </w:rPr>
        <w:t>工程资金监管协议</w:t>
      </w:r>
    </w:p>
    <w:p>
      <w:pPr>
        <w:pStyle w:val="20"/>
        <w:spacing w:before="5"/>
        <w:rPr>
          <w:rFonts w:ascii="黑体"/>
          <w:color w:val="auto"/>
          <w:sz w:val="35"/>
          <w:highlight w:val="none"/>
        </w:rPr>
      </w:pPr>
    </w:p>
    <w:p>
      <w:pPr>
        <w:pStyle w:val="20"/>
        <w:tabs>
          <w:tab w:val="left" w:pos="3304"/>
          <w:tab w:val="left" w:pos="3424"/>
        </w:tabs>
        <w:spacing w:before="1" w:line="295" w:lineRule="auto"/>
        <w:ind w:left="424" w:right="3927"/>
        <w:jc w:val="both"/>
        <w:rPr>
          <w:color w:val="auto"/>
          <w:highlight w:val="none"/>
        </w:rPr>
      </w:pPr>
      <w:r>
        <w:rPr>
          <w:color w:val="auto"/>
          <w:highlight w:val="none"/>
        </w:rPr>
        <w:t>发包人：</w:t>
      </w:r>
      <w:r>
        <w:rPr>
          <w:color w:val="auto"/>
          <w:highlight w:val="none"/>
          <w:u w:val="single"/>
        </w:rPr>
        <w:tab/>
      </w:r>
      <w:r>
        <w:rPr>
          <w:color w:val="auto"/>
          <w:highlight w:val="none"/>
        </w:rPr>
        <w:t>（以下简称</w:t>
      </w:r>
      <w:r>
        <w:rPr>
          <w:rFonts w:ascii="Times New Roman" w:hAnsi="Times New Roman" w:eastAsia="Times New Roman"/>
          <w:color w:val="auto"/>
          <w:highlight w:val="none"/>
        </w:rPr>
        <w:t>“</w:t>
      </w:r>
      <w:r>
        <w:rPr>
          <w:color w:val="auto"/>
          <w:highlight w:val="none"/>
        </w:rPr>
        <w:t>甲方</w:t>
      </w:r>
      <w:r>
        <w:rPr>
          <w:rFonts w:ascii="Times New Roman" w:hAnsi="Times New Roman" w:eastAsia="Times New Roman"/>
          <w:color w:val="auto"/>
          <w:highlight w:val="none"/>
        </w:rPr>
        <w:t>”</w:t>
      </w:r>
      <w:r>
        <w:rPr>
          <w:color w:val="auto"/>
          <w:highlight w:val="none"/>
        </w:rPr>
        <w:t>） 承包人：</w:t>
      </w:r>
      <w:r>
        <w:rPr>
          <w:color w:val="auto"/>
          <w:highlight w:val="none"/>
          <w:u w:val="single"/>
        </w:rPr>
        <w:tab/>
      </w:r>
      <w:r>
        <w:rPr>
          <w:color w:val="auto"/>
          <w:highlight w:val="none"/>
        </w:rPr>
        <w:t>（以下简称</w:t>
      </w:r>
      <w:r>
        <w:rPr>
          <w:rFonts w:ascii="Times New Roman" w:hAnsi="Times New Roman" w:eastAsia="Times New Roman"/>
          <w:color w:val="auto"/>
          <w:highlight w:val="none"/>
        </w:rPr>
        <w:t>“</w:t>
      </w:r>
      <w:r>
        <w:rPr>
          <w:color w:val="auto"/>
          <w:highlight w:val="none"/>
        </w:rPr>
        <w:t>乙方</w:t>
      </w:r>
      <w:r>
        <w:rPr>
          <w:rFonts w:ascii="Times New Roman" w:hAnsi="Times New Roman" w:eastAsia="Times New Roman"/>
          <w:color w:val="auto"/>
          <w:highlight w:val="none"/>
        </w:rPr>
        <w:t>”</w:t>
      </w:r>
      <w:r>
        <w:rPr>
          <w:color w:val="auto"/>
          <w:highlight w:val="none"/>
        </w:rPr>
        <w:t>） 经办银行：</w:t>
      </w:r>
      <w:r>
        <w:rPr>
          <w:color w:val="auto"/>
          <w:highlight w:val="none"/>
          <w:u w:val="single"/>
        </w:rPr>
        <w:tab/>
      </w:r>
      <w:r>
        <w:rPr>
          <w:color w:val="auto"/>
          <w:highlight w:val="none"/>
          <w:u w:val="single"/>
        </w:rPr>
        <w:tab/>
      </w:r>
      <w:r>
        <w:rPr>
          <w:color w:val="auto"/>
          <w:highlight w:val="none"/>
        </w:rPr>
        <w:t>（以下简称</w:t>
      </w:r>
      <w:r>
        <w:rPr>
          <w:rFonts w:ascii="Times New Roman" w:hAnsi="Times New Roman" w:eastAsia="Times New Roman"/>
          <w:color w:val="auto"/>
          <w:highlight w:val="none"/>
        </w:rPr>
        <w:t>“</w:t>
      </w:r>
      <w:r>
        <w:rPr>
          <w:color w:val="auto"/>
          <w:highlight w:val="none"/>
        </w:rPr>
        <w:t>丙方</w:t>
      </w:r>
      <w:r>
        <w:rPr>
          <w:rFonts w:ascii="Times New Roman" w:hAnsi="Times New Roman" w:eastAsia="Times New Roman"/>
          <w:color w:val="auto"/>
          <w:highlight w:val="none"/>
        </w:rPr>
        <w:t>”</w:t>
      </w:r>
      <w:r>
        <w:rPr>
          <w:color w:val="auto"/>
          <w:highlight w:val="none"/>
        </w:rPr>
        <w:t>）</w:t>
      </w:r>
    </w:p>
    <w:p>
      <w:pPr>
        <w:pStyle w:val="20"/>
        <w:rPr>
          <w:color w:val="auto"/>
          <w:sz w:val="30"/>
          <w:highlight w:val="none"/>
        </w:rPr>
      </w:pPr>
    </w:p>
    <w:p>
      <w:pPr>
        <w:pStyle w:val="20"/>
        <w:tabs>
          <w:tab w:val="left" w:pos="2834"/>
          <w:tab w:val="left" w:pos="7784"/>
        </w:tabs>
        <w:spacing w:line="297" w:lineRule="auto"/>
        <w:ind w:left="424" w:right="260" w:firstLine="479"/>
        <w:rPr>
          <w:color w:val="auto"/>
          <w:highlight w:val="none"/>
        </w:rPr>
      </w:pPr>
      <w:r>
        <w:rPr>
          <w:color w:val="auto"/>
          <w:highlight w:val="none"/>
        </w:rPr>
        <w:t>为了促进</w:t>
      </w:r>
      <w:r>
        <w:rPr>
          <w:color w:val="auto"/>
          <w:highlight w:val="none"/>
          <w:u w:val="single"/>
        </w:rPr>
        <w:tab/>
      </w:r>
      <w:r>
        <w:rPr>
          <w:color w:val="auto"/>
          <w:highlight w:val="none"/>
        </w:rPr>
        <w:t>（项目名称）的顺利实施，管好用好建设资金，确保工程资金专款专用</w:t>
      </w:r>
      <w:r>
        <w:rPr>
          <w:color w:val="auto"/>
          <w:spacing w:val="-68"/>
          <w:highlight w:val="none"/>
        </w:rPr>
        <w:t>，</w:t>
      </w:r>
      <w:r>
        <w:rPr>
          <w:color w:val="auto"/>
          <w:highlight w:val="none"/>
        </w:rPr>
        <w:t>同时为承包人提供便捷有效的银行业务服务</w:t>
      </w:r>
      <w:r>
        <w:rPr>
          <w:color w:val="auto"/>
          <w:spacing w:val="-68"/>
          <w:highlight w:val="none"/>
        </w:rPr>
        <w:t>，</w:t>
      </w:r>
      <w:r>
        <w:rPr>
          <w:color w:val="auto"/>
          <w:highlight w:val="none"/>
        </w:rPr>
        <w:t>根据</w:t>
      </w:r>
      <w:r>
        <w:rPr>
          <w:color w:val="auto"/>
          <w:highlight w:val="none"/>
          <w:u w:val="single"/>
        </w:rPr>
        <w:tab/>
      </w:r>
      <w:r>
        <w:rPr>
          <w:color w:val="auto"/>
          <w:highlight w:val="none"/>
          <w:u w:val="single"/>
        </w:rPr>
        <w:t>（</w:t>
      </w:r>
      <w:r>
        <w:rPr>
          <w:color w:val="auto"/>
          <w:highlight w:val="none"/>
        </w:rPr>
        <w:t>项目名称） 合同条款有关规定，经甲、乙、丙三方协商，达成协议如下：</w:t>
      </w:r>
    </w:p>
    <w:p>
      <w:pPr>
        <w:pStyle w:val="86"/>
        <w:numPr>
          <w:ilvl w:val="0"/>
          <w:numId w:val="43"/>
        </w:numPr>
        <w:tabs>
          <w:tab w:val="left" w:pos="1205"/>
        </w:tabs>
        <w:spacing w:line="304" w:lineRule="exact"/>
        <w:ind w:firstLine="480"/>
        <w:rPr>
          <w:color w:val="auto"/>
          <w:sz w:val="24"/>
          <w:highlight w:val="none"/>
        </w:rPr>
      </w:pPr>
      <w:r>
        <w:rPr>
          <w:color w:val="auto"/>
          <w:sz w:val="24"/>
          <w:highlight w:val="none"/>
        </w:rPr>
        <w:t>资金管理的内容</w:t>
      </w:r>
    </w:p>
    <w:p>
      <w:pPr>
        <w:pStyle w:val="20"/>
        <w:tabs>
          <w:tab w:val="left" w:pos="3607"/>
        </w:tabs>
        <w:spacing w:before="72" w:line="297" w:lineRule="auto"/>
        <w:ind w:left="424" w:right="385" w:firstLine="479"/>
        <w:rPr>
          <w:color w:val="auto"/>
          <w:highlight w:val="none"/>
        </w:rPr>
      </w:pPr>
      <w:r>
        <w:rPr>
          <w:color w:val="auto"/>
          <w:spacing w:val="-10"/>
          <w:highlight w:val="none"/>
        </w:rPr>
        <w:t>（</w:t>
      </w:r>
      <w:r>
        <w:rPr>
          <w:rFonts w:ascii="Times New Roman" w:eastAsia="Times New Roman"/>
          <w:color w:val="auto"/>
          <w:spacing w:val="-10"/>
          <w:highlight w:val="none"/>
        </w:rPr>
        <w:t>1</w:t>
      </w:r>
      <w:r>
        <w:rPr>
          <w:color w:val="auto"/>
          <w:spacing w:val="-10"/>
          <w:highlight w:val="none"/>
        </w:rPr>
        <w:t>）</w:t>
      </w:r>
      <w:r>
        <w:rPr>
          <w:color w:val="auto"/>
          <w:highlight w:val="none"/>
        </w:rPr>
        <w:t>乙方为完成</w:t>
      </w:r>
      <w:r>
        <w:rPr>
          <w:color w:val="auto"/>
          <w:highlight w:val="none"/>
          <w:u w:val="single"/>
        </w:rPr>
        <w:tab/>
      </w:r>
      <w:r>
        <w:rPr>
          <w:color w:val="auto"/>
          <w:highlight w:val="none"/>
        </w:rPr>
        <w:t>（项目名称</w:t>
      </w:r>
      <w:r>
        <w:rPr>
          <w:color w:val="auto"/>
          <w:spacing w:val="-29"/>
          <w:highlight w:val="none"/>
        </w:rPr>
        <w:t>）</w:t>
      </w:r>
      <w:r>
        <w:rPr>
          <w:color w:val="auto"/>
          <w:highlight w:val="none"/>
        </w:rPr>
        <w:t>工程成立的项目经理部在丙方开设基本结算户；</w:t>
      </w:r>
    </w:p>
    <w:p>
      <w:pPr>
        <w:pStyle w:val="20"/>
        <w:spacing w:line="306" w:lineRule="exact"/>
        <w:ind w:left="904"/>
        <w:rPr>
          <w:color w:val="auto"/>
          <w:highlight w:val="none"/>
        </w:rPr>
      </w:pPr>
      <w:r>
        <w:rPr>
          <w:color w:val="auto"/>
          <w:highlight w:val="none"/>
        </w:rPr>
        <w:t>（</w:t>
      </w:r>
      <w:r>
        <w:rPr>
          <w:rFonts w:ascii="Times New Roman" w:eastAsia="Times New Roman"/>
          <w:color w:val="auto"/>
          <w:highlight w:val="none"/>
        </w:rPr>
        <w:t>2</w:t>
      </w:r>
      <w:r>
        <w:rPr>
          <w:color w:val="auto"/>
          <w:highlight w:val="none"/>
        </w:rPr>
        <w:t>）甲方应按合同规定将工程款汇入乙方在丙方开设的账户；</w:t>
      </w:r>
    </w:p>
    <w:p>
      <w:pPr>
        <w:pStyle w:val="20"/>
        <w:tabs>
          <w:tab w:val="left" w:pos="7265"/>
        </w:tabs>
        <w:spacing w:before="72"/>
        <w:ind w:left="904"/>
        <w:rPr>
          <w:color w:val="auto"/>
          <w:highlight w:val="none"/>
        </w:rPr>
      </w:pPr>
      <w:r>
        <w:rPr>
          <w:color w:val="auto"/>
          <w:highlight w:val="none"/>
        </w:rPr>
        <w:t>（</w:t>
      </w:r>
      <w:r>
        <w:rPr>
          <w:rFonts w:ascii="Times New Roman" w:eastAsia="Times New Roman"/>
          <w:color w:val="auto"/>
          <w:highlight w:val="none"/>
        </w:rPr>
        <w:t>3</w:t>
      </w:r>
      <w:r>
        <w:rPr>
          <w:color w:val="auto"/>
          <w:highlight w:val="none"/>
        </w:rPr>
        <w:t>）乙方应将流动资金及甲方所拨付资金专项用于</w:t>
      </w:r>
      <w:r>
        <w:rPr>
          <w:rFonts w:ascii="Times New Roman" w:eastAsia="Times New Roman"/>
          <w:color w:val="auto"/>
          <w:highlight w:val="none"/>
          <w:u w:val="single"/>
        </w:rPr>
        <w:tab/>
      </w:r>
      <w:r>
        <w:rPr>
          <w:color w:val="auto"/>
          <w:highlight w:val="none"/>
        </w:rPr>
        <w:t>（项目名称</w:t>
      </w:r>
      <w:r>
        <w:rPr>
          <w:color w:val="auto"/>
          <w:spacing w:val="-120"/>
          <w:highlight w:val="none"/>
        </w:rPr>
        <w:t>）</w:t>
      </w:r>
      <w:r>
        <w:rPr>
          <w:color w:val="auto"/>
          <w:highlight w:val="none"/>
        </w:rPr>
        <w:t>；</w:t>
      </w:r>
    </w:p>
    <w:p>
      <w:pPr>
        <w:pStyle w:val="20"/>
        <w:spacing w:before="74" w:line="295" w:lineRule="auto"/>
        <w:ind w:left="424" w:right="306" w:firstLine="479"/>
        <w:rPr>
          <w:color w:val="auto"/>
          <w:highlight w:val="none"/>
        </w:rPr>
      </w:pPr>
      <w:r>
        <w:rPr>
          <w:color w:val="auto"/>
          <w:highlight w:val="none"/>
        </w:rPr>
        <w:t>（</w:t>
      </w:r>
      <w:r>
        <w:rPr>
          <w:rFonts w:ascii="Times New Roman" w:eastAsia="Times New Roman"/>
          <w:color w:val="auto"/>
          <w:highlight w:val="none"/>
        </w:rPr>
        <w:t>4</w:t>
      </w:r>
      <w:r>
        <w:rPr>
          <w:color w:val="auto"/>
          <w:highlight w:val="none"/>
        </w:rPr>
        <w:t>）丙方应为乙方提供便捷有效的银行业务服务，并接受甲方委托对乙方在丙方开设的基本结算户资金使用情况进行监督。</w:t>
      </w:r>
    </w:p>
    <w:p>
      <w:pPr>
        <w:pStyle w:val="86"/>
        <w:numPr>
          <w:ilvl w:val="0"/>
          <w:numId w:val="43"/>
        </w:numPr>
        <w:tabs>
          <w:tab w:val="left" w:pos="1205"/>
        </w:tabs>
        <w:spacing w:before="2"/>
        <w:ind w:firstLine="480"/>
        <w:rPr>
          <w:color w:val="auto"/>
          <w:sz w:val="24"/>
          <w:highlight w:val="none"/>
        </w:rPr>
      </w:pPr>
      <w:r>
        <w:rPr>
          <w:color w:val="auto"/>
          <w:sz w:val="24"/>
          <w:highlight w:val="none"/>
        </w:rPr>
        <w:t>甲方的权责</w:t>
      </w:r>
    </w:p>
    <w:p>
      <w:pPr>
        <w:pStyle w:val="20"/>
        <w:tabs>
          <w:tab w:val="left" w:pos="2901"/>
        </w:tabs>
        <w:spacing w:before="74" w:line="295" w:lineRule="auto"/>
        <w:ind w:left="424" w:right="385" w:firstLine="479"/>
        <w:rPr>
          <w:color w:val="auto"/>
          <w:highlight w:val="none"/>
        </w:rPr>
      </w:pPr>
      <w:r>
        <w:rPr>
          <w:color w:val="auto"/>
          <w:spacing w:val="-8"/>
          <w:highlight w:val="none"/>
        </w:rPr>
        <w:t>（</w:t>
      </w:r>
      <w:r>
        <w:rPr>
          <w:rFonts w:ascii="Times New Roman" w:eastAsia="Times New Roman"/>
          <w:color w:val="auto"/>
          <w:spacing w:val="-8"/>
          <w:highlight w:val="none"/>
        </w:rPr>
        <w:t>1</w:t>
      </w:r>
      <w:r>
        <w:rPr>
          <w:color w:val="auto"/>
          <w:spacing w:val="-8"/>
          <w:highlight w:val="none"/>
        </w:rPr>
        <w:t>）</w:t>
      </w:r>
      <w:r>
        <w:rPr>
          <w:color w:val="auto"/>
          <w:highlight w:val="none"/>
        </w:rPr>
        <w:t>按照</w:t>
      </w:r>
      <w:r>
        <w:rPr>
          <w:color w:val="auto"/>
          <w:highlight w:val="none"/>
          <w:u w:val="single"/>
        </w:rPr>
        <w:tab/>
      </w:r>
      <w:r>
        <w:rPr>
          <w:color w:val="auto"/>
          <w:highlight w:val="none"/>
        </w:rPr>
        <w:t>（项目名称</w:t>
      </w:r>
      <w:r>
        <w:rPr>
          <w:color w:val="auto"/>
          <w:spacing w:val="-22"/>
          <w:highlight w:val="none"/>
        </w:rPr>
        <w:t>）</w:t>
      </w:r>
      <w:r>
        <w:rPr>
          <w:color w:val="auto"/>
          <w:highlight w:val="none"/>
        </w:rPr>
        <w:t>合同有关条款规定的时间和方式</w:t>
      </w:r>
      <w:r>
        <w:rPr>
          <w:color w:val="auto"/>
          <w:spacing w:val="-22"/>
          <w:highlight w:val="none"/>
        </w:rPr>
        <w:t>，</w:t>
      </w:r>
      <w:r>
        <w:rPr>
          <w:color w:val="auto"/>
          <w:highlight w:val="none"/>
        </w:rPr>
        <w:t>向乙方支付工程款；</w:t>
      </w:r>
    </w:p>
    <w:p>
      <w:pPr>
        <w:pStyle w:val="20"/>
        <w:spacing w:before="2" w:line="297" w:lineRule="auto"/>
        <w:ind w:left="424" w:right="306" w:firstLine="479"/>
        <w:rPr>
          <w:color w:val="auto"/>
          <w:highlight w:val="none"/>
        </w:rPr>
      </w:pPr>
      <w:r>
        <w:rPr>
          <w:color w:val="auto"/>
          <w:highlight w:val="none"/>
        </w:rPr>
        <w:t>（</w:t>
      </w:r>
      <w:r>
        <w:rPr>
          <w:rFonts w:ascii="Times New Roman" w:eastAsia="Times New Roman"/>
          <w:color w:val="auto"/>
          <w:highlight w:val="none"/>
        </w:rPr>
        <w:t>2</w:t>
      </w:r>
      <w:r>
        <w:rPr>
          <w:color w:val="auto"/>
          <w:highlight w:val="none"/>
        </w:rPr>
        <w:t>）在发现乙方将本项目资金挪用、转移时，甲方有权中止工程支付，直至乙方改正为止；</w:t>
      </w:r>
    </w:p>
    <w:p>
      <w:pPr>
        <w:pStyle w:val="20"/>
        <w:spacing w:line="295" w:lineRule="auto"/>
        <w:ind w:left="424" w:right="305" w:firstLine="479"/>
        <w:rPr>
          <w:color w:val="auto"/>
          <w:highlight w:val="none"/>
        </w:rPr>
      </w:pPr>
      <w:r>
        <w:rPr>
          <w:color w:val="auto"/>
          <w:highlight w:val="none"/>
        </w:rPr>
        <w:t>（</w:t>
      </w:r>
      <w:r>
        <w:rPr>
          <w:rFonts w:ascii="Times New Roman" w:eastAsia="Times New Roman"/>
          <w:color w:val="auto"/>
          <w:highlight w:val="none"/>
        </w:rPr>
        <w:t>3</w:t>
      </w:r>
      <w:r>
        <w:rPr>
          <w:color w:val="auto"/>
          <w:highlight w:val="none"/>
        </w:rPr>
        <w:t>）不定期审查丙方对乙方的资金使用监督情况，如丙方不能履行其责任，甲方有权随时终止本协议；</w:t>
      </w:r>
    </w:p>
    <w:p>
      <w:pPr>
        <w:pStyle w:val="20"/>
        <w:spacing w:before="3"/>
        <w:ind w:left="904"/>
        <w:rPr>
          <w:color w:val="auto"/>
          <w:highlight w:val="none"/>
        </w:rPr>
      </w:pPr>
      <w:r>
        <w:rPr>
          <w:color w:val="auto"/>
          <w:highlight w:val="none"/>
        </w:rPr>
        <w:t>（</w:t>
      </w:r>
      <w:r>
        <w:rPr>
          <w:rFonts w:ascii="Times New Roman" w:eastAsia="Times New Roman"/>
          <w:color w:val="auto"/>
          <w:highlight w:val="none"/>
        </w:rPr>
        <w:t>4</w:t>
      </w:r>
      <w:r>
        <w:rPr>
          <w:color w:val="auto"/>
          <w:highlight w:val="none"/>
        </w:rPr>
        <w:t>）在乙、丙双方发生争议时，甲方应负责协调、解决。</w:t>
      </w:r>
    </w:p>
    <w:p>
      <w:pPr>
        <w:pStyle w:val="86"/>
        <w:numPr>
          <w:ilvl w:val="0"/>
          <w:numId w:val="43"/>
        </w:numPr>
        <w:tabs>
          <w:tab w:val="left" w:pos="1205"/>
        </w:tabs>
        <w:spacing w:before="72"/>
        <w:ind w:firstLine="480"/>
        <w:rPr>
          <w:color w:val="auto"/>
          <w:sz w:val="24"/>
          <w:highlight w:val="none"/>
        </w:rPr>
      </w:pPr>
      <w:r>
        <w:rPr>
          <w:color w:val="auto"/>
          <w:sz w:val="24"/>
          <w:highlight w:val="none"/>
        </w:rPr>
        <w:t>乙方的权责</w:t>
      </w:r>
    </w:p>
    <w:p>
      <w:pPr>
        <w:pStyle w:val="20"/>
        <w:spacing w:before="71"/>
        <w:ind w:left="904"/>
        <w:rPr>
          <w:color w:val="auto"/>
          <w:highlight w:val="none"/>
        </w:rPr>
      </w:pPr>
      <w:r>
        <w:rPr>
          <w:color w:val="auto"/>
          <w:highlight w:val="none"/>
        </w:rPr>
        <w:t>（</w:t>
      </w:r>
      <w:r>
        <w:rPr>
          <w:rFonts w:ascii="Times New Roman" w:eastAsia="Times New Roman"/>
          <w:color w:val="auto"/>
          <w:highlight w:val="none"/>
        </w:rPr>
        <w:t>1</w:t>
      </w:r>
      <w:r>
        <w:rPr>
          <w:color w:val="auto"/>
          <w:highlight w:val="none"/>
        </w:rPr>
        <w:t>）项目经理部成立以后，乙方应尽快在丙方开设基本结算户；</w:t>
      </w:r>
    </w:p>
    <w:p>
      <w:pPr>
        <w:pStyle w:val="20"/>
        <w:spacing w:before="75" w:line="295" w:lineRule="auto"/>
        <w:ind w:left="424" w:right="306" w:firstLine="479"/>
        <w:rPr>
          <w:color w:val="auto"/>
          <w:highlight w:val="none"/>
        </w:rPr>
      </w:pPr>
      <w:r>
        <w:rPr>
          <w:color w:val="auto"/>
          <w:highlight w:val="none"/>
        </w:rPr>
        <w:t>（</w:t>
      </w:r>
      <w:r>
        <w:rPr>
          <w:rFonts w:ascii="Times New Roman" w:eastAsia="Times New Roman"/>
          <w:color w:val="auto"/>
          <w:highlight w:val="none"/>
        </w:rPr>
        <w:t>2</w:t>
      </w:r>
      <w:r>
        <w:rPr>
          <w:color w:val="auto"/>
          <w:highlight w:val="none"/>
        </w:rPr>
        <w:t>）确保本项目资金专款专用，不发生挪用、转移资金的现象；保证不通过权益转让、抵押、担保承担债务等任何其他方式使用基本结算户的资金；</w:t>
      </w:r>
    </w:p>
    <w:p>
      <w:pPr>
        <w:pStyle w:val="20"/>
        <w:spacing w:before="2" w:line="297" w:lineRule="auto"/>
        <w:ind w:left="424" w:right="265" w:firstLine="479"/>
        <w:jc w:val="both"/>
        <w:rPr>
          <w:color w:val="auto"/>
          <w:highlight w:val="none"/>
        </w:rPr>
      </w:pPr>
      <w:r>
        <w:rPr>
          <w:color w:val="auto"/>
          <w:spacing w:val="-8"/>
          <w:highlight w:val="none"/>
        </w:rPr>
        <w:t>（</w:t>
      </w:r>
      <w:r>
        <w:rPr>
          <w:rFonts w:ascii="Times New Roman" w:eastAsia="Times New Roman"/>
          <w:color w:val="auto"/>
          <w:spacing w:val="-8"/>
          <w:highlight w:val="none"/>
        </w:rPr>
        <w:t>3</w:t>
      </w:r>
      <w:r>
        <w:rPr>
          <w:color w:val="auto"/>
          <w:spacing w:val="-8"/>
          <w:highlight w:val="none"/>
        </w:rPr>
        <w:t>）</w:t>
      </w:r>
      <w:r>
        <w:rPr>
          <w:color w:val="auto"/>
          <w:spacing w:val="-5"/>
          <w:highlight w:val="none"/>
        </w:rPr>
        <w:t>办理材料、设备等采购业务金额在</w:t>
      </w:r>
      <w:r>
        <w:rPr>
          <w:color w:val="auto"/>
          <w:spacing w:val="-6"/>
          <w:highlight w:val="none"/>
        </w:rPr>
        <w:t>万元以上的，应出示购货合同、协议和发票；在办理总额超过</w:t>
      </w:r>
      <w:r>
        <w:rPr>
          <w:color w:val="auto"/>
          <w:highlight w:val="none"/>
        </w:rPr>
        <w:t>万元以上的采购业务时，应将合同、协议和发票复印件</w:t>
      </w:r>
      <w:r>
        <w:rPr>
          <w:color w:val="auto"/>
          <w:spacing w:val="-8"/>
          <w:highlight w:val="none"/>
        </w:rPr>
        <w:t>送丙方备案；购买应急材料、设备时可先办理支付手续，但事后必须补备有关资料；</w:t>
      </w:r>
    </w:p>
    <w:p>
      <w:pPr>
        <w:pStyle w:val="20"/>
        <w:spacing w:line="304" w:lineRule="exact"/>
        <w:ind w:left="904"/>
        <w:rPr>
          <w:color w:val="auto"/>
          <w:highlight w:val="none"/>
        </w:rPr>
      </w:pPr>
      <w:r>
        <w:rPr>
          <w:color w:val="auto"/>
          <w:highlight w:val="none"/>
        </w:rPr>
        <w:t>（</w:t>
      </w:r>
      <w:r>
        <w:rPr>
          <w:rFonts w:ascii="Times New Roman" w:eastAsia="Times New Roman"/>
          <w:color w:val="auto"/>
          <w:highlight w:val="none"/>
        </w:rPr>
        <w:t>4</w:t>
      </w:r>
      <w:r>
        <w:rPr>
          <w:color w:val="auto"/>
          <w:highlight w:val="none"/>
        </w:rPr>
        <w:t>）用银行转账支票办理支付款项时，必须将转账支票送交丙方，由丙方负责</w:t>
      </w:r>
    </w:p>
    <w:p>
      <w:pPr>
        <w:spacing w:line="304" w:lineRule="exact"/>
        <w:rPr>
          <w:color w:val="auto"/>
          <w:highlight w:val="none"/>
        </w:rPr>
        <w:sectPr>
          <w:pgSz w:w="11910" w:h="16850"/>
          <w:pgMar w:top="1418" w:right="1191" w:bottom="1418" w:left="1191" w:header="883" w:footer="884" w:gutter="0"/>
          <w:cols w:space="720" w:num="1"/>
        </w:sectPr>
      </w:pPr>
    </w:p>
    <w:p>
      <w:pPr>
        <w:pStyle w:val="20"/>
        <w:spacing w:before="9"/>
        <w:rPr>
          <w:color w:val="auto"/>
          <w:sz w:val="8"/>
          <w:highlight w:val="none"/>
        </w:rPr>
      </w:pPr>
    </w:p>
    <w:p>
      <w:pPr>
        <w:pStyle w:val="20"/>
        <w:spacing w:before="66"/>
        <w:ind w:left="424"/>
        <w:rPr>
          <w:color w:val="auto"/>
          <w:highlight w:val="none"/>
        </w:rPr>
      </w:pPr>
      <w:r>
        <w:rPr>
          <w:color w:val="auto"/>
          <w:highlight w:val="none"/>
        </w:rPr>
        <w:t>办理支票转付手续；</w:t>
      </w:r>
    </w:p>
    <w:p>
      <w:pPr>
        <w:pStyle w:val="20"/>
        <w:spacing w:before="72"/>
        <w:ind w:left="904"/>
        <w:rPr>
          <w:color w:val="auto"/>
          <w:highlight w:val="none"/>
        </w:rPr>
      </w:pPr>
      <w:r>
        <w:rPr>
          <w:color w:val="auto"/>
          <w:highlight w:val="none"/>
        </w:rPr>
        <w:t>（</w:t>
      </w:r>
      <w:r>
        <w:rPr>
          <w:rFonts w:ascii="Times New Roman" w:eastAsia="Times New Roman"/>
          <w:color w:val="auto"/>
          <w:highlight w:val="none"/>
        </w:rPr>
        <w:t>5</w:t>
      </w:r>
      <w:r>
        <w:rPr>
          <w:color w:val="auto"/>
          <w:highlight w:val="none"/>
        </w:rPr>
        <w:t>）向分包单位支付工程进度款时，应附甲方批准分包的文件；</w:t>
      </w:r>
    </w:p>
    <w:p>
      <w:pPr>
        <w:pStyle w:val="20"/>
        <w:spacing w:before="72" w:line="297" w:lineRule="auto"/>
        <w:ind w:left="424" w:right="306" w:firstLine="479"/>
        <w:rPr>
          <w:color w:val="auto"/>
          <w:highlight w:val="none"/>
        </w:rPr>
      </w:pPr>
      <w:r>
        <w:rPr>
          <w:color w:val="auto"/>
          <w:highlight w:val="none"/>
        </w:rPr>
        <w:t>（</w:t>
      </w:r>
      <w:r>
        <w:rPr>
          <w:rFonts w:ascii="Times New Roman" w:eastAsia="Times New Roman"/>
          <w:color w:val="auto"/>
          <w:highlight w:val="none"/>
        </w:rPr>
        <w:t>6</w:t>
      </w:r>
      <w:r>
        <w:rPr>
          <w:color w:val="auto"/>
          <w:highlight w:val="none"/>
        </w:rPr>
        <w:t>）向上级单位缴纳管理费、机械设备及周转材料租赁摊销费等款项时，应附上级单位出具的转账通知等有关资料，以确保资金专款专用。</w:t>
      </w:r>
    </w:p>
    <w:p>
      <w:pPr>
        <w:pStyle w:val="86"/>
        <w:numPr>
          <w:ilvl w:val="0"/>
          <w:numId w:val="43"/>
        </w:numPr>
        <w:tabs>
          <w:tab w:val="left" w:pos="1205"/>
        </w:tabs>
        <w:spacing w:line="306" w:lineRule="exact"/>
        <w:ind w:firstLine="480"/>
        <w:rPr>
          <w:color w:val="auto"/>
          <w:sz w:val="24"/>
          <w:highlight w:val="none"/>
        </w:rPr>
      </w:pPr>
      <w:r>
        <w:rPr>
          <w:color w:val="auto"/>
          <w:sz w:val="24"/>
          <w:highlight w:val="none"/>
        </w:rPr>
        <w:t>丙方的权责</w:t>
      </w:r>
    </w:p>
    <w:p>
      <w:pPr>
        <w:pStyle w:val="20"/>
        <w:tabs>
          <w:tab w:val="left" w:pos="2911"/>
        </w:tabs>
        <w:spacing w:before="71" w:line="297" w:lineRule="auto"/>
        <w:ind w:left="424" w:right="384" w:firstLine="479"/>
        <w:rPr>
          <w:color w:val="auto"/>
          <w:highlight w:val="none"/>
        </w:rPr>
      </w:pPr>
      <w:r>
        <w:rPr>
          <w:color w:val="auto"/>
          <w:spacing w:val="-6"/>
          <w:highlight w:val="none"/>
        </w:rPr>
        <w:t>（</w:t>
      </w:r>
      <w:r>
        <w:rPr>
          <w:rFonts w:ascii="Times New Roman" w:hAnsi="Times New Roman" w:eastAsia="Times New Roman"/>
          <w:color w:val="auto"/>
          <w:spacing w:val="-6"/>
          <w:highlight w:val="none"/>
        </w:rPr>
        <w:t>1</w:t>
      </w:r>
      <w:r>
        <w:rPr>
          <w:color w:val="auto"/>
          <w:spacing w:val="-6"/>
          <w:highlight w:val="none"/>
        </w:rPr>
        <w:t>）</w:t>
      </w:r>
      <w:r>
        <w:rPr>
          <w:color w:val="auto"/>
          <w:highlight w:val="none"/>
        </w:rPr>
        <w:t>成立</w:t>
      </w:r>
      <w:r>
        <w:rPr>
          <w:color w:val="auto"/>
          <w:highlight w:val="none"/>
          <w:u w:val="single"/>
        </w:rPr>
        <w:tab/>
      </w:r>
      <w:r>
        <w:rPr>
          <w:color w:val="auto"/>
          <w:highlight w:val="none"/>
        </w:rPr>
        <w:t>（项目名称</w:t>
      </w:r>
      <w:r>
        <w:rPr>
          <w:color w:val="auto"/>
          <w:spacing w:val="-17"/>
          <w:highlight w:val="none"/>
        </w:rPr>
        <w:t>）</w:t>
      </w:r>
      <w:r>
        <w:rPr>
          <w:color w:val="auto"/>
          <w:highlight w:val="none"/>
        </w:rPr>
        <w:t>工程资金管理服务小组</w:t>
      </w:r>
      <w:r>
        <w:rPr>
          <w:color w:val="auto"/>
          <w:spacing w:val="-17"/>
          <w:highlight w:val="none"/>
        </w:rPr>
        <w:t>，</w:t>
      </w:r>
      <w:r>
        <w:rPr>
          <w:color w:val="auto"/>
          <w:highlight w:val="none"/>
        </w:rPr>
        <w:t>明确业务流程</w:t>
      </w:r>
      <w:r>
        <w:rPr>
          <w:color w:val="auto"/>
          <w:spacing w:val="-17"/>
          <w:highlight w:val="none"/>
        </w:rPr>
        <w:t>，</w:t>
      </w:r>
      <w:r>
        <w:rPr>
          <w:color w:val="auto"/>
          <w:highlight w:val="none"/>
        </w:rPr>
        <w:t>提高工作效率，杜绝</w:t>
      </w:r>
      <w:r>
        <w:rPr>
          <w:rFonts w:ascii="Times New Roman" w:hAnsi="Times New Roman" w:eastAsia="Times New Roman"/>
          <w:color w:val="auto"/>
          <w:highlight w:val="none"/>
        </w:rPr>
        <w:t>“</w:t>
      </w:r>
      <w:r>
        <w:rPr>
          <w:color w:val="auto"/>
          <w:highlight w:val="none"/>
        </w:rPr>
        <w:t>压票</w:t>
      </w:r>
      <w:r>
        <w:rPr>
          <w:rFonts w:ascii="Times New Roman" w:hAnsi="Times New Roman" w:eastAsia="Times New Roman"/>
          <w:color w:val="auto"/>
          <w:highlight w:val="none"/>
        </w:rPr>
        <w:t>”</w:t>
      </w:r>
      <w:r>
        <w:rPr>
          <w:color w:val="auto"/>
          <w:highlight w:val="none"/>
        </w:rPr>
        <w:t>现象；</w:t>
      </w:r>
    </w:p>
    <w:p>
      <w:pPr>
        <w:pStyle w:val="20"/>
        <w:spacing w:line="297" w:lineRule="auto"/>
        <w:ind w:left="424" w:right="387" w:firstLine="479"/>
        <w:rPr>
          <w:color w:val="auto"/>
          <w:highlight w:val="none"/>
        </w:rPr>
      </w:pPr>
      <w:r>
        <w:rPr>
          <w:color w:val="auto"/>
          <w:highlight w:val="none"/>
        </w:rPr>
        <w:t>（</w:t>
      </w:r>
      <w:r>
        <w:rPr>
          <w:rFonts w:ascii="Times New Roman" w:eastAsia="Times New Roman"/>
          <w:color w:val="auto"/>
          <w:highlight w:val="none"/>
        </w:rPr>
        <w:t>2</w:t>
      </w:r>
      <w:r>
        <w:rPr>
          <w:color w:val="auto"/>
          <w:spacing w:val="-106"/>
          <w:highlight w:val="none"/>
        </w:rPr>
        <w:t>）</w:t>
      </w:r>
      <w:r>
        <w:rPr>
          <w:color w:val="auto"/>
          <w:spacing w:val="-30"/>
          <w:highlight w:val="none"/>
        </w:rPr>
        <w:t>根据乙方提供的购货合同、协议和发票，检查其所购材料、设备是否用于</w:t>
      </w:r>
      <w:r>
        <w:rPr>
          <w:color w:val="auto"/>
          <w:highlight w:val="none"/>
          <w:u w:val="single"/>
        </w:rPr>
        <w:t>（</w:t>
      </w:r>
      <w:r>
        <w:rPr>
          <w:color w:val="auto"/>
          <w:highlight w:val="none"/>
        </w:rPr>
        <w:t>项目名称）工程建设，对本标段以外的购货款项，有权拒绝办理，并及时报告甲方；</w:t>
      </w:r>
    </w:p>
    <w:p>
      <w:pPr>
        <w:pStyle w:val="20"/>
        <w:spacing w:line="295" w:lineRule="auto"/>
        <w:ind w:left="424" w:right="306" w:firstLine="479"/>
        <w:rPr>
          <w:color w:val="auto"/>
          <w:highlight w:val="none"/>
        </w:rPr>
      </w:pPr>
      <w:r>
        <w:rPr>
          <w:color w:val="auto"/>
          <w:highlight w:val="none"/>
        </w:rPr>
        <w:t>（</w:t>
      </w:r>
      <w:r>
        <w:rPr>
          <w:rFonts w:ascii="Times New Roman" w:eastAsia="Times New Roman"/>
          <w:color w:val="auto"/>
          <w:highlight w:val="none"/>
        </w:rPr>
        <w:t>3</w:t>
      </w:r>
      <w:r>
        <w:rPr>
          <w:color w:val="auto"/>
          <w:highlight w:val="none"/>
        </w:rPr>
        <w:t>）根据乙方与分包单位签订的合同及支付文件，检查其支付款项是否符合有关条件，向分包单位以外单位的支付有权拒绝办理，并及时报告甲方；</w:t>
      </w:r>
    </w:p>
    <w:p>
      <w:pPr>
        <w:pStyle w:val="20"/>
        <w:spacing w:line="297" w:lineRule="auto"/>
        <w:ind w:left="424" w:right="264" w:firstLine="479"/>
        <w:rPr>
          <w:color w:val="auto"/>
          <w:highlight w:val="none"/>
        </w:rPr>
      </w:pPr>
      <w:r>
        <w:rPr>
          <w:color w:val="auto"/>
          <w:spacing w:val="-10"/>
          <w:highlight w:val="none"/>
        </w:rPr>
        <w:t>（</w:t>
      </w:r>
      <w:r>
        <w:rPr>
          <w:rFonts w:ascii="Times New Roman" w:eastAsia="Times New Roman"/>
          <w:color w:val="auto"/>
          <w:spacing w:val="-10"/>
          <w:highlight w:val="none"/>
        </w:rPr>
        <w:t>4</w:t>
      </w:r>
      <w:r>
        <w:rPr>
          <w:color w:val="auto"/>
          <w:spacing w:val="-10"/>
          <w:highlight w:val="none"/>
        </w:rPr>
        <w:t>）</w:t>
      </w:r>
      <w:r>
        <w:rPr>
          <w:color w:val="auto"/>
          <w:spacing w:val="-3"/>
          <w:highlight w:val="none"/>
        </w:rPr>
        <w:t>根据乙方提供的上级单位出具的转账通知等有关资料，办理管理费、机械</w:t>
      </w:r>
      <w:r>
        <w:rPr>
          <w:color w:val="auto"/>
          <w:spacing w:val="-8"/>
          <w:highlight w:val="none"/>
        </w:rPr>
        <w:t>设备及周转材料租赁摊销费等款项的支付；对超出转账通知等有关资料以外的支付， 有权拒绝办理，并及时报告甲方；</w:t>
      </w:r>
    </w:p>
    <w:p>
      <w:pPr>
        <w:pStyle w:val="20"/>
        <w:spacing w:line="297" w:lineRule="auto"/>
        <w:ind w:left="424" w:right="306" w:firstLine="479"/>
        <w:rPr>
          <w:color w:val="auto"/>
          <w:highlight w:val="none"/>
        </w:rPr>
      </w:pPr>
      <w:r>
        <w:rPr>
          <w:color w:val="auto"/>
          <w:highlight w:val="none"/>
        </w:rPr>
        <w:t>（</w:t>
      </w:r>
      <w:r>
        <w:rPr>
          <w:rFonts w:ascii="Times New Roman" w:eastAsia="Times New Roman"/>
          <w:color w:val="auto"/>
          <w:highlight w:val="none"/>
        </w:rPr>
        <w:t>5</w:t>
      </w:r>
      <w:r>
        <w:rPr>
          <w:color w:val="auto"/>
          <w:highlight w:val="none"/>
        </w:rPr>
        <w:t>）定期将乙方前一个周期的支付情况，整理后书面报送甲方；乙方复印备案的材料一并送甲方。</w:t>
      </w:r>
    </w:p>
    <w:p>
      <w:pPr>
        <w:pStyle w:val="86"/>
        <w:numPr>
          <w:ilvl w:val="0"/>
          <w:numId w:val="43"/>
        </w:numPr>
        <w:tabs>
          <w:tab w:val="left" w:pos="1205"/>
        </w:tabs>
        <w:spacing w:line="295" w:lineRule="auto"/>
        <w:ind w:right="383" w:firstLine="480"/>
        <w:rPr>
          <w:color w:val="auto"/>
          <w:sz w:val="24"/>
          <w:highlight w:val="none"/>
        </w:rPr>
      </w:pPr>
      <w:r>
        <w:rPr>
          <w:color w:val="auto"/>
          <w:spacing w:val="-5"/>
          <w:sz w:val="24"/>
          <w:highlight w:val="none"/>
        </w:rPr>
        <w:t>甲、乙、丙三方都应履行保密责任，不得将其他两方的业务情况透露给三方以外的其他单位或个人。</w:t>
      </w:r>
    </w:p>
    <w:p>
      <w:pPr>
        <w:pStyle w:val="86"/>
        <w:numPr>
          <w:ilvl w:val="0"/>
          <w:numId w:val="43"/>
        </w:numPr>
        <w:tabs>
          <w:tab w:val="left" w:pos="1205"/>
        </w:tabs>
        <w:spacing w:line="295" w:lineRule="auto"/>
        <w:ind w:right="385" w:firstLine="480"/>
        <w:rPr>
          <w:color w:val="auto"/>
          <w:sz w:val="24"/>
          <w:highlight w:val="none"/>
        </w:rPr>
      </w:pPr>
      <w:r>
        <w:rPr>
          <w:color w:val="auto"/>
          <w:spacing w:val="-2"/>
          <w:sz w:val="24"/>
          <w:highlight w:val="none"/>
        </w:rPr>
        <w:t>本协议有效期自乙方在丙方开户起，至工程交工验收甲方向乙方颁发交工验收证书后结束。</w:t>
      </w:r>
    </w:p>
    <w:p>
      <w:pPr>
        <w:pStyle w:val="86"/>
        <w:numPr>
          <w:ilvl w:val="0"/>
          <w:numId w:val="43"/>
        </w:numPr>
        <w:tabs>
          <w:tab w:val="left" w:pos="1205"/>
        </w:tabs>
        <w:ind w:firstLine="480"/>
        <w:rPr>
          <w:color w:val="auto"/>
          <w:sz w:val="24"/>
          <w:highlight w:val="none"/>
        </w:rPr>
      </w:pPr>
      <w:r>
        <w:rPr>
          <w:color w:val="auto"/>
          <w:sz w:val="24"/>
          <w:highlight w:val="none"/>
        </w:rPr>
        <w:t>本协议未尽事宜，由甲方牵头，三方协商解决。</w:t>
      </w:r>
    </w:p>
    <w:p>
      <w:pPr>
        <w:pStyle w:val="86"/>
        <w:numPr>
          <w:ilvl w:val="0"/>
          <w:numId w:val="43"/>
        </w:numPr>
        <w:tabs>
          <w:tab w:val="left" w:pos="1205"/>
        </w:tabs>
        <w:spacing w:before="74" w:line="295" w:lineRule="auto"/>
        <w:ind w:right="384" w:firstLine="480"/>
        <w:rPr>
          <w:color w:val="auto"/>
          <w:sz w:val="24"/>
          <w:highlight w:val="none"/>
        </w:rPr>
      </w:pPr>
      <w:r>
        <w:rPr>
          <w:color w:val="auto"/>
          <w:spacing w:val="-1"/>
          <w:sz w:val="24"/>
          <w:highlight w:val="none"/>
        </w:rPr>
        <w:t>本协议正本三份、副本</w:t>
      </w:r>
      <w:r>
        <w:rPr>
          <w:color w:val="auto"/>
          <w:spacing w:val="-4"/>
          <w:sz w:val="24"/>
          <w:highlight w:val="none"/>
        </w:rPr>
        <w:t xml:space="preserve"> 份。合同三方各执正本一份、副本</w:t>
      </w:r>
      <w:r>
        <w:rPr>
          <w:color w:val="auto"/>
          <w:spacing w:val="-2"/>
          <w:sz w:val="24"/>
          <w:highlight w:val="none"/>
        </w:rPr>
        <w:t xml:space="preserve"> 份，当正本与副本内容不一致时，以正本为准。</w:t>
      </w:r>
    </w:p>
    <w:p>
      <w:pPr>
        <w:pStyle w:val="20"/>
        <w:spacing w:before="8"/>
        <w:rPr>
          <w:color w:val="auto"/>
          <w:sz w:val="23"/>
          <w:highlight w:val="none"/>
        </w:rPr>
      </w:pPr>
    </w:p>
    <w:p>
      <w:pPr>
        <w:pStyle w:val="20"/>
        <w:tabs>
          <w:tab w:val="left" w:pos="4504"/>
          <w:tab w:val="left" w:pos="4984"/>
        </w:tabs>
        <w:spacing w:line="266" w:lineRule="auto"/>
        <w:ind w:left="424" w:right="3539"/>
        <w:rPr>
          <w:color w:val="auto"/>
          <w:highlight w:val="none"/>
        </w:rPr>
      </w:pPr>
      <w:r>
        <w:rPr>
          <w:color w:val="auto"/>
          <w:highlight w:val="none"/>
        </w:rPr>
        <w:t>发包人：</w:t>
      </w:r>
      <w:r>
        <w:rPr>
          <w:color w:val="auto"/>
          <w:highlight w:val="none"/>
          <w:u w:val="single"/>
        </w:rPr>
        <w:tab/>
      </w:r>
      <w:r>
        <w:rPr>
          <w:color w:val="auto"/>
          <w:highlight w:val="none"/>
        </w:rPr>
        <w:t>（盖单位章） 法定代表人或其委托代理人：</w:t>
      </w:r>
      <w:r>
        <w:rPr>
          <w:color w:val="auto"/>
          <w:highlight w:val="none"/>
          <w:u w:val="single"/>
        </w:rPr>
        <w:tab/>
      </w:r>
      <w:r>
        <w:rPr>
          <w:color w:val="auto"/>
          <w:highlight w:val="none"/>
          <w:u w:val="single"/>
        </w:rPr>
        <w:tab/>
      </w:r>
      <w:r>
        <w:rPr>
          <w:color w:val="auto"/>
          <w:highlight w:val="none"/>
        </w:rPr>
        <w:t>（签字）</w:t>
      </w:r>
    </w:p>
    <w:p>
      <w:pPr>
        <w:pStyle w:val="20"/>
        <w:tabs>
          <w:tab w:val="left" w:pos="3424"/>
          <w:tab w:val="left" w:pos="4504"/>
          <w:tab w:val="left" w:pos="5400"/>
        </w:tabs>
        <w:spacing w:line="304" w:lineRule="exact"/>
        <w:ind w:left="2344"/>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spacing w:before="2"/>
        <w:rPr>
          <w:color w:val="auto"/>
          <w:sz w:val="29"/>
          <w:highlight w:val="none"/>
        </w:rPr>
      </w:pPr>
    </w:p>
    <w:p>
      <w:pPr>
        <w:pStyle w:val="20"/>
        <w:tabs>
          <w:tab w:val="left" w:pos="4504"/>
          <w:tab w:val="left" w:pos="4984"/>
        </w:tabs>
        <w:spacing w:before="1" w:line="264" w:lineRule="auto"/>
        <w:ind w:left="424" w:right="3539"/>
        <w:rPr>
          <w:color w:val="auto"/>
          <w:highlight w:val="none"/>
        </w:rPr>
      </w:pPr>
      <w:r>
        <w:rPr>
          <w:color w:val="auto"/>
          <w:highlight w:val="none"/>
        </w:rPr>
        <w:t>承包人：</w:t>
      </w:r>
      <w:r>
        <w:rPr>
          <w:color w:val="auto"/>
          <w:highlight w:val="none"/>
          <w:u w:val="single"/>
        </w:rPr>
        <w:tab/>
      </w:r>
      <w:r>
        <w:rPr>
          <w:color w:val="auto"/>
          <w:highlight w:val="none"/>
        </w:rPr>
        <w:t>（盖单位章） 法定代表人或其委托代理人：</w:t>
      </w:r>
      <w:r>
        <w:rPr>
          <w:color w:val="auto"/>
          <w:highlight w:val="none"/>
          <w:u w:val="single"/>
        </w:rPr>
        <w:tab/>
      </w:r>
      <w:r>
        <w:rPr>
          <w:color w:val="auto"/>
          <w:highlight w:val="none"/>
          <w:u w:val="single"/>
        </w:rPr>
        <w:tab/>
      </w:r>
      <w:r>
        <w:rPr>
          <w:color w:val="auto"/>
          <w:highlight w:val="none"/>
        </w:rPr>
        <w:t>（签字）</w:t>
      </w:r>
    </w:p>
    <w:p>
      <w:pPr>
        <w:pStyle w:val="20"/>
        <w:tabs>
          <w:tab w:val="left" w:pos="3424"/>
          <w:tab w:val="left" w:pos="4504"/>
          <w:tab w:val="left" w:pos="5400"/>
        </w:tabs>
        <w:spacing w:before="2"/>
        <w:ind w:left="2344"/>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rPr>
          <w:color w:val="auto"/>
          <w:sz w:val="29"/>
          <w:highlight w:val="none"/>
        </w:rPr>
      </w:pPr>
    </w:p>
    <w:p>
      <w:pPr>
        <w:pStyle w:val="20"/>
        <w:tabs>
          <w:tab w:val="left" w:pos="4504"/>
          <w:tab w:val="left" w:pos="4984"/>
        </w:tabs>
        <w:spacing w:line="266" w:lineRule="auto"/>
        <w:ind w:left="424" w:right="3539"/>
        <w:rPr>
          <w:color w:val="auto"/>
          <w:highlight w:val="none"/>
        </w:rPr>
      </w:pPr>
      <w:r>
        <w:rPr>
          <w:color w:val="auto"/>
          <w:highlight w:val="none"/>
        </w:rPr>
        <w:t>经办银行：</w:t>
      </w:r>
      <w:r>
        <w:rPr>
          <w:color w:val="auto"/>
          <w:highlight w:val="none"/>
          <w:u w:val="single"/>
        </w:rPr>
        <w:tab/>
      </w:r>
      <w:r>
        <w:rPr>
          <w:color w:val="auto"/>
          <w:highlight w:val="none"/>
        </w:rPr>
        <w:t>（盖单位章） 法定代表人或其委托代理人：</w:t>
      </w:r>
      <w:r>
        <w:rPr>
          <w:color w:val="auto"/>
          <w:highlight w:val="none"/>
          <w:u w:val="single"/>
        </w:rPr>
        <w:tab/>
      </w:r>
      <w:r>
        <w:rPr>
          <w:color w:val="auto"/>
          <w:highlight w:val="none"/>
          <w:u w:val="single"/>
        </w:rPr>
        <w:tab/>
      </w:r>
      <w:r>
        <w:rPr>
          <w:color w:val="auto"/>
          <w:highlight w:val="none"/>
        </w:rPr>
        <w:t>（签字）</w:t>
      </w:r>
    </w:p>
    <w:p>
      <w:pPr>
        <w:pStyle w:val="20"/>
        <w:tabs>
          <w:tab w:val="left" w:pos="3424"/>
          <w:tab w:val="left" w:pos="4504"/>
          <w:tab w:val="left" w:pos="5400"/>
        </w:tabs>
        <w:spacing w:line="307" w:lineRule="exact"/>
        <w:ind w:left="2344"/>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spacing w:line="307" w:lineRule="exact"/>
        <w:rPr>
          <w:color w:val="auto"/>
          <w:highlight w:val="none"/>
        </w:rPr>
        <w:sectPr>
          <w:pgSz w:w="11910" w:h="16850"/>
          <w:pgMar w:top="1418" w:right="1191" w:bottom="1418" w:left="1191" w:header="876" w:footer="853" w:gutter="0"/>
          <w:cols w:space="720" w:num="1"/>
        </w:sect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tabs>
          <w:tab w:val="left" w:pos="4483"/>
        </w:tabs>
        <w:spacing w:before="159"/>
        <w:ind w:left="2243"/>
        <w:outlineLvl w:val="1"/>
        <w:rPr>
          <w:rFonts w:ascii="黑体" w:eastAsia="黑体"/>
          <w:color w:val="auto"/>
          <w:sz w:val="56"/>
          <w:highlight w:val="none"/>
        </w:rPr>
      </w:pPr>
      <w:bookmarkStart w:id="4018" w:name="_Toc2946"/>
      <w:bookmarkStart w:id="4019" w:name="_Toc18307"/>
      <w:bookmarkStart w:id="4020" w:name="_Toc17261"/>
      <w:bookmarkStart w:id="4021" w:name="_Toc11474"/>
      <w:bookmarkStart w:id="4022" w:name="_Toc10358"/>
      <w:bookmarkStart w:id="4023" w:name="_Toc8558"/>
      <w:bookmarkStart w:id="4024" w:name="_Toc32247"/>
      <w:bookmarkStart w:id="4025" w:name="_Toc14378"/>
      <w:bookmarkStart w:id="4026" w:name="_Toc10554"/>
      <w:bookmarkStart w:id="4027" w:name="_Toc24400"/>
      <w:bookmarkStart w:id="4028" w:name="_Toc21639"/>
      <w:bookmarkStart w:id="4029" w:name="_Toc3745"/>
      <w:bookmarkStart w:id="4030" w:name="_Toc19374"/>
      <w:bookmarkStart w:id="4031" w:name="_Toc13872"/>
      <w:bookmarkStart w:id="4032" w:name="_Toc5408"/>
      <w:bookmarkStart w:id="4033" w:name="_Toc4490"/>
      <w:bookmarkStart w:id="4034" w:name="_Toc31310"/>
      <w:bookmarkStart w:id="4035" w:name="_Toc2713"/>
      <w:bookmarkStart w:id="4036" w:name="_Toc28421"/>
      <w:bookmarkStart w:id="4037" w:name="_Toc1787"/>
      <w:bookmarkStart w:id="4038" w:name="_Toc25099"/>
      <w:bookmarkStart w:id="4039" w:name="_Toc11030"/>
      <w:bookmarkStart w:id="4040" w:name="_Toc24666"/>
      <w:bookmarkStart w:id="4041" w:name="_Toc31561"/>
      <w:bookmarkStart w:id="4042" w:name="_Toc5108"/>
      <w:bookmarkStart w:id="4043" w:name="_Toc24244"/>
      <w:bookmarkStart w:id="4044" w:name="_Toc18107"/>
      <w:bookmarkStart w:id="4045" w:name="_Toc3078"/>
      <w:r>
        <w:rPr>
          <w:rFonts w:hint="eastAsia" w:ascii="黑体" w:eastAsia="黑体"/>
          <w:color w:val="auto"/>
          <w:sz w:val="56"/>
          <w:highlight w:val="none"/>
        </w:rPr>
        <w:t>第五章</w:t>
      </w:r>
      <w:r>
        <w:rPr>
          <w:rFonts w:hint="eastAsia" w:ascii="黑体" w:eastAsia="黑体"/>
          <w:color w:val="auto"/>
          <w:sz w:val="56"/>
          <w:highlight w:val="none"/>
        </w:rPr>
        <w:tab/>
      </w:r>
      <w:r>
        <w:rPr>
          <w:rFonts w:hint="eastAsia" w:ascii="黑体" w:eastAsia="黑体"/>
          <w:color w:val="auto"/>
          <w:sz w:val="56"/>
          <w:highlight w:val="none"/>
        </w:rPr>
        <w:t>工程量清单</w:t>
      </w:r>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p>
    <w:p>
      <w:pPr>
        <w:rPr>
          <w:rFonts w:ascii="黑体" w:eastAsia="黑体"/>
          <w:color w:val="auto"/>
          <w:sz w:val="56"/>
          <w:highlight w:val="none"/>
        </w:rPr>
      </w:pPr>
    </w:p>
    <w:p>
      <w:pPr>
        <w:jc w:val="center"/>
        <w:rPr>
          <w:rFonts w:hint="default" w:ascii="黑体" w:eastAsia="黑体"/>
          <w:color w:val="auto"/>
          <w:sz w:val="56"/>
          <w:highlight w:val="none"/>
          <w:lang w:val="en-US" w:eastAsia="zh-CN"/>
        </w:rPr>
        <w:sectPr>
          <w:footerReference r:id="rId38" w:type="default"/>
          <w:pgSz w:w="11907" w:h="16840"/>
          <w:pgMar w:top="1418" w:right="1191" w:bottom="1418" w:left="1191" w:header="873" w:footer="851" w:gutter="0"/>
          <w:cols w:space="720" w:num="1"/>
        </w:sectPr>
      </w:pPr>
      <w:r>
        <w:rPr>
          <w:rFonts w:hint="eastAsia" w:ascii="黑体" w:eastAsia="黑体"/>
          <w:color w:val="auto"/>
          <w:sz w:val="56"/>
          <w:highlight w:val="none"/>
          <w:lang w:val="en-US" w:eastAsia="zh-CN"/>
        </w:rPr>
        <w:t>（另附）</w:t>
      </w:r>
    </w:p>
    <w:p>
      <w:pPr>
        <w:pStyle w:val="20"/>
        <w:rPr>
          <w:color w:val="auto"/>
          <w:sz w:val="20"/>
          <w:highlight w:val="none"/>
        </w:rPr>
      </w:pPr>
      <w:bookmarkStart w:id="4046" w:name="_bookmark277"/>
      <w:bookmarkEnd w:id="4046"/>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spacing w:before="1"/>
        <w:rPr>
          <w:color w:val="auto"/>
          <w:sz w:val="26"/>
          <w:highlight w:val="none"/>
        </w:rPr>
      </w:pPr>
    </w:p>
    <w:p>
      <w:pPr>
        <w:tabs>
          <w:tab w:val="left" w:pos="4182"/>
          <w:tab w:val="left" w:pos="5704"/>
        </w:tabs>
        <w:spacing w:line="968" w:lineRule="exact"/>
        <w:jc w:val="center"/>
        <w:outlineLvl w:val="0"/>
        <w:rPr>
          <w:rFonts w:ascii="黑体" w:eastAsia="黑体"/>
          <w:color w:val="auto"/>
          <w:sz w:val="76"/>
          <w:highlight w:val="none"/>
        </w:rPr>
      </w:pPr>
      <w:bookmarkStart w:id="4047" w:name="_Toc7808"/>
      <w:bookmarkStart w:id="4048" w:name="_Toc11162"/>
      <w:bookmarkStart w:id="4049" w:name="_Toc22915"/>
      <w:bookmarkStart w:id="4050" w:name="_Toc13322"/>
      <w:bookmarkStart w:id="4051" w:name="_Toc24837"/>
      <w:bookmarkStart w:id="4052" w:name="_Toc14416"/>
      <w:bookmarkStart w:id="4053" w:name="_Toc24724"/>
      <w:bookmarkStart w:id="4054" w:name="_Toc29622"/>
      <w:bookmarkStart w:id="4055" w:name="_Toc3780"/>
      <w:bookmarkStart w:id="4056" w:name="_Toc15833"/>
      <w:bookmarkStart w:id="4057" w:name="_Toc10388"/>
      <w:bookmarkStart w:id="4058" w:name="_Toc32547"/>
      <w:bookmarkStart w:id="4059" w:name="_Toc11437"/>
      <w:bookmarkStart w:id="4060" w:name="_Toc5588"/>
      <w:bookmarkStart w:id="4061" w:name="_Toc12776"/>
      <w:bookmarkStart w:id="4062" w:name="_Toc7859"/>
      <w:bookmarkStart w:id="4063" w:name="_Toc8530"/>
      <w:bookmarkStart w:id="4064" w:name="_Toc31611"/>
      <w:bookmarkStart w:id="4065" w:name="_Toc30779"/>
      <w:bookmarkStart w:id="4066" w:name="_Toc21215"/>
      <w:bookmarkStart w:id="4067" w:name="_Toc31078"/>
      <w:bookmarkStart w:id="4068" w:name="_Toc11802"/>
      <w:r>
        <w:rPr>
          <w:rFonts w:hint="eastAsia" w:ascii="黑体" w:eastAsia="黑体"/>
          <w:color w:val="auto"/>
          <w:sz w:val="76"/>
          <w:highlight w:val="none"/>
        </w:rPr>
        <w:t>第二卷</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p>
    <w:p>
      <w:pPr>
        <w:pStyle w:val="20"/>
        <w:rPr>
          <w:rFonts w:ascii="黑体"/>
          <w:color w:val="auto"/>
          <w:sz w:val="20"/>
          <w:highlight w:val="none"/>
        </w:rPr>
        <w:sectPr>
          <w:footerReference r:id="rId39" w:type="default"/>
          <w:pgSz w:w="11907" w:h="16840"/>
          <w:pgMar w:top="1418" w:right="1191" w:bottom="1418" w:left="1191" w:header="873" w:footer="851"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tabs>
          <w:tab w:val="left" w:pos="4002"/>
        </w:tabs>
        <w:spacing w:before="169"/>
        <w:ind w:left="1762"/>
        <w:outlineLvl w:val="1"/>
        <w:rPr>
          <w:rFonts w:ascii="黑体"/>
          <w:color w:val="auto"/>
          <w:sz w:val="20"/>
          <w:highlight w:val="none"/>
        </w:rPr>
      </w:pPr>
      <w:bookmarkStart w:id="4069" w:name="_bookmark283"/>
      <w:bookmarkEnd w:id="4069"/>
      <w:bookmarkStart w:id="4070" w:name="_Toc2283"/>
      <w:bookmarkStart w:id="4071" w:name="_Toc4618"/>
      <w:bookmarkStart w:id="4072" w:name="_Toc32227"/>
      <w:bookmarkStart w:id="4073" w:name="_Toc9729"/>
      <w:bookmarkStart w:id="4074" w:name="_Toc9104"/>
      <w:bookmarkStart w:id="4075" w:name="_Toc19439"/>
      <w:bookmarkStart w:id="4076" w:name="_Toc11113"/>
      <w:bookmarkStart w:id="4077" w:name="_Toc18066"/>
      <w:bookmarkStart w:id="4078" w:name="_Toc2430"/>
      <w:bookmarkStart w:id="4079" w:name="_Toc18196"/>
      <w:bookmarkStart w:id="4080" w:name="_Toc27801"/>
      <w:bookmarkStart w:id="4081" w:name="_Toc5001"/>
      <w:bookmarkStart w:id="4082" w:name="_Toc20996"/>
      <w:bookmarkStart w:id="4083" w:name="_Toc1991"/>
      <w:bookmarkStart w:id="4084" w:name="_Toc12856"/>
      <w:bookmarkStart w:id="4085" w:name="_Toc15474"/>
      <w:bookmarkStart w:id="4086" w:name="_Toc21479"/>
      <w:bookmarkStart w:id="4087" w:name="_Toc8387"/>
      <w:bookmarkStart w:id="4088" w:name="_Toc20485"/>
      <w:bookmarkStart w:id="4089" w:name="_Toc23583"/>
      <w:bookmarkStart w:id="4090" w:name="_Toc14417"/>
      <w:bookmarkStart w:id="4091" w:name="_Toc1596"/>
      <w:bookmarkStart w:id="4092" w:name="_Toc18603"/>
      <w:bookmarkStart w:id="4093" w:name="_Toc17506"/>
      <w:bookmarkStart w:id="4094" w:name="_Toc13604"/>
      <w:bookmarkStart w:id="4095" w:name="_Toc23754"/>
      <w:bookmarkStart w:id="4096" w:name="_Toc32735"/>
      <w:r>
        <w:rPr>
          <w:rFonts w:hint="eastAsia" w:ascii="黑体" w:eastAsia="黑体"/>
          <w:color w:val="auto"/>
          <w:sz w:val="56"/>
          <w:highlight w:val="none"/>
        </w:rPr>
        <w:t>第六章</w:t>
      </w:r>
      <w:r>
        <w:rPr>
          <w:rFonts w:hint="eastAsia" w:ascii="黑体" w:eastAsia="黑体"/>
          <w:color w:val="auto"/>
          <w:sz w:val="56"/>
          <w:highlight w:val="none"/>
        </w:rPr>
        <w:tab/>
      </w:r>
      <w:r>
        <w:rPr>
          <w:rFonts w:hint="eastAsia" w:ascii="黑体" w:eastAsia="黑体"/>
          <w:color w:val="auto"/>
          <w:sz w:val="56"/>
          <w:highlight w:val="none"/>
        </w:rPr>
        <w:t>图纸（另册）</w:t>
      </w:r>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p>
    <w:p>
      <w:pPr>
        <w:rPr>
          <w:rFonts w:ascii="黑体"/>
          <w:color w:val="auto"/>
          <w:sz w:val="20"/>
          <w:highlight w:val="none"/>
        </w:rPr>
        <w:sectPr>
          <w:pgSz w:w="11907" w:h="16840"/>
          <w:pgMar w:top="1418" w:right="1191" w:bottom="1418" w:left="1191" w:header="873" w:footer="851" w:gutter="0"/>
          <w:cols w:space="720" w:num="1"/>
        </w:sectPr>
      </w:pPr>
    </w:p>
    <w:p>
      <w:pPr>
        <w:rPr>
          <w:rFonts w:ascii="黑体"/>
          <w:color w:val="auto"/>
          <w:sz w:val="20"/>
          <w:highlight w:val="none"/>
        </w:rPr>
      </w:pPr>
    </w:p>
    <w:p>
      <w:pPr>
        <w:rPr>
          <w:rFonts w:ascii="黑体"/>
          <w:color w:val="auto"/>
          <w:sz w:val="20"/>
          <w:highlight w:val="none"/>
        </w:rPr>
      </w:pPr>
    </w:p>
    <w:p>
      <w:pPr>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spacing w:before="5"/>
        <w:rPr>
          <w:rFonts w:ascii="黑体"/>
          <w:color w:val="auto"/>
          <w:sz w:val="26"/>
          <w:highlight w:val="none"/>
        </w:rPr>
      </w:pPr>
    </w:p>
    <w:p>
      <w:pPr>
        <w:tabs>
          <w:tab w:val="left" w:pos="4182"/>
          <w:tab w:val="left" w:pos="5704"/>
        </w:tabs>
        <w:spacing w:line="968" w:lineRule="exact"/>
        <w:jc w:val="center"/>
        <w:outlineLvl w:val="0"/>
        <w:rPr>
          <w:rFonts w:ascii="黑体" w:eastAsia="黑体"/>
          <w:color w:val="auto"/>
          <w:sz w:val="76"/>
          <w:highlight w:val="none"/>
        </w:rPr>
      </w:pPr>
      <w:bookmarkStart w:id="4097" w:name="_Toc27698"/>
      <w:bookmarkStart w:id="4098" w:name="_Toc13896"/>
      <w:bookmarkStart w:id="4099" w:name="_Toc10666"/>
      <w:bookmarkStart w:id="4100" w:name="_Toc1370"/>
      <w:bookmarkStart w:id="4101" w:name="_Toc23093"/>
      <w:bookmarkStart w:id="4102" w:name="_Toc31373"/>
      <w:bookmarkStart w:id="4103" w:name="_Toc20628"/>
      <w:bookmarkStart w:id="4104" w:name="_Toc31203"/>
      <w:bookmarkStart w:id="4105" w:name="_Toc22391"/>
      <w:bookmarkStart w:id="4106" w:name="_Toc31920"/>
      <w:bookmarkStart w:id="4107" w:name="_Toc19688"/>
      <w:bookmarkStart w:id="4108" w:name="_Toc30665"/>
      <w:bookmarkStart w:id="4109" w:name="_Toc27460"/>
      <w:bookmarkStart w:id="4110" w:name="_Toc24267"/>
      <w:bookmarkStart w:id="4111" w:name="_Toc14280"/>
      <w:bookmarkStart w:id="4112" w:name="_Toc28604"/>
      <w:bookmarkStart w:id="4113" w:name="_Toc17124"/>
      <w:bookmarkStart w:id="4114" w:name="_Toc7483"/>
      <w:bookmarkStart w:id="4115" w:name="_Toc6975"/>
      <w:bookmarkStart w:id="4116" w:name="_Toc12307"/>
      <w:bookmarkStart w:id="4117" w:name="_Toc26233"/>
      <w:bookmarkStart w:id="4118" w:name="_Toc2484"/>
      <w:bookmarkStart w:id="4119" w:name="_Toc24818"/>
      <w:bookmarkStart w:id="4120" w:name="_Toc15033"/>
      <w:bookmarkStart w:id="4121" w:name="_Toc14087"/>
      <w:bookmarkStart w:id="4122" w:name="_Toc24853"/>
      <w:bookmarkStart w:id="4123" w:name="_Toc25917"/>
      <w:r>
        <w:rPr>
          <w:rFonts w:hint="eastAsia" w:ascii="黑体" w:eastAsia="黑体"/>
          <w:color w:val="auto"/>
          <w:sz w:val="76"/>
          <w:highlight w:val="none"/>
        </w:rPr>
        <w:t>第三卷</w:t>
      </w:r>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p>
    <w:p>
      <w:pPr>
        <w:spacing w:line="968" w:lineRule="exact"/>
        <w:rPr>
          <w:rFonts w:ascii="黑体" w:eastAsia="黑体"/>
          <w:color w:val="auto"/>
          <w:sz w:val="76"/>
          <w:highlight w:val="none"/>
        </w:rPr>
      </w:pPr>
    </w:p>
    <w:p>
      <w:pPr>
        <w:rPr>
          <w:rFonts w:ascii="黑体" w:eastAsia="黑体"/>
          <w:color w:val="auto"/>
          <w:sz w:val="76"/>
          <w:highlight w:val="none"/>
        </w:rPr>
      </w:pPr>
    </w:p>
    <w:p>
      <w:pPr>
        <w:rPr>
          <w:rFonts w:ascii="黑体" w:eastAsia="黑体"/>
          <w:color w:val="auto"/>
          <w:sz w:val="76"/>
          <w:highlight w:val="none"/>
        </w:rPr>
      </w:pPr>
    </w:p>
    <w:p>
      <w:pPr>
        <w:rPr>
          <w:rFonts w:ascii="黑体" w:eastAsia="黑体"/>
          <w:color w:val="auto"/>
          <w:sz w:val="76"/>
          <w:highlight w:val="none"/>
        </w:rPr>
        <w:sectPr>
          <w:pgSz w:w="11907" w:h="16840"/>
          <w:pgMar w:top="1418" w:right="1191" w:bottom="1418" w:left="1191" w:header="873" w:footer="851"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tabs>
          <w:tab w:val="left" w:pos="3443"/>
        </w:tabs>
        <w:spacing w:before="169"/>
        <w:ind w:left="1203"/>
        <w:outlineLvl w:val="1"/>
        <w:rPr>
          <w:rFonts w:ascii="黑体" w:eastAsia="黑体"/>
          <w:color w:val="auto"/>
          <w:sz w:val="56"/>
          <w:highlight w:val="none"/>
        </w:rPr>
      </w:pPr>
      <w:bookmarkStart w:id="4124" w:name="_bookmark284"/>
      <w:bookmarkEnd w:id="4124"/>
      <w:bookmarkStart w:id="4125" w:name="_Toc13162"/>
      <w:bookmarkStart w:id="4126" w:name="_Toc4391"/>
      <w:bookmarkStart w:id="4127" w:name="_Toc24335"/>
      <w:bookmarkStart w:id="4128" w:name="_Toc25831"/>
      <w:bookmarkStart w:id="4129" w:name="_Toc9898"/>
      <w:bookmarkStart w:id="4130" w:name="_Toc27708"/>
      <w:bookmarkStart w:id="4131" w:name="_Toc17987"/>
      <w:bookmarkStart w:id="4132" w:name="_Toc928"/>
      <w:bookmarkStart w:id="4133" w:name="_Toc25425"/>
      <w:bookmarkStart w:id="4134" w:name="_Toc22363"/>
      <w:bookmarkStart w:id="4135" w:name="_Toc32181"/>
      <w:bookmarkStart w:id="4136" w:name="_Toc28424"/>
      <w:bookmarkStart w:id="4137" w:name="_Toc29728"/>
      <w:bookmarkStart w:id="4138" w:name="_Toc23300"/>
      <w:bookmarkStart w:id="4139" w:name="_Toc7644"/>
      <w:bookmarkStart w:id="4140" w:name="_Toc9024"/>
      <w:bookmarkStart w:id="4141" w:name="_Toc22204"/>
      <w:bookmarkStart w:id="4142" w:name="_Toc18186"/>
      <w:bookmarkStart w:id="4143" w:name="_Toc31076"/>
      <w:bookmarkStart w:id="4144" w:name="_Toc18155"/>
      <w:bookmarkStart w:id="4145" w:name="_Toc15251"/>
      <w:bookmarkStart w:id="4146" w:name="_Toc540"/>
      <w:bookmarkStart w:id="4147" w:name="_Toc29587"/>
      <w:bookmarkStart w:id="4148" w:name="_Toc7183"/>
      <w:bookmarkStart w:id="4149" w:name="_Toc82"/>
      <w:bookmarkStart w:id="4150" w:name="_Toc16532"/>
      <w:bookmarkStart w:id="4151" w:name="_Toc4632"/>
      <w:bookmarkStart w:id="4152" w:name="_Toc19221"/>
      <w:r>
        <w:rPr>
          <w:rFonts w:hint="eastAsia" w:ascii="黑体" w:eastAsia="黑体"/>
          <w:color w:val="auto"/>
          <w:sz w:val="56"/>
          <w:highlight w:val="none"/>
        </w:rPr>
        <w:t>第七章</w:t>
      </w:r>
      <w:r>
        <w:rPr>
          <w:rFonts w:hint="eastAsia" w:ascii="黑体" w:eastAsia="黑体"/>
          <w:color w:val="auto"/>
          <w:sz w:val="56"/>
          <w:highlight w:val="none"/>
        </w:rPr>
        <w:tab/>
      </w:r>
      <w:r>
        <w:rPr>
          <w:rFonts w:hint="eastAsia" w:ascii="黑体" w:eastAsia="黑体"/>
          <w:color w:val="auto"/>
          <w:sz w:val="56"/>
          <w:highlight w:val="none"/>
        </w:rPr>
        <w:t>技术规范（另册）</w:t>
      </w:r>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p>
    <w:p>
      <w:pPr>
        <w:shd w:val="clear" w:color="auto" w:fill="FFFFFF"/>
        <w:adjustRightInd w:val="0"/>
        <w:snapToGrid w:val="0"/>
        <w:spacing w:line="360" w:lineRule="auto"/>
        <w:ind w:firstLine="640" w:firstLineChars="200"/>
        <w:rPr>
          <w:rFonts w:asciiTheme="minorEastAsia" w:hAnsiTheme="minorEastAsia" w:eastAsiaTheme="minorEastAsia"/>
          <w:color w:val="auto"/>
          <w:sz w:val="32"/>
          <w:szCs w:val="32"/>
          <w:highlight w:val="none"/>
        </w:rPr>
      </w:pPr>
    </w:p>
    <w:p>
      <w:pPr>
        <w:shd w:val="clear" w:color="auto" w:fill="FFFFFF"/>
        <w:adjustRightInd w:val="0"/>
        <w:snapToGrid w:val="0"/>
        <w:spacing w:line="360" w:lineRule="auto"/>
        <w:ind w:firstLine="640" w:firstLineChars="200"/>
        <w:rPr>
          <w:rFonts w:asciiTheme="minorEastAsia" w:hAnsiTheme="minorEastAsia" w:eastAsiaTheme="minorEastAsia"/>
          <w:color w:val="auto"/>
          <w:sz w:val="32"/>
          <w:szCs w:val="32"/>
          <w:highlight w:val="none"/>
        </w:rPr>
      </w:pPr>
    </w:p>
    <w:p>
      <w:pPr>
        <w:shd w:val="clear" w:color="auto" w:fill="FFFFFF"/>
        <w:adjustRightInd w:val="0"/>
        <w:snapToGrid w:val="0"/>
        <w:spacing w:line="360" w:lineRule="auto"/>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参见</w:t>
      </w:r>
      <w:r>
        <w:rPr>
          <w:rFonts w:asciiTheme="minorEastAsia" w:hAnsiTheme="minorEastAsia" w:eastAsiaTheme="minorEastAsia"/>
          <w:color w:val="auto"/>
          <w:sz w:val="32"/>
          <w:szCs w:val="32"/>
          <w:highlight w:val="none"/>
        </w:rPr>
        <w:t>中华人民共和国交通运输部</w:t>
      </w:r>
      <w:r>
        <w:rPr>
          <w:rFonts w:hint="eastAsia" w:asciiTheme="minorEastAsia" w:hAnsiTheme="minorEastAsia" w:eastAsiaTheme="minorEastAsia"/>
          <w:color w:val="auto"/>
          <w:sz w:val="32"/>
          <w:szCs w:val="32"/>
          <w:highlight w:val="none"/>
        </w:rPr>
        <w:t>《</w:t>
      </w:r>
      <w:r>
        <w:rPr>
          <w:rFonts w:asciiTheme="minorEastAsia" w:hAnsiTheme="minorEastAsia" w:eastAsiaTheme="minorEastAsia"/>
          <w:color w:val="auto"/>
          <w:sz w:val="32"/>
          <w:szCs w:val="32"/>
          <w:highlight w:val="none"/>
        </w:rPr>
        <w:t>公路工程标准施工招标文件</w:t>
      </w:r>
      <w:r>
        <w:rPr>
          <w:rFonts w:hint="eastAsia" w:asciiTheme="minorEastAsia" w:hAnsiTheme="minorEastAsia" w:eastAsiaTheme="minorEastAsia"/>
          <w:color w:val="auto"/>
          <w:sz w:val="32"/>
          <w:szCs w:val="32"/>
          <w:highlight w:val="none"/>
        </w:rPr>
        <w:t>》</w:t>
      </w:r>
      <w:r>
        <w:rPr>
          <w:rFonts w:asciiTheme="minorEastAsia" w:hAnsiTheme="minorEastAsia" w:eastAsiaTheme="minorEastAsia"/>
          <w:color w:val="auto"/>
          <w:sz w:val="32"/>
          <w:szCs w:val="32"/>
          <w:highlight w:val="none"/>
        </w:rPr>
        <w:t>（ 2018 年版）第七章</w:t>
      </w:r>
      <w:r>
        <w:rPr>
          <w:rFonts w:hint="eastAsia" w:asciiTheme="minorEastAsia" w:hAnsiTheme="minorEastAsia" w:eastAsiaTheme="minorEastAsia"/>
          <w:color w:val="auto"/>
          <w:sz w:val="32"/>
          <w:szCs w:val="32"/>
          <w:highlight w:val="none"/>
        </w:rPr>
        <w:t>“</w:t>
      </w:r>
      <w:r>
        <w:rPr>
          <w:rFonts w:asciiTheme="minorEastAsia" w:hAnsiTheme="minorEastAsia" w:eastAsiaTheme="minorEastAsia"/>
          <w:color w:val="auto"/>
          <w:sz w:val="32"/>
          <w:szCs w:val="32"/>
          <w:highlight w:val="none"/>
        </w:rPr>
        <w:t>技术规范</w:t>
      </w:r>
      <w:r>
        <w:rPr>
          <w:rFonts w:hint="eastAsia" w:asciiTheme="minorEastAsia" w:hAnsiTheme="minorEastAsia" w:eastAsiaTheme="minorEastAsia"/>
          <w:color w:val="auto"/>
          <w:sz w:val="32"/>
          <w:szCs w:val="32"/>
          <w:highlight w:val="none"/>
        </w:rPr>
        <w:t>”内容。</w:t>
      </w:r>
    </w:p>
    <w:p>
      <w:pPr>
        <w:tabs>
          <w:tab w:val="left" w:pos="3443"/>
        </w:tabs>
        <w:spacing w:before="169"/>
        <w:ind w:left="1203"/>
        <w:rPr>
          <w:rFonts w:asciiTheme="minorEastAsia" w:hAnsiTheme="minorEastAsia" w:eastAsiaTheme="minorEastAsia"/>
          <w:color w:val="auto"/>
          <w:sz w:val="24"/>
          <w:szCs w:val="24"/>
          <w:highlight w:val="none"/>
        </w:rPr>
      </w:pPr>
    </w:p>
    <w:p>
      <w:pPr>
        <w:spacing w:line="360" w:lineRule="auto"/>
        <w:ind w:firstLine="420" w:firstLineChars="200"/>
        <w:rPr>
          <w:color w:val="auto"/>
          <w:sz w:val="28"/>
          <w:szCs w:val="28"/>
          <w:highlight w:val="none"/>
        </w:rPr>
      </w:pPr>
      <w:r>
        <w:rPr>
          <w:rFonts w:hint="eastAsia"/>
          <w:color w:val="auto"/>
          <w:sz w:val="21"/>
          <w:szCs w:val="21"/>
          <w:highlight w:val="none"/>
        </w:rPr>
        <w:t>说明：技术规范执行交通运输部颁发的《公路工程标准施工招标文件》（2018年版）的“第七章技术规范“中的相关要求，以及现行交通运输部、辽宁省交通运输厅、辽宁省交通运输厅公路管理局、质量监督部门、发包人颁发的与本项目相关的技术规程、质量检验评定标准，并满足本项目施工图设计文件要求。</w:t>
      </w:r>
    </w:p>
    <w:p>
      <w:pPr>
        <w:rPr>
          <w:rFonts w:ascii="黑体" w:eastAsia="黑体"/>
          <w:color w:val="auto"/>
          <w:sz w:val="56"/>
          <w:highlight w:val="none"/>
        </w:rPr>
      </w:pPr>
    </w:p>
    <w:p>
      <w:pPr>
        <w:rPr>
          <w:rFonts w:ascii="黑体" w:eastAsia="黑体"/>
          <w:color w:val="auto"/>
          <w:sz w:val="56"/>
          <w:highlight w:val="none"/>
        </w:rPr>
      </w:pPr>
    </w:p>
    <w:p>
      <w:pPr>
        <w:rPr>
          <w:rFonts w:ascii="黑体" w:eastAsia="黑体"/>
          <w:color w:val="auto"/>
          <w:sz w:val="56"/>
          <w:highlight w:val="none"/>
        </w:rPr>
        <w:sectPr>
          <w:headerReference r:id="rId40" w:type="even"/>
          <w:footerReference r:id="rId41" w:type="even"/>
          <w:pgSz w:w="11907" w:h="16840"/>
          <w:pgMar w:top="1418" w:right="1191" w:bottom="1418" w:left="1191" w:header="873" w:footer="851"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tabs>
          <w:tab w:val="left" w:pos="2239"/>
        </w:tabs>
        <w:spacing w:before="169"/>
        <w:ind w:right="61"/>
        <w:jc w:val="center"/>
        <w:outlineLvl w:val="1"/>
        <w:rPr>
          <w:rFonts w:ascii="黑体" w:eastAsia="黑体"/>
          <w:color w:val="auto"/>
          <w:sz w:val="56"/>
          <w:highlight w:val="none"/>
        </w:rPr>
      </w:pPr>
      <w:bookmarkStart w:id="4153" w:name="_bookmark285"/>
      <w:bookmarkEnd w:id="4153"/>
      <w:bookmarkStart w:id="4154" w:name="_Toc16141"/>
      <w:bookmarkStart w:id="4155" w:name="_Toc6717"/>
      <w:bookmarkStart w:id="4156" w:name="_Toc23152"/>
      <w:bookmarkStart w:id="4157" w:name="_Toc26741"/>
      <w:bookmarkStart w:id="4158" w:name="_Toc1707"/>
      <w:bookmarkStart w:id="4159" w:name="_Toc10341"/>
      <w:bookmarkStart w:id="4160" w:name="_Toc16698"/>
      <w:bookmarkStart w:id="4161" w:name="_Toc30320"/>
      <w:bookmarkStart w:id="4162" w:name="_Toc14993"/>
      <w:bookmarkStart w:id="4163" w:name="_Toc9647"/>
      <w:bookmarkStart w:id="4164" w:name="_Toc15850"/>
      <w:bookmarkStart w:id="4165" w:name="_Toc624"/>
      <w:bookmarkStart w:id="4166" w:name="_Toc21872"/>
      <w:bookmarkStart w:id="4167" w:name="_Toc7501"/>
      <w:bookmarkStart w:id="4168" w:name="_Toc1379"/>
      <w:bookmarkStart w:id="4169" w:name="_Toc24294"/>
      <w:bookmarkStart w:id="4170" w:name="_Toc2777"/>
      <w:bookmarkStart w:id="4171" w:name="_Toc2622"/>
      <w:bookmarkStart w:id="4172" w:name="_Toc18797"/>
      <w:bookmarkStart w:id="4173" w:name="_Toc23073"/>
      <w:bookmarkStart w:id="4174" w:name="_Toc17487"/>
      <w:bookmarkStart w:id="4175" w:name="_Toc30377"/>
      <w:bookmarkStart w:id="4176" w:name="_Toc8669"/>
      <w:bookmarkStart w:id="4177" w:name="_Toc28456"/>
      <w:bookmarkStart w:id="4178" w:name="_Toc19781"/>
      <w:bookmarkStart w:id="4179" w:name="_Toc16600"/>
      <w:bookmarkStart w:id="4180" w:name="_Toc31278"/>
      <w:bookmarkStart w:id="4181" w:name="_Toc14884"/>
      <w:r>
        <w:rPr>
          <w:rFonts w:hint="eastAsia" w:ascii="黑体" w:eastAsia="黑体"/>
          <w:color w:val="auto"/>
          <w:sz w:val="56"/>
          <w:highlight w:val="none"/>
        </w:rPr>
        <w:t>第八章</w:t>
      </w:r>
      <w:r>
        <w:rPr>
          <w:rFonts w:hint="eastAsia" w:ascii="黑体" w:eastAsia="黑体"/>
          <w:color w:val="auto"/>
          <w:sz w:val="56"/>
          <w:highlight w:val="none"/>
        </w:rPr>
        <w:tab/>
      </w:r>
      <w:r>
        <w:rPr>
          <w:rFonts w:hint="eastAsia" w:ascii="黑体" w:eastAsia="黑体"/>
          <w:color w:val="auto"/>
          <w:sz w:val="56"/>
          <w:highlight w:val="none"/>
        </w:rPr>
        <w:t>工程量清单计量规则</w:t>
      </w:r>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p>
    <w:p>
      <w:pPr>
        <w:tabs>
          <w:tab w:val="left" w:pos="1961"/>
        </w:tabs>
        <w:spacing w:before="370"/>
        <w:ind w:right="60"/>
        <w:jc w:val="center"/>
        <w:rPr>
          <w:rFonts w:ascii="黑体" w:eastAsia="黑体"/>
          <w:color w:val="auto"/>
          <w:sz w:val="56"/>
          <w:highlight w:val="none"/>
        </w:rPr>
      </w:pPr>
      <w:r>
        <w:rPr>
          <w:rFonts w:hint="eastAsia" w:ascii="黑体" w:eastAsia="黑体"/>
          <w:color w:val="auto"/>
          <w:sz w:val="56"/>
          <w:highlight w:val="none"/>
        </w:rPr>
        <w:t>（另</w:t>
      </w:r>
      <w:r>
        <w:rPr>
          <w:rFonts w:hint="eastAsia" w:ascii="黑体" w:eastAsia="黑体"/>
          <w:color w:val="auto"/>
          <w:sz w:val="56"/>
          <w:highlight w:val="none"/>
        </w:rPr>
        <w:tab/>
      </w:r>
      <w:r>
        <w:rPr>
          <w:rFonts w:hint="eastAsia" w:ascii="黑体" w:eastAsia="黑体"/>
          <w:color w:val="auto"/>
          <w:sz w:val="56"/>
          <w:highlight w:val="none"/>
        </w:rPr>
        <w:t>册）</w:t>
      </w:r>
    </w:p>
    <w:p>
      <w:pPr>
        <w:tabs>
          <w:tab w:val="left" w:pos="1961"/>
        </w:tabs>
        <w:spacing w:before="370"/>
        <w:ind w:right="60"/>
        <w:rPr>
          <w:rFonts w:ascii="黑体" w:eastAsia="黑体"/>
          <w:color w:val="auto"/>
          <w:sz w:val="32"/>
          <w:szCs w:val="32"/>
          <w:highlight w:val="none"/>
        </w:rPr>
      </w:pPr>
    </w:p>
    <w:p>
      <w:pPr>
        <w:tabs>
          <w:tab w:val="left" w:pos="1961"/>
        </w:tabs>
        <w:adjustRightInd w:val="0"/>
        <w:snapToGrid w:val="0"/>
        <w:spacing w:line="360" w:lineRule="auto"/>
        <w:ind w:right="60"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参见</w:t>
      </w:r>
      <w:r>
        <w:rPr>
          <w:rFonts w:asciiTheme="minorEastAsia" w:hAnsiTheme="minorEastAsia" w:eastAsiaTheme="minorEastAsia"/>
          <w:color w:val="auto"/>
          <w:sz w:val="32"/>
          <w:szCs w:val="32"/>
          <w:highlight w:val="none"/>
        </w:rPr>
        <w:t>中华人民共和国交通运输部</w:t>
      </w:r>
      <w:r>
        <w:rPr>
          <w:rFonts w:hint="eastAsia" w:asciiTheme="minorEastAsia" w:hAnsiTheme="minorEastAsia" w:eastAsiaTheme="minorEastAsia"/>
          <w:color w:val="auto"/>
          <w:sz w:val="32"/>
          <w:szCs w:val="32"/>
          <w:highlight w:val="none"/>
        </w:rPr>
        <w:t>《</w:t>
      </w:r>
      <w:r>
        <w:rPr>
          <w:rFonts w:asciiTheme="minorEastAsia" w:hAnsiTheme="minorEastAsia" w:eastAsiaTheme="minorEastAsia"/>
          <w:color w:val="auto"/>
          <w:sz w:val="32"/>
          <w:szCs w:val="32"/>
          <w:highlight w:val="none"/>
        </w:rPr>
        <w:t>公路工程标准施工招标文件</w:t>
      </w:r>
      <w:r>
        <w:rPr>
          <w:rFonts w:hint="eastAsia" w:asciiTheme="minorEastAsia" w:hAnsiTheme="minorEastAsia" w:eastAsiaTheme="minorEastAsia"/>
          <w:color w:val="auto"/>
          <w:sz w:val="32"/>
          <w:szCs w:val="32"/>
          <w:highlight w:val="none"/>
        </w:rPr>
        <w:t>》</w:t>
      </w:r>
      <w:r>
        <w:rPr>
          <w:rFonts w:asciiTheme="minorEastAsia" w:hAnsiTheme="minorEastAsia" w:eastAsiaTheme="minorEastAsia"/>
          <w:color w:val="auto"/>
          <w:sz w:val="32"/>
          <w:szCs w:val="32"/>
          <w:highlight w:val="none"/>
        </w:rPr>
        <w:t>（ 2018 年版）第</w:t>
      </w:r>
      <w:r>
        <w:rPr>
          <w:rFonts w:hint="eastAsia" w:asciiTheme="minorEastAsia" w:hAnsiTheme="minorEastAsia" w:eastAsiaTheme="minorEastAsia"/>
          <w:color w:val="auto"/>
          <w:sz w:val="32"/>
          <w:szCs w:val="32"/>
          <w:highlight w:val="none"/>
        </w:rPr>
        <w:t>八</w:t>
      </w:r>
      <w:r>
        <w:rPr>
          <w:rFonts w:asciiTheme="minorEastAsia" w:hAnsiTheme="minorEastAsia" w:eastAsiaTheme="minorEastAsia"/>
          <w:color w:val="auto"/>
          <w:sz w:val="32"/>
          <w:szCs w:val="32"/>
          <w:highlight w:val="none"/>
        </w:rPr>
        <w:t>章</w:t>
      </w:r>
      <w:r>
        <w:rPr>
          <w:rFonts w:hint="eastAsia" w:asciiTheme="minorEastAsia" w:hAnsiTheme="minorEastAsia" w:eastAsiaTheme="minorEastAsia"/>
          <w:color w:val="auto"/>
          <w:sz w:val="32"/>
          <w:szCs w:val="32"/>
          <w:highlight w:val="none"/>
        </w:rPr>
        <w:t>“</w:t>
      </w:r>
      <w:r>
        <w:rPr>
          <w:rFonts w:asciiTheme="minorEastAsia" w:hAnsiTheme="minorEastAsia" w:eastAsiaTheme="minorEastAsia"/>
          <w:color w:val="auto"/>
          <w:sz w:val="32"/>
          <w:szCs w:val="32"/>
          <w:highlight w:val="none"/>
        </w:rPr>
        <w:t>工程量清单计量规则</w:t>
      </w:r>
      <w:r>
        <w:rPr>
          <w:rFonts w:hint="eastAsia" w:asciiTheme="minorEastAsia" w:hAnsiTheme="minorEastAsia" w:eastAsiaTheme="minorEastAsia"/>
          <w:color w:val="auto"/>
          <w:sz w:val="32"/>
          <w:szCs w:val="32"/>
          <w:highlight w:val="none"/>
        </w:rPr>
        <w:t>”内容。</w:t>
      </w:r>
    </w:p>
    <w:p>
      <w:pPr>
        <w:adjustRightInd w:val="0"/>
        <w:snapToGrid w:val="0"/>
        <w:spacing w:line="360" w:lineRule="auto"/>
        <w:ind w:firstLine="420" w:firstLineChars="200"/>
        <w:rPr>
          <w:rFonts w:hint="eastAsia" w:ascii="黑体" w:eastAsia="宋体"/>
          <w:color w:val="auto"/>
          <w:sz w:val="56"/>
          <w:highlight w:val="none"/>
          <w:lang w:eastAsia="zh-CN"/>
        </w:rPr>
      </w:pPr>
      <w:r>
        <w:rPr>
          <w:rFonts w:hint="eastAsia"/>
          <w:color w:val="auto"/>
          <w:sz w:val="21"/>
          <w:szCs w:val="21"/>
          <w:highlight w:val="none"/>
        </w:rPr>
        <w:t>说明：工程量清单计量规则执行交通运输部颁发的《公路工程标准施工招标文件》（2018年版）的“第八章工程量清单计量规则”中的相关要求，并满足本项目施工图设计文件要求</w:t>
      </w:r>
      <w:r>
        <w:rPr>
          <w:rFonts w:hint="eastAsia"/>
          <w:color w:val="auto"/>
          <w:sz w:val="21"/>
          <w:szCs w:val="21"/>
          <w:highlight w:val="none"/>
          <w:lang w:eastAsia="zh-CN"/>
        </w:rPr>
        <w:t>。</w:t>
      </w:r>
    </w:p>
    <w:p>
      <w:pPr>
        <w:rPr>
          <w:rFonts w:ascii="黑体" w:eastAsia="黑体"/>
          <w:color w:val="auto"/>
          <w:sz w:val="56"/>
          <w:highlight w:val="none"/>
        </w:rPr>
      </w:pPr>
    </w:p>
    <w:p>
      <w:pPr>
        <w:rPr>
          <w:rFonts w:ascii="黑体" w:eastAsia="黑体"/>
          <w:color w:val="auto"/>
          <w:sz w:val="56"/>
          <w:highlight w:val="none"/>
        </w:rPr>
        <w:sectPr>
          <w:footerReference r:id="rId42" w:type="default"/>
          <w:pgSz w:w="11907" w:h="16840"/>
          <w:pgMar w:top="1418" w:right="1191" w:bottom="1418" w:left="1191" w:header="873" w:footer="851"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spacing w:before="4"/>
        <w:rPr>
          <w:rFonts w:ascii="黑体"/>
          <w:color w:val="auto"/>
          <w:sz w:val="17"/>
          <w:highlight w:val="none"/>
        </w:rPr>
      </w:pPr>
    </w:p>
    <w:p>
      <w:pPr>
        <w:tabs>
          <w:tab w:val="left" w:pos="4182"/>
          <w:tab w:val="left" w:pos="5704"/>
        </w:tabs>
        <w:spacing w:line="968" w:lineRule="exact"/>
        <w:jc w:val="center"/>
        <w:outlineLvl w:val="0"/>
        <w:rPr>
          <w:rFonts w:ascii="黑体" w:eastAsia="黑体"/>
          <w:color w:val="auto"/>
          <w:sz w:val="76"/>
          <w:highlight w:val="none"/>
        </w:rPr>
      </w:pPr>
      <w:bookmarkStart w:id="4182" w:name="_Toc24869"/>
      <w:bookmarkStart w:id="4183" w:name="_Toc25141"/>
      <w:bookmarkStart w:id="4184" w:name="_Toc32656"/>
      <w:bookmarkStart w:id="4185" w:name="_Toc5183"/>
      <w:bookmarkStart w:id="4186" w:name="_Toc25856"/>
      <w:bookmarkStart w:id="4187" w:name="_Toc28427"/>
      <w:bookmarkStart w:id="4188" w:name="_Toc24"/>
      <w:bookmarkStart w:id="4189" w:name="_Toc23675"/>
      <w:bookmarkStart w:id="4190" w:name="_Toc19496"/>
      <w:bookmarkStart w:id="4191" w:name="_Toc25777"/>
      <w:bookmarkStart w:id="4192" w:name="_Toc8238"/>
      <w:bookmarkStart w:id="4193" w:name="_Toc16223"/>
      <w:bookmarkStart w:id="4194" w:name="_Toc18546"/>
      <w:bookmarkStart w:id="4195" w:name="_Toc29067"/>
      <w:bookmarkStart w:id="4196" w:name="_Toc925"/>
      <w:bookmarkStart w:id="4197" w:name="_Toc11657"/>
      <w:bookmarkStart w:id="4198" w:name="_Toc8891"/>
      <w:bookmarkStart w:id="4199" w:name="_Toc24752"/>
      <w:bookmarkStart w:id="4200" w:name="_Toc18529"/>
      <w:bookmarkStart w:id="4201" w:name="_Toc28256"/>
      <w:bookmarkStart w:id="4202" w:name="_Toc15517"/>
      <w:bookmarkStart w:id="4203" w:name="_Toc29045"/>
      <w:bookmarkStart w:id="4204" w:name="_Toc22466"/>
      <w:bookmarkStart w:id="4205" w:name="_Toc16103"/>
      <w:bookmarkStart w:id="4206" w:name="_Toc15626"/>
      <w:bookmarkStart w:id="4207" w:name="_Toc8397"/>
      <w:bookmarkStart w:id="4208" w:name="_Toc22557"/>
      <w:bookmarkStart w:id="4209" w:name="_Toc6346"/>
      <w:r>
        <w:rPr>
          <w:rFonts w:hint="eastAsia" w:ascii="黑体" w:eastAsia="黑体"/>
          <w:color w:val="auto"/>
          <w:sz w:val="76"/>
          <w:highlight w:val="none"/>
        </w:rPr>
        <w:t>第四卷</w:t>
      </w:r>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p>
    <w:p>
      <w:pPr>
        <w:spacing w:line="968" w:lineRule="exact"/>
        <w:rPr>
          <w:rFonts w:ascii="黑体" w:eastAsia="黑体"/>
          <w:color w:val="auto"/>
          <w:sz w:val="76"/>
          <w:highlight w:val="none"/>
        </w:rPr>
        <w:sectPr>
          <w:headerReference r:id="rId43" w:type="even"/>
          <w:footerReference r:id="rId44" w:type="even"/>
          <w:pgSz w:w="11907" w:h="16840"/>
          <w:pgMar w:top="1418" w:right="1191" w:bottom="1418" w:left="1191" w:header="873" w:footer="851"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tabs>
          <w:tab w:val="left" w:pos="3858"/>
        </w:tabs>
        <w:spacing w:before="31"/>
        <w:jc w:val="center"/>
        <w:outlineLvl w:val="1"/>
        <w:rPr>
          <w:rFonts w:ascii="黑体" w:hAnsi="黑体" w:eastAsia="黑体"/>
          <w:b/>
          <w:color w:val="auto"/>
          <w:sz w:val="28"/>
          <w:highlight w:val="none"/>
        </w:rPr>
      </w:pPr>
      <w:bookmarkStart w:id="4210" w:name="_bookmark286"/>
      <w:bookmarkEnd w:id="4210"/>
      <w:bookmarkStart w:id="4211" w:name="_Toc26833"/>
      <w:bookmarkStart w:id="4212" w:name="_Toc7629"/>
      <w:bookmarkStart w:id="4213" w:name="_Toc1616"/>
      <w:bookmarkStart w:id="4214" w:name="_Toc580"/>
      <w:bookmarkStart w:id="4215" w:name="_Toc9301"/>
      <w:bookmarkStart w:id="4216" w:name="_Toc13961"/>
      <w:bookmarkStart w:id="4217" w:name="_Toc29941"/>
      <w:bookmarkStart w:id="4218" w:name="_Toc931"/>
      <w:bookmarkStart w:id="4219" w:name="_Toc21988"/>
      <w:bookmarkStart w:id="4220" w:name="_Toc16494"/>
      <w:bookmarkStart w:id="4221" w:name="_Toc29068"/>
      <w:bookmarkStart w:id="4222" w:name="_Toc6391"/>
      <w:bookmarkStart w:id="4223" w:name="_Toc31336"/>
      <w:bookmarkStart w:id="4224" w:name="_Toc17803"/>
      <w:bookmarkStart w:id="4225" w:name="_Toc11288"/>
      <w:bookmarkStart w:id="4226" w:name="_Toc20378"/>
      <w:bookmarkStart w:id="4227" w:name="_Toc1638"/>
      <w:bookmarkStart w:id="4228" w:name="_Toc4364"/>
      <w:bookmarkStart w:id="4229" w:name="_Toc8917"/>
      <w:bookmarkStart w:id="4230" w:name="_Toc26262"/>
      <w:bookmarkStart w:id="4231" w:name="_Toc14482"/>
      <w:bookmarkStart w:id="4232" w:name="_Toc19888"/>
      <w:bookmarkStart w:id="4233" w:name="_Toc21610"/>
      <w:bookmarkStart w:id="4234" w:name="_Toc24105"/>
      <w:bookmarkStart w:id="4235" w:name="_Toc22660"/>
      <w:bookmarkStart w:id="4236" w:name="_Toc7292"/>
      <w:bookmarkStart w:id="4237" w:name="_Toc20679"/>
      <w:bookmarkStart w:id="4238" w:name="_Toc6893"/>
      <w:r>
        <w:rPr>
          <w:rFonts w:hint="eastAsia" w:ascii="黑体" w:hAnsi="黑体" w:eastAsia="黑体"/>
          <w:color w:val="auto"/>
          <w:sz w:val="56"/>
          <w:highlight w:val="none"/>
        </w:rPr>
        <w:t>第九章</w:t>
      </w:r>
      <w:r>
        <w:rPr>
          <w:rFonts w:hint="eastAsia" w:ascii="黑体" w:hAnsi="黑体" w:eastAsia="黑体"/>
          <w:color w:val="auto"/>
          <w:sz w:val="56"/>
          <w:highlight w:val="none"/>
          <w:lang w:val="en-US"/>
        </w:rPr>
        <w:t xml:space="preserve"> </w:t>
      </w:r>
      <w:r>
        <w:rPr>
          <w:rFonts w:hint="eastAsia" w:ascii="黑体" w:hAnsi="黑体" w:eastAsia="黑体"/>
          <w:color w:val="auto"/>
          <w:sz w:val="56"/>
          <w:highlight w:val="none"/>
        </w:rPr>
        <w:t>投标文件格式</w:t>
      </w:r>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pStyle w:val="20"/>
        <w:rPr>
          <w:rFonts w:ascii="黑体"/>
          <w:b/>
          <w:color w:val="auto"/>
          <w:sz w:val="20"/>
          <w:highlight w:val="none"/>
        </w:rPr>
      </w:pPr>
    </w:p>
    <w:p>
      <w:pPr>
        <w:rPr>
          <w:color w:val="auto"/>
          <w:sz w:val="18"/>
          <w:highlight w:val="none"/>
        </w:rPr>
        <w:sectPr>
          <w:footerReference r:id="rId45" w:type="default"/>
          <w:pgSz w:w="11907" w:h="16840"/>
          <w:pgMar w:top="1418" w:right="1191" w:bottom="1418" w:left="1191" w:header="873" w:footer="851" w:gutter="0"/>
          <w:cols w:space="720" w:num="1"/>
        </w:sect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spacing w:before="10"/>
        <w:rPr>
          <w:color w:val="auto"/>
          <w:sz w:val="15"/>
          <w:highlight w:val="none"/>
        </w:rPr>
      </w:pPr>
    </w:p>
    <w:p>
      <w:pPr>
        <w:pStyle w:val="9"/>
        <w:tabs>
          <w:tab w:val="left" w:pos="3476"/>
        </w:tabs>
        <w:ind w:left="1928"/>
        <w:rPr>
          <w:color w:val="auto"/>
          <w:highlight w:val="none"/>
          <w:u w:val="none"/>
        </w:rPr>
      </w:pPr>
      <w:r>
        <w:rPr>
          <w:rFonts w:ascii="Times New Roman" w:eastAsia="Times New Roman"/>
          <w:color w:val="auto"/>
          <w:highlight w:val="none"/>
        </w:rPr>
        <w:tab/>
      </w:r>
      <w:r>
        <w:rPr>
          <w:color w:val="auto"/>
          <w:highlight w:val="none"/>
          <w:u w:val="none"/>
        </w:rPr>
        <w:t>省（自治区、直辖市）</w:t>
      </w: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spacing w:before="3"/>
        <w:rPr>
          <w:rFonts w:ascii="黑体"/>
          <w:color w:val="auto"/>
          <w:sz w:val="19"/>
          <w:highlight w:val="none"/>
        </w:rPr>
      </w:pPr>
    </w:p>
    <w:p>
      <w:pPr>
        <w:pStyle w:val="20"/>
        <w:tabs>
          <w:tab w:val="left" w:pos="2212"/>
          <w:tab w:val="left" w:pos="4918"/>
        </w:tabs>
        <w:spacing w:before="74"/>
        <w:ind w:right="173"/>
        <w:jc w:val="center"/>
        <w:rPr>
          <w:rFonts w:ascii="黑体" w:eastAsia="黑体"/>
          <w:color w:val="auto"/>
          <w:highlight w:val="none"/>
        </w:rPr>
      </w:pPr>
      <w:r>
        <w:rPr>
          <w:rFonts w:ascii="Times New Roman" w:eastAsia="Times New Roman"/>
          <w:color w:val="auto"/>
          <w:highlight w:val="none"/>
          <w:u w:val="single"/>
        </w:rPr>
        <w:tab/>
      </w:r>
      <w:r>
        <w:rPr>
          <w:rFonts w:hint="eastAsia" w:ascii="黑体" w:eastAsia="黑体"/>
          <w:color w:val="auto"/>
          <w:highlight w:val="none"/>
        </w:rPr>
        <w:t>（项目名称）</w:t>
      </w:r>
      <w:r>
        <w:rPr>
          <w:rFonts w:hint="eastAsia" w:ascii="黑体" w:eastAsia="黑体"/>
          <w:color w:val="auto"/>
          <w:highlight w:val="none"/>
          <w:u w:val="single"/>
        </w:rPr>
        <w:tab/>
      </w:r>
      <w:r>
        <w:rPr>
          <w:rFonts w:hint="eastAsia" w:ascii="黑体" w:eastAsia="黑体"/>
          <w:color w:val="auto"/>
          <w:highlight w:val="none"/>
        </w:rPr>
        <w:t>标段施工招标</w:t>
      </w:r>
    </w:p>
    <w:p>
      <w:pPr>
        <w:pStyle w:val="20"/>
        <w:rPr>
          <w:rFonts w:ascii="黑体"/>
          <w:color w:val="auto"/>
          <w:sz w:val="26"/>
          <w:highlight w:val="none"/>
        </w:rPr>
      </w:pPr>
    </w:p>
    <w:p>
      <w:pPr>
        <w:pStyle w:val="20"/>
        <w:rPr>
          <w:rFonts w:ascii="黑体"/>
          <w:color w:val="auto"/>
          <w:sz w:val="26"/>
          <w:highlight w:val="none"/>
        </w:rPr>
      </w:pPr>
    </w:p>
    <w:p>
      <w:pPr>
        <w:pStyle w:val="20"/>
        <w:rPr>
          <w:rFonts w:ascii="黑体"/>
          <w:color w:val="auto"/>
          <w:sz w:val="26"/>
          <w:highlight w:val="none"/>
        </w:rPr>
      </w:pPr>
    </w:p>
    <w:p>
      <w:pPr>
        <w:pStyle w:val="20"/>
        <w:rPr>
          <w:rFonts w:ascii="黑体"/>
          <w:color w:val="auto"/>
          <w:sz w:val="26"/>
          <w:highlight w:val="none"/>
        </w:rPr>
      </w:pPr>
    </w:p>
    <w:p>
      <w:pPr>
        <w:pStyle w:val="20"/>
        <w:rPr>
          <w:rFonts w:ascii="黑体"/>
          <w:color w:val="auto"/>
          <w:sz w:val="26"/>
          <w:highlight w:val="none"/>
        </w:rPr>
      </w:pPr>
    </w:p>
    <w:p>
      <w:pPr>
        <w:pStyle w:val="20"/>
        <w:rPr>
          <w:rFonts w:ascii="黑体"/>
          <w:color w:val="auto"/>
          <w:sz w:val="26"/>
          <w:highlight w:val="none"/>
        </w:rPr>
      </w:pPr>
    </w:p>
    <w:p>
      <w:pPr>
        <w:tabs>
          <w:tab w:val="left" w:pos="1440"/>
          <w:tab w:val="left" w:pos="2880"/>
          <w:tab w:val="left" w:pos="4320"/>
        </w:tabs>
        <w:spacing w:before="224"/>
        <w:ind w:right="61"/>
        <w:jc w:val="center"/>
        <w:outlineLvl w:val="2"/>
        <w:rPr>
          <w:color w:val="auto"/>
          <w:highlight w:val="none"/>
        </w:rPr>
      </w:pPr>
      <w:bookmarkStart w:id="4239" w:name="_bookmark287"/>
      <w:bookmarkEnd w:id="4239"/>
      <w:bookmarkStart w:id="4240" w:name="_Toc967"/>
      <w:bookmarkStart w:id="4241" w:name="_Toc8508"/>
      <w:r>
        <w:rPr>
          <w:rFonts w:hint="eastAsia" w:ascii="黑体" w:eastAsia="黑体"/>
          <w:color w:val="auto"/>
          <w:sz w:val="72"/>
          <w:highlight w:val="none"/>
        </w:rPr>
        <w:t>投</w:t>
      </w:r>
      <w:r>
        <w:rPr>
          <w:rFonts w:hint="eastAsia" w:ascii="黑体" w:eastAsia="黑体"/>
          <w:color w:val="auto"/>
          <w:sz w:val="72"/>
          <w:highlight w:val="none"/>
        </w:rPr>
        <w:tab/>
      </w:r>
      <w:r>
        <w:rPr>
          <w:rFonts w:hint="eastAsia" w:ascii="黑体" w:eastAsia="黑体"/>
          <w:color w:val="auto"/>
          <w:sz w:val="72"/>
          <w:highlight w:val="none"/>
        </w:rPr>
        <w:t>标</w:t>
      </w:r>
      <w:r>
        <w:rPr>
          <w:rFonts w:hint="eastAsia" w:ascii="黑体" w:eastAsia="黑体"/>
          <w:color w:val="auto"/>
          <w:sz w:val="72"/>
          <w:highlight w:val="none"/>
        </w:rPr>
        <w:tab/>
      </w:r>
      <w:r>
        <w:rPr>
          <w:rFonts w:hint="eastAsia" w:ascii="黑体" w:eastAsia="黑体"/>
          <w:color w:val="auto"/>
          <w:sz w:val="72"/>
          <w:highlight w:val="none"/>
        </w:rPr>
        <w:t>文</w:t>
      </w:r>
      <w:r>
        <w:rPr>
          <w:rFonts w:hint="eastAsia" w:ascii="黑体" w:eastAsia="黑体"/>
          <w:color w:val="auto"/>
          <w:sz w:val="72"/>
          <w:highlight w:val="none"/>
        </w:rPr>
        <w:tab/>
      </w:r>
      <w:r>
        <w:rPr>
          <w:rFonts w:hint="eastAsia" w:ascii="黑体" w:eastAsia="黑体"/>
          <w:color w:val="auto"/>
          <w:sz w:val="72"/>
          <w:highlight w:val="none"/>
        </w:rPr>
        <w:t>件</w:t>
      </w:r>
      <w:r>
        <w:rPr>
          <w:rFonts w:hint="eastAsia" w:ascii="黑体" w:eastAsia="黑体"/>
          <w:color w:val="auto"/>
          <w:sz w:val="72"/>
          <w:highlight w:val="none"/>
        </w:rPr>
        <w:br w:type="textWrapping"/>
      </w:r>
      <w:r>
        <w:rPr>
          <w:rFonts w:hint="eastAsia" w:ascii="黑体" w:eastAsia="黑体"/>
          <w:color w:val="auto"/>
          <w:sz w:val="72"/>
          <w:highlight w:val="none"/>
        </w:rPr>
        <w:br w:type="textWrapping"/>
      </w:r>
      <w:r>
        <w:rPr>
          <w:rFonts w:hint="eastAsia" w:ascii="黑体" w:hAnsi="黑体" w:eastAsia="黑体" w:cs="黑体"/>
          <w:color w:val="auto"/>
          <w:sz w:val="36"/>
          <w:szCs w:val="36"/>
          <w:highlight w:val="none"/>
        </w:rPr>
        <w:t>（商务及技术文件）</w:t>
      </w:r>
      <w:bookmarkEnd w:id="4240"/>
      <w:bookmarkEnd w:id="4241"/>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spacing w:before="12"/>
        <w:rPr>
          <w:rFonts w:ascii="黑体"/>
          <w:color w:val="auto"/>
          <w:sz w:val="40"/>
          <w:highlight w:val="none"/>
        </w:rPr>
      </w:pPr>
    </w:p>
    <w:p>
      <w:pPr>
        <w:tabs>
          <w:tab w:val="left" w:pos="5880"/>
        </w:tabs>
        <w:ind w:right="58"/>
        <w:jc w:val="center"/>
        <w:rPr>
          <w:rFonts w:ascii="黑体" w:eastAsia="黑体"/>
          <w:color w:val="auto"/>
          <w:sz w:val="28"/>
          <w:highlight w:val="none"/>
        </w:rPr>
      </w:pPr>
      <w:r>
        <w:rPr>
          <w:rFonts w:hint="eastAsia" w:ascii="黑体" w:eastAsia="黑体"/>
          <w:color w:val="auto"/>
          <w:sz w:val="28"/>
          <w:highlight w:val="none"/>
        </w:rPr>
        <w:t>投标人：</w:t>
      </w:r>
      <w:r>
        <w:rPr>
          <w:rFonts w:hint="eastAsia" w:ascii="黑体" w:eastAsia="黑体"/>
          <w:color w:val="auto"/>
          <w:sz w:val="28"/>
          <w:highlight w:val="none"/>
          <w:u w:val="single"/>
        </w:rPr>
        <w:tab/>
      </w:r>
      <w:r>
        <w:rPr>
          <w:rFonts w:hint="eastAsia" w:ascii="黑体" w:eastAsia="黑体"/>
          <w:color w:val="auto"/>
          <w:sz w:val="28"/>
          <w:highlight w:val="none"/>
        </w:rPr>
        <w:t>（盖单</w:t>
      </w:r>
      <w:r>
        <w:rPr>
          <w:rFonts w:hint="eastAsia" w:ascii="黑体" w:eastAsia="黑体"/>
          <w:color w:val="auto"/>
          <w:spacing w:val="-3"/>
          <w:sz w:val="28"/>
          <w:highlight w:val="none"/>
        </w:rPr>
        <w:t>位</w:t>
      </w:r>
      <w:r>
        <w:rPr>
          <w:rFonts w:hint="eastAsia" w:ascii="黑体" w:eastAsia="黑体"/>
          <w:color w:val="auto"/>
          <w:sz w:val="28"/>
          <w:highlight w:val="none"/>
        </w:rPr>
        <w:t>章）</w:t>
      </w:r>
    </w:p>
    <w:p>
      <w:pPr>
        <w:pStyle w:val="20"/>
        <w:rPr>
          <w:rFonts w:ascii="黑体"/>
          <w:color w:val="auto"/>
          <w:sz w:val="20"/>
          <w:highlight w:val="none"/>
        </w:rPr>
      </w:pPr>
    </w:p>
    <w:p>
      <w:pPr>
        <w:pStyle w:val="20"/>
        <w:spacing w:before="12"/>
        <w:rPr>
          <w:rFonts w:ascii="黑体"/>
          <w:color w:val="auto"/>
          <w:sz w:val="15"/>
          <w:highlight w:val="none"/>
        </w:rPr>
      </w:pPr>
    </w:p>
    <w:p>
      <w:pPr>
        <w:tabs>
          <w:tab w:val="left" w:pos="3510"/>
          <w:tab w:val="left" w:pos="4912"/>
          <w:tab w:val="left" w:pos="6450"/>
        </w:tabs>
        <w:spacing w:before="62"/>
        <w:ind w:left="2392"/>
        <w:rPr>
          <w:rFonts w:ascii="黑体" w:eastAsia="黑体"/>
          <w:color w:val="auto"/>
          <w:sz w:val="28"/>
          <w:highlight w:val="none"/>
        </w:rPr>
      </w:pPr>
      <w:r>
        <w:rPr>
          <w:rFonts w:ascii="Times New Roman" w:eastAsia="Times New Roman"/>
          <w:color w:val="auto"/>
          <w:sz w:val="28"/>
          <w:highlight w:val="none"/>
          <w:u w:val="single"/>
        </w:rPr>
        <w:tab/>
      </w:r>
      <w:r>
        <w:rPr>
          <w:rFonts w:hint="eastAsia" w:ascii="黑体" w:eastAsia="黑体"/>
          <w:color w:val="auto"/>
          <w:sz w:val="28"/>
          <w:highlight w:val="none"/>
        </w:rPr>
        <w:t>年</w:t>
      </w:r>
      <w:r>
        <w:rPr>
          <w:rFonts w:hint="eastAsia" w:ascii="黑体" w:eastAsia="黑体"/>
          <w:color w:val="auto"/>
          <w:sz w:val="28"/>
          <w:highlight w:val="none"/>
          <w:u w:val="single"/>
        </w:rPr>
        <w:tab/>
      </w:r>
      <w:r>
        <w:rPr>
          <w:rFonts w:hint="eastAsia" w:ascii="黑体" w:eastAsia="黑体"/>
          <w:color w:val="auto"/>
          <w:sz w:val="28"/>
          <w:highlight w:val="none"/>
        </w:rPr>
        <w:t>月</w:t>
      </w:r>
      <w:r>
        <w:rPr>
          <w:rFonts w:hint="eastAsia" w:ascii="黑体" w:eastAsia="黑体"/>
          <w:color w:val="auto"/>
          <w:sz w:val="28"/>
          <w:highlight w:val="none"/>
          <w:u w:val="single"/>
        </w:rPr>
        <w:tab/>
      </w:r>
      <w:r>
        <w:rPr>
          <w:rFonts w:hint="eastAsia" w:ascii="黑体" w:eastAsia="黑体"/>
          <w:color w:val="auto"/>
          <w:sz w:val="28"/>
          <w:highlight w:val="none"/>
        </w:rPr>
        <w:t>日</w:t>
      </w:r>
    </w:p>
    <w:p>
      <w:pPr>
        <w:rPr>
          <w:rFonts w:ascii="黑体" w:eastAsia="黑体"/>
          <w:color w:val="auto"/>
          <w:sz w:val="28"/>
          <w:highlight w:val="none"/>
        </w:rPr>
        <w:sectPr>
          <w:headerReference r:id="rId46" w:type="even"/>
          <w:footerReference r:id="rId47" w:type="even"/>
          <w:pgSz w:w="11907" w:h="16840"/>
          <w:pgMar w:top="1418" w:right="1191" w:bottom="1418" w:left="1191" w:header="873" w:footer="851" w:gutter="0"/>
          <w:cols w:space="720" w:num="1"/>
        </w:sectPr>
      </w:pPr>
    </w:p>
    <w:p>
      <w:pPr>
        <w:pStyle w:val="20"/>
        <w:spacing w:before="8"/>
        <w:rPr>
          <w:rFonts w:ascii="黑体"/>
          <w:color w:val="auto"/>
          <w:sz w:val="22"/>
          <w:highlight w:val="none"/>
        </w:rPr>
      </w:pPr>
    </w:p>
    <w:p>
      <w:pPr>
        <w:pStyle w:val="11"/>
        <w:tabs>
          <w:tab w:val="left" w:pos="4936"/>
        </w:tabs>
        <w:spacing w:before="58"/>
        <w:ind w:left="3887" w:right="0"/>
        <w:jc w:val="left"/>
        <w:rPr>
          <w:color w:val="auto"/>
          <w:highlight w:val="none"/>
        </w:rPr>
      </w:pPr>
      <w:bookmarkStart w:id="4242" w:name="_bookmark288"/>
      <w:bookmarkEnd w:id="4242"/>
      <w:r>
        <w:rPr>
          <w:color w:val="auto"/>
          <w:highlight w:val="none"/>
        </w:rPr>
        <w:t>目</w:t>
      </w:r>
      <w:r>
        <w:rPr>
          <w:color w:val="auto"/>
          <w:highlight w:val="none"/>
        </w:rPr>
        <w:tab/>
      </w:r>
      <w:r>
        <w:rPr>
          <w:color w:val="auto"/>
          <w:highlight w:val="none"/>
        </w:rPr>
        <w:t>录</w:t>
      </w:r>
    </w:p>
    <w:p>
      <w:pPr>
        <w:pStyle w:val="20"/>
        <w:rPr>
          <w:rFonts w:ascii="黑体"/>
          <w:color w:val="auto"/>
          <w:sz w:val="30"/>
          <w:highlight w:val="none"/>
        </w:rPr>
      </w:pPr>
    </w:p>
    <w:p>
      <w:pPr>
        <w:pStyle w:val="20"/>
        <w:spacing w:before="2"/>
        <w:rPr>
          <w:rFonts w:ascii="黑体"/>
          <w:color w:val="auto"/>
          <w:sz w:val="32"/>
          <w:highlight w:val="none"/>
        </w:rPr>
      </w:pPr>
    </w:p>
    <w:p>
      <w:pPr>
        <w:spacing w:line="360" w:lineRule="auto"/>
        <w:ind w:firstLine="720" w:firstLineChars="300"/>
        <w:rPr>
          <w:color w:val="auto"/>
          <w:sz w:val="24"/>
          <w:highlight w:val="none"/>
        </w:rPr>
      </w:pPr>
      <w:r>
        <w:rPr>
          <w:rFonts w:hint="eastAsia"/>
          <w:color w:val="auto"/>
          <w:sz w:val="24"/>
          <w:highlight w:val="none"/>
        </w:rPr>
        <w:t>一、投标函及投标函附录</w:t>
      </w:r>
    </w:p>
    <w:p>
      <w:pPr>
        <w:spacing w:line="360" w:lineRule="auto"/>
        <w:ind w:firstLine="720" w:firstLineChars="300"/>
        <w:rPr>
          <w:color w:val="auto"/>
          <w:sz w:val="24"/>
          <w:highlight w:val="none"/>
        </w:rPr>
      </w:pPr>
      <w:r>
        <w:rPr>
          <w:rFonts w:hint="eastAsia"/>
          <w:color w:val="auto"/>
          <w:sz w:val="24"/>
          <w:highlight w:val="none"/>
        </w:rPr>
        <w:t>二、法定代表人身份证明及授权委托书</w:t>
      </w:r>
    </w:p>
    <w:p>
      <w:pPr>
        <w:spacing w:line="360" w:lineRule="auto"/>
        <w:ind w:firstLine="720" w:firstLineChars="300"/>
        <w:rPr>
          <w:color w:val="auto"/>
          <w:sz w:val="24"/>
          <w:highlight w:val="none"/>
        </w:rPr>
      </w:pPr>
      <w:r>
        <w:rPr>
          <w:rFonts w:hint="eastAsia"/>
          <w:color w:val="auto"/>
          <w:sz w:val="24"/>
          <w:highlight w:val="none"/>
        </w:rPr>
        <w:t>三、联合体协议书（如有）</w:t>
      </w:r>
    </w:p>
    <w:p>
      <w:pPr>
        <w:spacing w:line="360" w:lineRule="auto"/>
        <w:ind w:firstLine="720" w:firstLineChars="300"/>
        <w:rPr>
          <w:color w:val="auto"/>
          <w:sz w:val="24"/>
          <w:highlight w:val="none"/>
        </w:rPr>
      </w:pPr>
      <w:r>
        <w:rPr>
          <w:rFonts w:hint="eastAsia"/>
          <w:color w:val="auto"/>
          <w:sz w:val="24"/>
          <w:highlight w:val="none"/>
        </w:rPr>
        <w:t>四、投标保证金</w:t>
      </w:r>
    </w:p>
    <w:p>
      <w:pPr>
        <w:spacing w:line="360" w:lineRule="auto"/>
        <w:ind w:firstLine="720" w:firstLineChars="300"/>
        <w:rPr>
          <w:color w:val="auto"/>
          <w:sz w:val="24"/>
          <w:highlight w:val="none"/>
        </w:rPr>
      </w:pPr>
      <w:r>
        <w:rPr>
          <w:rFonts w:hint="eastAsia"/>
          <w:color w:val="auto"/>
          <w:sz w:val="24"/>
          <w:highlight w:val="none"/>
        </w:rPr>
        <w:t>五、施工组织设计</w:t>
      </w:r>
    </w:p>
    <w:p>
      <w:pPr>
        <w:spacing w:line="360" w:lineRule="auto"/>
        <w:ind w:firstLine="720" w:firstLineChars="300"/>
        <w:rPr>
          <w:color w:val="auto"/>
          <w:sz w:val="24"/>
          <w:highlight w:val="none"/>
        </w:rPr>
      </w:pPr>
      <w:r>
        <w:rPr>
          <w:rFonts w:hint="eastAsia"/>
          <w:color w:val="auto"/>
          <w:sz w:val="24"/>
          <w:highlight w:val="none"/>
        </w:rPr>
        <w:t>六、项目管理机构</w:t>
      </w:r>
    </w:p>
    <w:p>
      <w:pPr>
        <w:spacing w:line="360" w:lineRule="auto"/>
        <w:ind w:firstLine="720" w:firstLineChars="300"/>
        <w:rPr>
          <w:color w:val="auto"/>
          <w:sz w:val="24"/>
          <w:highlight w:val="none"/>
        </w:rPr>
      </w:pPr>
      <w:r>
        <w:rPr>
          <w:rFonts w:hint="eastAsia"/>
          <w:color w:val="auto"/>
          <w:sz w:val="24"/>
          <w:highlight w:val="none"/>
        </w:rPr>
        <w:t>七、拟分包项目情况表</w:t>
      </w:r>
    </w:p>
    <w:p>
      <w:pPr>
        <w:spacing w:line="360" w:lineRule="auto"/>
        <w:ind w:firstLine="720" w:firstLineChars="300"/>
        <w:rPr>
          <w:color w:val="auto"/>
          <w:sz w:val="24"/>
          <w:highlight w:val="none"/>
        </w:rPr>
      </w:pPr>
      <w:r>
        <w:rPr>
          <w:rFonts w:hint="eastAsia"/>
          <w:color w:val="auto"/>
          <w:sz w:val="24"/>
          <w:highlight w:val="none"/>
        </w:rPr>
        <w:t>八、资格审查资料（适用于未进行资格预审的）</w:t>
      </w:r>
    </w:p>
    <w:p>
      <w:pPr>
        <w:spacing w:line="360" w:lineRule="auto"/>
        <w:ind w:firstLine="720" w:firstLineChars="300"/>
        <w:rPr>
          <w:color w:val="auto"/>
          <w:sz w:val="24"/>
          <w:highlight w:val="none"/>
        </w:rPr>
      </w:pPr>
      <w:r>
        <w:rPr>
          <w:rFonts w:hint="eastAsia"/>
          <w:color w:val="auto"/>
          <w:sz w:val="24"/>
          <w:highlight w:val="none"/>
        </w:rPr>
        <w:t>九、中标人不转包不违规分包承诺书</w:t>
      </w:r>
    </w:p>
    <w:p>
      <w:pPr>
        <w:spacing w:line="360" w:lineRule="auto"/>
        <w:ind w:firstLine="720" w:firstLineChars="300"/>
        <w:rPr>
          <w:color w:val="auto"/>
          <w:sz w:val="24"/>
          <w:highlight w:val="none"/>
        </w:rPr>
      </w:pPr>
      <w:r>
        <w:rPr>
          <w:rFonts w:hint="eastAsia"/>
          <w:color w:val="auto"/>
          <w:sz w:val="24"/>
          <w:highlight w:val="none"/>
        </w:rPr>
        <w:t>十、</w:t>
      </w:r>
      <w:r>
        <w:rPr>
          <w:rFonts w:hint="eastAsia"/>
          <w:color w:val="auto"/>
          <w:sz w:val="24"/>
          <w:highlight w:val="none"/>
          <w:lang w:val="en-US"/>
        </w:rPr>
        <w:t>关于保证</w:t>
      </w:r>
      <w:r>
        <w:rPr>
          <w:rFonts w:hint="eastAsia"/>
          <w:color w:val="auto"/>
          <w:sz w:val="24"/>
          <w:highlight w:val="none"/>
        </w:rPr>
        <w:t>注册建造师及技术负责人等主要施工人员</w:t>
      </w:r>
      <w:r>
        <w:rPr>
          <w:rFonts w:hint="eastAsia"/>
          <w:color w:val="auto"/>
          <w:sz w:val="24"/>
          <w:highlight w:val="none"/>
          <w:lang w:val="en-US"/>
        </w:rPr>
        <w:t>投入的承诺</w:t>
      </w:r>
    </w:p>
    <w:p>
      <w:pPr>
        <w:spacing w:line="360" w:lineRule="auto"/>
        <w:ind w:firstLine="720" w:firstLineChars="300"/>
        <w:rPr>
          <w:color w:val="auto"/>
          <w:sz w:val="24"/>
          <w:highlight w:val="none"/>
        </w:rPr>
      </w:pPr>
      <w:r>
        <w:rPr>
          <w:rFonts w:hint="eastAsia"/>
          <w:color w:val="auto"/>
          <w:sz w:val="24"/>
          <w:highlight w:val="none"/>
        </w:rPr>
        <w:t>十一、中标公示汇总表</w:t>
      </w:r>
    </w:p>
    <w:p>
      <w:pPr>
        <w:pStyle w:val="20"/>
        <w:ind w:firstLine="720" w:firstLineChars="300"/>
        <w:rPr>
          <w:color w:val="auto"/>
          <w:highlight w:val="none"/>
        </w:rPr>
      </w:pPr>
      <w:r>
        <w:rPr>
          <w:rFonts w:hint="eastAsia"/>
          <w:color w:val="auto"/>
          <w:highlight w:val="none"/>
        </w:rPr>
        <w:t>十</w:t>
      </w:r>
      <w:r>
        <w:rPr>
          <w:rFonts w:hint="eastAsia"/>
          <w:color w:val="auto"/>
          <w:highlight w:val="none"/>
          <w:lang w:val="en-US"/>
        </w:rPr>
        <w:t>二</w:t>
      </w:r>
      <w:r>
        <w:rPr>
          <w:rFonts w:hint="eastAsia"/>
          <w:color w:val="auto"/>
          <w:highlight w:val="none"/>
        </w:rPr>
        <w:t>、其他材料</w:t>
      </w:r>
      <w:r>
        <w:rPr>
          <w:color w:val="auto"/>
          <w:highlight w:val="none"/>
        </w:rPr>
        <w:t xml:space="preserve"> </w:t>
      </w:r>
    </w:p>
    <w:p>
      <w:pPr>
        <w:rPr>
          <w:color w:val="auto"/>
          <w:highlight w:val="none"/>
        </w:rPr>
        <w:sectPr>
          <w:footerReference r:id="rId48" w:type="default"/>
          <w:pgSz w:w="11907" w:h="16840"/>
          <w:pgMar w:top="1418" w:right="1191" w:bottom="1418" w:left="1191" w:header="873" w:footer="851" w:gutter="0"/>
          <w:cols w:space="720" w:num="1"/>
        </w:sectPr>
      </w:pPr>
    </w:p>
    <w:p>
      <w:pPr>
        <w:pStyle w:val="4"/>
        <w:spacing w:beforeLines="100" w:afterLines="100" w:line="360" w:lineRule="auto"/>
        <w:ind w:left="0"/>
        <w:jc w:val="center"/>
        <w:rPr>
          <w:color w:val="auto"/>
          <w:sz w:val="28"/>
          <w:szCs w:val="28"/>
          <w:highlight w:val="none"/>
        </w:rPr>
      </w:pPr>
      <w:bookmarkStart w:id="4243" w:name="_bookmark289"/>
      <w:bookmarkEnd w:id="4243"/>
      <w:bookmarkStart w:id="4244" w:name="_Toc15067"/>
      <w:bookmarkStart w:id="4245" w:name="_Toc30543"/>
      <w:r>
        <w:rPr>
          <w:rFonts w:hint="eastAsia"/>
          <w:color w:val="auto"/>
          <w:sz w:val="28"/>
          <w:szCs w:val="28"/>
          <w:highlight w:val="none"/>
        </w:rPr>
        <w:t>一、投标函及投标函附录</w:t>
      </w:r>
      <w:bookmarkEnd w:id="4244"/>
      <w:bookmarkEnd w:id="4245"/>
    </w:p>
    <w:p>
      <w:pPr>
        <w:pStyle w:val="20"/>
        <w:spacing w:before="6"/>
        <w:rPr>
          <w:rFonts w:ascii="黑体"/>
          <w:color w:val="auto"/>
          <w:sz w:val="28"/>
          <w:highlight w:val="none"/>
        </w:rPr>
      </w:pPr>
    </w:p>
    <w:p>
      <w:pPr>
        <w:spacing w:before="1"/>
        <w:ind w:right="58"/>
        <w:jc w:val="center"/>
        <w:rPr>
          <w:rFonts w:ascii="黑体" w:eastAsia="黑体"/>
          <w:color w:val="auto"/>
          <w:sz w:val="28"/>
          <w:highlight w:val="none"/>
        </w:rPr>
      </w:pPr>
      <w:bookmarkStart w:id="4246" w:name="_bookmark290"/>
      <w:bookmarkEnd w:id="4246"/>
      <w:r>
        <w:rPr>
          <w:rFonts w:hint="eastAsia" w:ascii="黑体" w:eastAsia="黑体"/>
          <w:color w:val="auto"/>
          <w:sz w:val="28"/>
          <w:highlight w:val="none"/>
        </w:rPr>
        <w:t>（一） 投 标 函</w:t>
      </w:r>
    </w:p>
    <w:p>
      <w:pPr>
        <w:pStyle w:val="20"/>
        <w:spacing w:before="3"/>
        <w:rPr>
          <w:rFonts w:ascii="黑体"/>
          <w:color w:val="auto"/>
          <w:sz w:val="17"/>
          <w:highlight w:val="none"/>
        </w:rPr>
      </w:pPr>
    </w:p>
    <w:p>
      <w:pPr>
        <w:pStyle w:val="20"/>
        <w:tabs>
          <w:tab w:val="left" w:pos="3224"/>
        </w:tabs>
        <w:spacing w:before="74"/>
        <w:ind w:left="344"/>
        <w:rPr>
          <w:color w:val="auto"/>
          <w:highlight w:val="none"/>
        </w:rPr>
      </w:pPr>
      <w:r>
        <w:rPr>
          <w:rFonts w:ascii="Times New Roman" w:eastAsia="Times New Roman"/>
          <w:color w:val="auto"/>
          <w:highlight w:val="none"/>
          <w:u w:val="single"/>
        </w:rPr>
        <w:tab/>
      </w:r>
      <w:r>
        <w:rPr>
          <w:color w:val="auto"/>
          <w:highlight w:val="none"/>
        </w:rPr>
        <w:t>（招标人名称</w:t>
      </w:r>
      <w:r>
        <w:rPr>
          <w:color w:val="auto"/>
          <w:spacing w:val="-120"/>
          <w:highlight w:val="none"/>
        </w:rPr>
        <w:t>）</w:t>
      </w:r>
      <w:r>
        <w:rPr>
          <w:color w:val="auto"/>
          <w:highlight w:val="none"/>
        </w:rPr>
        <w:t>：</w:t>
      </w:r>
    </w:p>
    <w:p>
      <w:pPr>
        <w:pStyle w:val="20"/>
        <w:tabs>
          <w:tab w:val="left" w:pos="4924"/>
          <w:tab w:val="left" w:pos="7454"/>
        </w:tabs>
        <w:spacing w:before="173" w:line="280" w:lineRule="auto"/>
        <w:ind w:left="224" w:right="284" w:firstLine="479"/>
        <w:jc w:val="both"/>
        <w:rPr>
          <w:color w:val="auto"/>
          <w:highlight w:val="none"/>
        </w:rPr>
      </w:pPr>
      <w:r>
        <w:rPr>
          <w:rFonts w:ascii="Times New Roman" w:eastAsia="Times New Roman"/>
          <w:color w:val="auto"/>
          <w:highlight w:val="none"/>
        </w:rPr>
        <w:t>1</w:t>
      </w:r>
      <w:r>
        <w:rPr>
          <w:color w:val="auto"/>
          <w:highlight w:val="none"/>
        </w:rPr>
        <w:t>．我方已仔细研究</w:t>
      </w:r>
      <w:r>
        <w:rPr>
          <w:color w:val="auto"/>
          <w:highlight w:val="none"/>
          <w:u w:val="single"/>
        </w:rPr>
        <w:tab/>
      </w:r>
      <w:r>
        <w:rPr>
          <w:color w:val="auto"/>
          <w:highlight w:val="none"/>
        </w:rPr>
        <w:t>（项目名称）施工招标文件的全部内</w:t>
      </w:r>
      <w:r>
        <w:rPr>
          <w:color w:val="auto"/>
          <w:spacing w:val="-29"/>
          <w:highlight w:val="none"/>
        </w:rPr>
        <w:t>容</w:t>
      </w:r>
      <w:r>
        <w:rPr>
          <w:color w:val="auto"/>
          <w:highlight w:val="none"/>
        </w:rPr>
        <w:t>（含补遗书第</w:t>
      </w:r>
      <w:r>
        <w:rPr>
          <w:rFonts w:hint="eastAsia"/>
          <w:color w:val="auto"/>
          <w:highlight w:val="none"/>
          <w:u w:val="single"/>
          <w:lang w:val="en-US"/>
        </w:rPr>
        <w:t xml:space="preserve">    </w:t>
      </w:r>
      <w:r>
        <w:rPr>
          <w:color w:val="auto"/>
          <w:highlight w:val="none"/>
        </w:rPr>
        <w:t>号至第</w:t>
      </w:r>
      <w:r>
        <w:rPr>
          <w:rFonts w:hint="eastAsia"/>
          <w:color w:val="auto"/>
          <w:highlight w:val="none"/>
          <w:u w:val="single"/>
          <w:lang w:val="en-US"/>
        </w:rPr>
        <w:t xml:space="preserve">     </w:t>
      </w:r>
      <w:r>
        <w:rPr>
          <w:color w:val="auto"/>
          <w:highlight w:val="none"/>
        </w:rPr>
        <w:t>号</w:t>
      </w:r>
      <w:r>
        <w:rPr>
          <w:color w:val="auto"/>
          <w:spacing w:val="-75"/>
          <w:highlight w:val="none"/>
        </w:rPr>
        <w:t>），</w:t>
      </w:r>
      <w:r>
        <w:rPr>
          <w:color w:val="auto"/>
          <w:highlight w:val="none"/>
        </w:rPr>
        <w:t>在考察工程现场后</w:t>
      </w:r>
      <w:r>
        <w:rPr>
          <w:color w:val="auto"/>
          <w:spacing w:val="-29"/>
          <w:highlight w:val="none"/>
        </w:rPr>
        <w:t>，</w:t>
      </w:r>
      <w:r>
        <w:rPr>
          <w:color w:val="auto"/>
          <w:highlight w:val="none"/>
        </w:rPr>
        <w:t>愿意以第二个信封（报价文件）中的投标总报价（或根据招标文件规定修正核实后确定的另一金额</w:t>
      </w:r>
      <w:r>
        <w:rPr>
          <w:color w:val="auto"/>
          <w:spacing w:val="-121"/>
          <w:highlight w:val="none"/>
        </w:rPr>
        <w:t>）</w:t>
      </w:r>
      <w:r>
        <w:rPr>
          <w:color w:val="auto"/>
          <w:highlight w:val="none"/>
        </w:rPr>
        <w:t>，按合同约定实施和完成承包工程，修补工程中的任何缺陷。</w:t>
      </w:r>
    </w:p>
    <w:p>
      <w:pPr>
        <w:pStyle w:val="20"/>
        <w:tabs>
          <w:tab w:val="left" w:pos="4924"/>
          <w:tab w:val="left" w:pos="7454"/>
        </w:tabs>
        <w:spacing w:before="173" w:line="280" w:lineRule="auto"/>
        <w:ind w:left="224" w:right="284" w:firstLine="479"/>
        <w:jc w:val="both"/>
        <w:rPr>
          <w:color w:val="auto"/>
          <w:highlight w:val="none"/>
        </w:rPr>
      </w:pPr>
      <w:r>
        <w:rPr>
          <w:rFonts w:ascii="Times New Roman" w:eastAsia="Times New Roman"/>
          <w:color w:val="auto"/>
          <w:highlight w:val="none"/>
        </w:rPr>
        <w:t>2</w:t>
      </w:r>
      <w:r>
        <w:rPr>
          <w:color w:val="auto"/>
          <w:highlight w:val="none"/>
        </w:rPr>
        <w:t>．我方承诺在招标文件规定的投标有效期内不撤销投标文件。</w:t>
      </w:r>
    </w:p>
    <w:p>
      <w:pPr>
        <w:pStyle w:val="20"/>
        <w:tabs>
          <w:tab w:val="left" w:pos="3584"/>
          <w:tab w:val="left" w:pos="6345"/>
          <w:tab w:val="left" w:pos="7785"/>
        </w:tabs>
        <w:spacing w:before="53"/>
        <w:ind w:left="704"/>
        <w:rPr>
          <w:color w:val="auto"/>
          <w:highlight w:val="none"/>
        </w:rPr>
      </w:pPr>
      <w:r>
        <w:rPr>
          <w:rFonts w:ascii="Times New Roman" w:eastAsia="Times New Roman"/>
          <w:color w:val="auto"/>
          <w:highlight w:val="none"/>
        </w:rPr>
        <w:t>3</w:t>
      </w:r>
      <w:r>
        <w:rPr>
          <w:color w:val="auto"/>
          <w:highlight w:val="none"/>
        </w:rPr>
        <w:t>．工程质量：</w:t>
      </w:r>
      <w:r>
        <w:rPr>
          <w:rFonts w:hint="eastAsia"/>
          <w:color w:val="auto"/>
          <w:highlight w:val="none"/>
          <w:u w:val="single"/>
          <w:lang w:val="en-US"/>
        </w:rPr>
        <w:t xml:space="preserve">                  </w:t>
      </w:r>
      <w:r>
        <w:rPr>
          <w:color w:val="auto"/>
          <w:highlight w:val="none"/>
        </w:rPr>
        <w:t>，</w:t>
      </w:r>
      <w:r>
        <w:rPr>
          <w:rFonts w:hint="eastAsia"/>
          <w:color w:val="auto"/>
          <w:highlight w:val="none"/>
        </w:rPr>
        <w:t>安全目标：</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u w:val="single"/>
        </w:rPr>
        <w:t>安全生产责任事故为零</w:t>
      </w:r>
      <w:r>
        <w:rPr>
          <w:rFonts w:hint="eastAsia"/>
          <w:color w:val="auto"/>
          <w:highlight w:val="none"/>
          <w:u w:val="single"/>
          <w:lang w:val="en-US"/>
        </w:rPr>
        <w:t xml:space="preserve">   </w:t>
      </w:r>
      <w:r>
        <w:rPr>
          <w:rFonts w:hint="eastAsia"/>
          <w:color w:val="auto"/>
          <w:highlight w:val="none"/>
        </w:rPr>
        <w:t>，</w:t>
      </w:r>
    </w:p>
    <w:p>
      <w:pPr>
        <w:pStyle w:val="20"/>
        <w:tabs>
          <w:tab w:val="left" w:pos="3584"/>
          <w:tab w:val="left" w:pos="6345"/>
          <w:tab w:val="left" w:pos="7785"/>
        </w:tabs>
        <w:spacing w:before="53"/>
        <w:ind w:left="704" w:leftChars="320" w:firstLine="360" w:firstLineChars="150"/>
        <w:rPr>
          <w:color w:val="auto"/>
          <w:highlight w:val="none"/>
          <w:u w:val="single"/>
          <w:lang w:val="en-US"/>
        </w:rPr>
      </w:pPr>
      <w:r>
        <w:rPr>
          <w:color w:val="auto"/>
          <w:highlight w:val="none"/>
        </w:rPr>
        <w:t>工期：</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rPr>
        <w:t>。</w:t>
      </w:r>
    </w:p>
    <w:p>
      <w:pPr>
        <w:pStyle w:val="20"/>
        <w:spacing w:before="52"/>
        <w:ind w:left="704"/>
        <w:rPr>
          <w:color w:val="auto"/>
          <w:highlight w:val="none"/>
        </w:rPr>
      </w:pPr>
      <w:r>
        <w:rPr>
          <w:rFonts w:ascii="Times New Roman" w:eastAsia="Times New Roman"/>
          <w:color w:val="auto"/>
          <w:highlight w:val="none"/>
        </w:rPr>
        <w:t>4</w:t>
      </w:r>
      <w:r>
        <w:rPr>
          <w:color w:val="auto"/>
          <w:highlight w:val="none"/>
        </w:rPr>
        <w:t>．如我方中标，我方承诺：</w:t>
      </w:r>
    </w:p>
    <w:p>
      <w:pPr>
        <w:pStyle w:val="20"/>
        <w:spacing w:before="53"/>
        <w:ind w:left="704"/>
        <w:rPr>
          <w:color w:val="auto"/>
          <w:highlight w:val="none"/>
        </w:rPr>
      </w:pPr>
      <w:r>
        <w:rPr>
          <w:color w:val="auto"/>
          <w:highlight w:val="none"/>
        </w:rPr>
        <w:t>（</w:t>
      </w:r>
      <w:r>
        <w:rPr>
          <w:rFonts w:ascii="Times New Roman" w:eastAsia="Times New Roman"/>
          <w:color w:val="auto"/>
          <w:highlight w:val="none"/>
        </w:rPr>
        <w:t>1</w:t>
      </w:r>
      <w:r>
        <w:rPr>
          <w:color w:val="auto"/>
          <w:highlight w:val="none"/>
        </w:rPr>
        <w:t>）在收到中标通知书后，在中标通知书规定的期限内与你方签订合同；</w:t>
      </w:r>
    </w:p>
    <w:p>
      <w:pPr>
        <w:pStyle w:val="20"/>
        <w:spacing w:before="52"/>
        <w:ind w:left="704"/>
        <w:rPr>
          <w:color w:val="auto"/>
          <w:highlight w:val="none"/>
        </w:rPr>
      </w:pPr>
      <w:r>
        <w:rPr>
          <w:color w:val="auto"/>
          <w:highlight w:val="none"/>
        </w:rPr>
        <w:t>（</w:t>
      </w:r>
      <w:r>
        <w:rPr>
          <w:rFonts w:ascii="Times New Roman" w:eastAsia="Times New Roman"/>
          <w:color w:val="auto"/>
          <w:highlight w:val="none"/>
        </w:rPr>
        <w:t>2</w:t>
      </w:r>
      <w:r>
        <w:rPr>
          <w:color w:val="auto"/>
          <w:highlight w:val="none"/>
        </w:rPr>
        <w:t>）在签订合同时不向你方提出附加条件；</w:t>
      </w:r>
    </w:p>
    <w:p>
      <w:pPr>
        <w:pStyle w:val="20"/>
        <w:spacing w:before="53"/>
        <w:ind w:left="704"/>
        <w:rPr>
          <w:color w:val="auto"/>
          <w:highlight w:val="none"/>
        </w:rPr>
      </w:pPr>
      <w:r>
        <w:rPr>
          <w:color w:val="auto"/>
          <w:highlight w:val="none"/>
        </w:rPr>
        <w:t>（</w:t>
      </w:r>
      <w:r>
        <w:rPr>
          <w:rFonts w:ascii="Times New Roman" w:eastAsia="Times New Roman"/>
          <w:color w:val="auto"/>
          <w:highlight w:val="none"/>
        </w:rPr>
        <w:t>3</w:t>
      </w:r>
      <w:r>
        <w:rPr>
          <w:color w:val="auto"/>
          <w:highlight w:val="none"/>
        </w:rPr>
        <w:t>）按照招标文件要求提交履约保证金；</w:t>
      </w:r>
    </w:p>
    <w:p>
      <w:pPr>
        <w:pStyle w:val="20"/>
        <w:spacing w:before="52"/>
        <w:ind w:left="704"/>
        <w:rPr>
          <w:color w:val="auto"/>
          <w:highlight w:val="none"/>
        </w:rPr>
      </w:pPr>
      <w:r>
        <w:rPr>
          <w:color w:val="auto"/>
          <w:highlight w:val="none"/>
        </w:rPr>
        <w:t>（</w:t>
      </w:r>
      <w:r>
        <w:rPr>
          <w:rFonts w:ascii="Times New Roman" w:eastAsia="Times New Roman"/>
          <w:color w:val="auto"/>
          <w:highlight w:val="none"/>
        </w:rPr>
        <w:t>4</w:t>
      </w:r>
      <w:r>
        <w:rPr>
          <w:color w:val="auto"/>
          <w:highlight w:val="none"/>
        </w:rPr>
        <w:t>）在合同约定的期限内完成合同规定的全部义务；</w:t>
      </w:r>
    </w:p>
    <w:p>
      <w:pPr>
        <w:pStyle w:val="20"/>
        <w:spacing w:before="53" w:line="280" w:lineRule="auto"/>
        <w:ind w:left="224" w:right="285" w:firstLine="479"/>
        <w:jc w:val="both"/>
        <w:rPr>
          <w:color w:val="auto"/>
          <w:sz w:val="12"/>
          <w:highlight w:val="none"/>
        </w:rPr>
      </w:pPr>
      <w:r>
        <w:rPr>
          <w:color w:val="auto"/>
          <w:spacing w:val="-15"/>
          <w:highlight w:val="none"/>
        </w:rPr>
        <w:t>（</w:t>
      </w:r>
      <w:r>
        <w:rPr>
          <w:rFonts w:ascii="Times New Roman" w:hAnsi="Times New Roman" w:eastAsia="Times New Roman"/>
          <w:color w:val="auto"/>
          <w:spacing w:val="-15"/>
          <w:highlight w:val="none"/>
        </w:rPr>
        <w:t>5</w:t>
      </w:r>
      <w:r>
        <w:rPr>
          <w:color w:val="auto"/>
          <w:spacing w:val="-15"/>
          <w:highlight w:val="none"/>
        </w:rPr>
        <w:t>）</w:t>
      </w:r>
      <w:r>
        <w:rPr>
          <w:color w:val="auto"/>
          <w:spacing w:val="-3"/>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pPr>
        <w:pStyle w:val="20"/>
        <w:spacing w:before="1" w:line="280" w:lineRule="auto"/>
        <w:ind w:left="224" w:right="285" w:firstLine="479"/>
        <w:rPr>
          <w:color w:val="auto"/>
          <w:highlight w:val="none"/>
        </w:rPr>
      </w:pPr>
      <w:r>
        <w:rPr>
          <w:rFonts w:ascii="Times New Roman" w:hAnsi="Times New Roman" w:eastAsia="Times New Roman"/>
          <w:color w:val="auto"/>
          <w:spacing w:val="-11"/>
          <w:highlight w:val="none"/>
        </w:rPr>
        <w:t>5</w:t>
      </w:r>
      <w:r>
        <w:rPr>
          <w:color w:val="auto"/>
          <w:spacing w:val="-8"/>
          <w:highlight w:val="none"/>
        </w:rPr>
        <w:t>．我方在此声明，所递交的投标文件及有关资料内容完整、真实和准确，且不存在招标文件第二章</w:t>
      </w:r>
      <w:r>
        <w:rPr>
          <w:rFonts w:ascii="Times New Roman" w:hAnsi="Times New Roman" w:eastAsia="Times New Roman"/>
          <w:color w:val="auto"/>
          <w:spacing w:val="-8"/>
          <w:highlight w:val="none"/>
        </w:rPr>
        <w:t>“</w:t>
      </w:r>
      <w:r>
        <w:rPr>
          <w:color w:val="auto"/>
          <w:spacing w:val="-8"/>
          <w:highlight w:val="none"/>
        </w:rPr>
        <w:t>投标人须知</w:t>
      </w:r>
      <w:r>
        <w:rPr>
          <w:rFonts w:ascii="Times New Roman" w:hAnsi="Times New Roman" w:eastAsia="Times New Roman"/>
          <w:color w:val="auto"/>
          <w:spacing w:val="-8"/>
          <w:highlight w:val="none"/>
        </w:rPr>
        <w:t>”</w:t>
      </w:r>
      <w:r>
        <w:rPr>
          <w:color w:val="auto"/>
          <w:spacing w:val="-35"/>
          <w:highlight w:val="none"/>
        </w:rPr>
        <w:t xml:space="preserve">第 </w:t>
      </w:r>
      <w:r>
        <w:rPr>
          <w:rFonts w:ascii="Times New Roman" w:hAnsi="Times New Roman" w:eastAsia="Times New Roman"/>
          <w:color w:val="auto"/>
          <w:highlight w:val="none"/>
        </w:rPr>
        <w:t xml:space="preserve">1.4.3 </w:t>
      </w:r>
      <w:r>
        <w:rPr>
          <w:color w:val="auto"/>
          <w:spacing w:val="-16"/>
          <w:highlight w:val="none"/>
        </w:rPr>
        <w:t xml:space="preserve">项和第 </w:t>
      </w:r>
      <w:r>
        <w:rPr>
          <w:rFonts w:ascii="Times New Roman" w:hAnsi="Times New Roman" w:eastAsia="Times New Roman"/>
          <w:color w:val="auto"/>
          <w:highlight w:val="none"/>
        </w:rPr>
        <w:t xml:space="preserve">1.4.4 </w:t>
      </w:r>
      <w:r>
        <w:rPr>
          <w:color w:val="auto"/>
          <w:highlight w:val="none"/>
        </w:rPr>
        <w:t>项规定的任何一种情形。</w:t>
      </w:r>
    </w:p>
    <w:p>
      <w:pPr>
        <w:pStyle w:val="20"/>
        <w:spacing w:before="1" w:line="280" w:lineRule="auto"/>
        <w:ind w:left="224" w:right="285" w:firstLine="479"/>
        <w:rPr>
          <w:color w:val="auto"/>
          <w:highlight w:val="none"/>
        </w:rPr>
      </w:pPr>
      <w:r>
        <w:rPr>
          <w:rFonts w:ascii="Times New Roman" w:eastAsia="Times New Roman"/>
          <w:color w:val="auto"/>
          <w:spacing w:val="-22"/>
          <w:highlight w:val="none"/>
        </w:rPr>
        <w:t>6</w:t>
      </w:r>
      <w:r>
        <w:rPr>
          <w:color w:val="auto"/>
          <w:spacing w:val="-8"/>
          <w:highlight w:val="none"/>
        </w:rPr>
        <w:t>．在合同协议书正式签署生效之前，本投标函连同你方的中标通知书将构成我们双方之间共同遵守的文件，对双方具有约束力。</w:t>
      </w:r>
    </w:p>
    <w:p>
      <w:pPr>
        <w:tabs>
          <w:tab w:val="left" w:pos="2977"/>
          <w:tab w:val="left" w:pos="3261"/>
        </w:tabs>
        <w:spacing w:line="360" w:lineRule="exact"/>
        <w:ind w:firstLine="770" w:firstLineChars="350"/>
        <w:rPr>
          <w:color w:val="auto"/>
          <w:sz w:val="24"/>
          <w:highlight w:val="none"/>
        </w:rPr>
      </w:pPr>
      <w:r>
        <w:rPr>
          <w:rFonts w:ascii="Times New Roman" w:eastAsia="Times New Roman"/>
          <w:color w:val="auto"/>
          <w:highlight w:val="none"/>
        </w:rPr>
        <w:t>7</w:t>
      </w:r>
      <w:r>
        <w:rPr>
          <w:color w:val="auto"/>
          <w:highlight w:val="none"/>
        </w:rPr>
        <w:t>．</w:t>
      </w:r>
      <w:r>
        <w:rPr>
          <w:color w:val="auto"/>
          <w:highlight w:val="none"/>
          <w:u w:val="single"/>
        </w:rPr>
        <w:tab/>
      </w:r>
      <w:r>
        <w:rPr>
          <w:color w:val="auto"/>
          <w:highlight w:val="none"/>
        </w:rPr>
        <w:t>（其他补充说明</w:t>
      </w:r>
      <w:r>
        <w:rPr>
          <w:color w:val="auto"/>
          <w:spacing w:val="-120"/>
          <w:highlight w:val="none"/>
        </w:rPr>
        <w:t>）</w:t>
      </w:r>
      <w:r>
        <w:rPr>
          <w:color w:val="auto"/>
          <w:highlight w:val="none"/>
        </w:rPr>
        <w:t>。</w:t>
      </w:r>
    </w:p>
    <w:p>
      <w:pPr>
        <w:tabs>
          <w:tab w:val="left" w:pos="2977"/>
          <w:tab w:val="left" w:pos="3261"/>
        </w:tabs>
        <w:spacing w:line="360" w:lineRule="exact"/>
        <w:ind w:firstLine="3120" w:firstLineChars="1300"/>
        <w:rPr>
          <w:color w:val="auto"/>
          <w:sz w:val="24"/>
          <w:highlight w:val="none"/>
        </w:rPr>
      </w:pPr>
    </w:p>
    <w:p>
      <w:pPr>
        <w:tabs>
          <w:tab w:val="left" w:pos="2977"/>
          <w:tab w:val="left" w:pos="3261"/>
        </w:tabs>
        <w:spacing w:line="360" w:lineRule="exact"/>
        <w:rPr>
          <w:color w:val="auto"/>
          <w:sz w:val="24"/>
          <w:highlight w:val="none"/>
        </w:rPr>
      </w:pPr>
      <w:r>
        <w:rPr>
          <w:color w:val="auto"/>
          <w:sz w:val="24"/>
          <w:highlight w:val="none"/>
        </w:rPr>
        <w:t>投标人：（盖单位章）</w:t>
      </w:r>
    </w:p>
    <w:p>
      <w:pPr>
        <w:spacing w:line="360" w:lineRule="exact"/>
        <w:rPr>
          <w:color w:val="auto"/>
          <w:sz w:val="24"/>
          <w:highlight w:val="none"/>
        </w:rPr>
      </w:pPr>
      <w:r>
        <w:rPr>
          <w:color w:val="auto"/>
          <w:sz w:val="24"/>
          <w:highlight w:val="none"/>
        </w:rPr>
        <w:t>法定代表人或其委托代理人：（签字）</w:t>
      </w:r>
    </w:p>
    <w:p>
      <w:pPr>
        <w:spacing w:line="360" w:lineRule="exact"/>
        <w:rPr>
          <w:color w:val="auto"/>
          <w:sz w:val="24"/>
          <w:highlight w:val="none"/>
        </w:rPr>
      </w:pPr>
      <w:r>
        <w:rPr>
          <w:color w:val="auto"/>
          <w:sz w:val="24"/>
          <w:highlight w:val="none"/>
        </w:rPr>
        <w:t>地址：</w:t>
      </w:r>
    </w:p>
    <w:p>
      <w:pPr>
        <w:spacing w:line="360" w:lineRule="exact"/>
        <w:rPr>
          <w:color w:val="auto"/>
          <w:sz w:val="24"/>
          <w:highlight w:val="none"/>
        </w:rPr>
      </w:pPr>
      <w:r>
        <w:rPr>
          <w:color w:val="auto"/>
          <w:sz w:val="24"/>
          <w:highlight w:val="none"/>
        </w:rPr>
        <w:t>网址：</w:t>
      </w:r>
    </w:p>
    <w:p>
      <w:pPr>
        <w:spacing w:line="360" w:lineRule="exact"/>
        <w:rPr>
          <w:color w:val="auto"/>
          <w:sz w:val="24"/>
          <w:highlight w:val="none"/>
        </w:rPr>
      </w:pPr>
      <w:r>
        <w:rPr>
          <w:color w:val="auto"/>
          <w:sz w:val="24"/>
          <w:highlight w:val="none"/>
        </w:rPr>
        <w:t>电话：</w:t>
      </w:r>
    </w:p>
    <w:p>
      <w:pPr>
        <w:spacing w:line="360" w:lineRule="exact"/>
        <w:rPr>
          <w:color w:val="auto"/>
          <w:sz w:val="24"/>
          <w:highlight w:val="none"/>
        </w:rPr>
      </w:pPr>
      <w:r>
        <w:rPr>
          <w:color w:val="auto"/>
          <w:sz w:val="24"/>
          <w:highlight w:val="none"/>
        </w:rPr>
        <w:t>传真：</w:t>
      </w:r>
    </w:p>
    <w:p>
      <w:pPr>
        <w:spacing w:line="360" w:lineRule="exact"/>
        <w:rPr>
          <w:color w:val="auto"/>
          <w:sz w:val="24"/>
          <w:highlight w:val="none"/>
        </w:rPr>
      </w:pPr>
      <w:r>
        <w:rPr>
          <w:color w:val="auto"/>
          <w:sz w:val="24"/>
          <w:highlight w:val="none"/>
        </w:rPr>
        <w:t>邮政编码：</w:t>
      </w:r>
    </w:p>
    <w:p>
      <w:pPr>
        <w:spacing w:line="360" w:lineRule="exact"/>
        <w:rPr>
          <w:color w:val="auto"/>
          <w:sz w:val="24"/>
          <w:highlight w:val="none"/>
        </w:rPr>
      </w:pPr>
    </w:p>
    <w:p>
      <w:pPr>
        <w:spacing w:line="360" w:lineRule="exact"/>
        <w:ind w:firstLine="6360" w:firstLineChars="2650"/>
        <w:rPr>
          <w:color w:val="auto"/>
          <w:sz w:val="24"/>
          <w:highlight w:val="none"/>
        </w:rPr>
      </w:pPr>
      <w:r>
        <w:rPr>
          <w:color w:val="auto"/>
          <w:sz w:val="24"/>
          <w:highlight w:val="none"/>
        </w:rPr>
        <w:t>年</w:t>
      </w:r>
      <w:r>
        <w:rPr>
          <w:rFonts w:hint="eastAsia"/>
          <w:color w:val="auto"/>
          <w:sz w:val="24"/>
          <w:highlight w:val="none"/>
          <w:lang w:val="en-US"/>
        </w:rPr>
        <w:t xml:space="preserve">  </w:t>
      </w:r>
      <w:r>
        <w:rPr>
          <w:color w:val="auto"/>
          <w:sz w:val="24"/>
          <w:highlight w:val="none"/>
        </w:rPr>
        <w:t>月</w:t>
      </w:r>
      <w:r>
        <w:rPr>
          <w:rFonts w:hint="eastAsia"/>
          <w:color w:val="auto"/>
          <w:sz w:val="24"/>
          <w:highlight w:val="none"/>
          <w:lang w:val="en-US"/>
        </w:rPr>
        <w:t xml:space="preserve">  </w:t>
      </w:r>
      <w:r>
        <w:rPr>
          <w:color w:val="auto"/>
          <w:sz w:val="24"/>
          <w:highlight w:val="none"/>
        </w:rPr>
        <w:t>日</w:t>
      </w:r>
    </w:p>
    <w:p>
      <w:pPr>
        <w:pStyle w:val="20"/>
        <w:tabs>
          <w:tab w:val="left" w:pos="5745"/>
        </w:tabs>
        <w:ind w:left="704"/>
        <w:rPr>
          <w:color w:val="auto"/>
          <w:highlight w:val="none"/>
        </w:rPr>
      </w:pPr>
    </w:p>
    <w:p>
      <w:pPr>
        <w:pStyle w:val="11"/>
        <w:spacing w:before="58"/>
        <w:ind w:right="60"/>
        <w:rPr>
          <w:color w:val="auto"/>
          <w:highlight w:val="none"/>
        </w:rPr>
      </w:pPr>
      <w:bookmarkStart w:id="4247" w:name="_bookmark291"/>
      <w:bookmarkEnd w:id="4247"/>
      <w:r>
        <w:rPr>
          <w:color w:val="auto"/>
          <w:highlight w:val="none"/>
        </w:rPr>
        <w:t>（二）投标函附录</w:t>
      </w:r>
    </w:p>
    <w:tbl>
      <w:tblPr>
        <w:tblStyle w:val="47"/>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条款名称</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合同条目号</w:t>
            </w:r>
          </w:p>
        </w:tc>
        <w:tc>
          <w:tcPr>
            <w:tcW w:w="368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约定内容</w:t>
            </w:r>
          </w:p>
        </w:tc>
        <w:tc>
          <w:tcPr>
            <w:tcW w:w="119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缺陷责任期</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1.1.4.5</w:t>
            </w:r>
          </w:p>
        </w:tc>
        <w:tc>
          <w:tcPr>
            <w:tcW w:w="3686" w:type="dxa"/>
            <w:vAlign w:val="center"/>
          </w:tcPr>
          <w:p>
            <w:pPr>
              <w:ind w:firstLine="204" w:firstLineChars="100"/>
              <w:rPr>
                <w:rFonts w:asciiTheme="minorEastAsia" w:hAnsiTheme="minorEastAsia" w:eastAsiaTheme="minorEastAsia"/>
                <w:color w:val="auto"/>
                <w:szCs w:val="21"/>
                <w:highlight w:val="none"/>
              </w:rPr>
            </w:pPr>
            <w:r>
              <w:rPr>
                <w:rFonts w:hint="eastAsia"/>
                <w:color w:val="auto"/>
                <w:spacing w:val="-3"/>
                <w:sz w:val="21"/>
                <w:highlight w:val="none"/>
              </w:rPr>
              <w:t>自实际验收之日起计算</w:t>
            </w:r>
            <w:r>
              <w:rPr>
                <w:rFonts w:hint="eastAsia"/>
                <w:color w:val="auto"/>
                <w:spacing w:val="-3"/>
                <w:sz w:val="21"/>
                <w:highlight w:val="none"/>
                <w:u w:val="single"/>
              </w:rPr>
              <w:t xml:space="preserve"> </w:t>
            </w:r>
            <w:r>
              <w:rPr>
                <w:rFonts w:hint="eastAsia"/>
                <w:color w:val="auto"/>
                <w:sz w:val="21"/>
                <w:highlight w:val="none"/>
                <w:u w:val="single"/>
                <w:lang w:val="en-US"/>
              </w:rPr>
              <w:t>12</w:t>
            </w:r>
            <w:r>
              <w:rPr>
                <w:rFonts w:hint="eastAsia"/>
                <w:color w:val="auto"/>
                <w:spacing w:val="51"/>
                <w:sz w:val="21"/>
                <w:highlight w:val="none"/>
                <w:u w:val="single"/>
              </w:rPr>
              <w:t xml:space="preserve"> </w:t>
            </w:r>
            <w:r>
              <w:rPr>
                <w:rFonts w:hint="eastAsia"/>
                <w:color w:val="auto"/>
                <w:sz w:val="21"/>
                <w:highlight w:val="none"/>
              </w:rPr>
              <w:t>个月</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693" w:type="dxa"/>
            <w:vAlign w:val="center"/>
          </w:tcPr>
          <w:p>
            <w:pPr>
              <w:jc w:val="center"/>
              <w:rPr>
                <w:rFonts w:asciiTheme="minorEastAsia" w:hAnsiTheme="minorEastAsia" w:eastAsiaTheme="minorEastAsia"/>
                <w:color w:val="auto"/>
                <w:szCs w:val="21"/>
                <w:highlight w:val="none"/>
              </w:rPr>
            </w:pPr>
            <w:r>
              <w:rPr>
                <w:rFonts w:hint="eastAsia"/>
                <w:color w:val="auto"/>
                <w:sz w:val="21"/>
                <w:highlight w:val="none"/>
              </w:rPr>
              <w:t>逾</w:t>
            </w:r>
            <w:r>
              <w:rPr>
                <w:rFonts w:hint="eastAsia"/>
                <w:color w:val="auto"/>
                <w:spacing w:val="-3"/>
                <w:sz w:val="21"/>
                <w:highlight w:val="none"/>
              </w:rPr>
              <w:t>期</w:t>
            </w:r>
            <w:r>
              <w:rPr>
                <w:rFonts w:hint="eastAsia"/>
                <w:color w:val="auto"/>
                <w:sz w:val="21"/>
                <w:highlight w:val="none"/>
              </w:rPr>
              <w:t>完</w:t>
            </w:r>
            <w:r>
              <w:rPr>
                <w:rFonts w:hint="eastAsia"/>
                <w:color w:val="auto"/>
                <w:spacing w:val="-3"/>
                <w:sz w:val="21"/>
                <w:highlight w:val="none"/>
              </w:rPr>
              <w:t>工</w:t>
            </w:r>
            <w:r>
              <w:rPr>
                <w:rFonts w:hint="eastAsia"/>
                <w:color w:val="auto"/>
                <w:sz w:val="21"/>
                <w:highlight w:val="none"/>
              </w:rPr>
              <w:t>违</w:t>
            </w:r>
            <w:r>
              <w:rPr>
                <w:rFonts w:hint="eastAsia"/>
                <w:color w:val="auto"/>
                <w:spacing w:val="-3"/>
                <w:sz w:val="21"/>
                <w:highlight w:val="none"/>
              </w:rPr>
              <w:t>约</w:t>
            </w:r>
            <w:r>
              <w:rPr>
                <w:rFonts w:hint="eastAsia"/>
                <w:color w:val="auto"/>
                <w:sz w:val="21"/>
                <w:highlight w:val="none"/>
              </w:rPr>
              <w:t>金</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11.5（3）</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0.03%签约合同价格  </w:t>
            </w:r>
            <w:r>
              <w:rPr>
                <w:rFonts w:hint="eastAsia" w:asciiTheme="minorEastAsia" w:hAnsiTheme="minorEastAsia" w:eastAsiaTheme="minorEastAsia"/>
                <w:color w:val="auto"/>
                <w:szCs w:val="21"/>
                <w:highlight w:val="none"/>
              </w:rPr>
              <w:t>/天</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2693" w:type="dxa"/>
            <w:vAlign w:val="center"/>
          </w:tcPr>
          <w:p>
            <w:pPr>
              <w:jc w:val="center"/>
              <w:rPr>
                <w:rFonts w:asciiTheme="minorEastAsia" w:hAnsiTheme="minorEastAsia" w:eastAsiaTheme="minorEastAsia"/>
                <w:color w:val="auto"/>
                <w:szCs w:val="21"/>
                <w:highlight w:val="none"/>
              </w:rPr>
            </w:pPr>
            <w:r>
              <w:rPr>
                <w:rFonts w:hint="eastAsia"/>
                <w:color w:val="auto"/>
                <w:sz w:val="21"/>
                <w:highlight w:val="none"/>
              </w:rPr>
              <w:t>逾期</w:t>
            </w:r>
            <w:r>
              <w:rPr>
                <w:rFonts w:hint="eastAsia"/>
                <w:color w:val="auto"/>
                <w:spacing w:val="-3"/>
                <w:sz w:val="21"/>
                <w:highlight w:val="none"/>
              </w:rPr>
              <w:t>完</w:t>
            </w:r>
            <w:r>
              <w:rPr>
                <w:rFonts w:hint="eastAsia"/>
                <w:color w:val="auto"/>
                <w:sz w:val="21"/>
                <w:highlight w:val="none"/>
              </w:rPr>
              <w:t>工</w:t>
            </w:r>
            <w:r>
              <w:rPr>
                <w:rFonts w:hint="eastAsia"/>
                <w:color w:val="auto"/>
                <w:spacing w:val="-3"/>
                <w:sz w:val="21"/>
                <w:highlight w:val="none"/>
              </w:rPr>
              <w:t>违</w:t>
            </w:r>
            <w:r>
              <w:rPr>
                <w:rFonts w:hint="eastAsia"/>
                <w:color w:val="auto"/>
                <w:sz w:val="21"/>
                <w:highlight w:val="none"/>
              </w:rPr>
              <w:t>约</w:t>
            </w:r>
            <w:r>
              <w:rPr>
                <w:rFonts w:hint="eastAsia"/>
                <w:color w:val="auto"/>
                <w:spacing w:val="-3"/>
                <w:sz w:val="21"/>
                <w:highlight w:val="none"/>
              </w:rPr>
              <w:t>金</w:t>
            </w:r>
            <w:r>
              <w:rPr>
                <w:rFonts w:hint="eastAsia"/>
                <w:color w:val="auto"/>
                <w:sz w:val="21"/>
                <w:highlight w:val="none"/>
              </w:rPr>
              <w:t>限</w:t>
            </w:r>
            <w:r>
              <w:rPr>
                <w:rFonts w:hint="eastAsia"/>
                <w:color w:val="auto"/>
                <w:spacing w:val="-3"/>
                <w:sz w:val="21"/>
                <w:highlight w:val="none"/>
              </w:rPr>
              <w:t>额</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11.5（3）</w:t>
            </w:r>
          </w:p>
        </w:tc>
        <w:tc>
          <w:tcPr>
            <w:tcW w:w="3686" w:type="dxa"/>
            <w:vAlign w:val="center"/>
          </w:tcPr>
          <w:p>
            <w:pPr>
              <w:ind w:firstLine="220" w:firstLineChars="1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 xml:space="preserve">  10 %签约合同价  </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2693" w:type="dxa"/>
            <w:vAlign w:val="center"/>
          </w:tcPr>
          <w:p>
            <w:pPr>
              <w:jc w:val="center"/>
              <w:rPr>
                <w:rFonts w:asciiTheme="minorEastAsia" w:hAnsiTheme="minorEastAsia" w:eastAsiaTheme="minorEastAsia"/>
                <w:color w:val="auto"/>
                <w:szCs w:val="21"/>
                <w:highlight w:val="none"/>
              </w:rPr>
            </w:pPr>
            <w:r>
              <w:rPr>
                <w:rFonts w:hint="eastAsia"/>
                <w:color w:val="auto"/>
                <w:sz w:val="21"/>
                <w:highlight w:val="none"/>
              </w:rPr>
              <w:t>提前</w:t>
            </w:r>
            <w:r>
              <w:rPr>
                <w:rFonts w:hint="eastAsia"/>
                <w:color w:val="auto"/>
                <w:spacing w:val="-3"/>
                <w:sz w:val="21"/>
                <w:highlight w:val="none"/>
              </w:rPr>
              <w:t>完</w:t>
            </w:r>
            <w:r>
              <w:rPr>
                <w:rFonts w:hint="eastAsia"/>
                <w:color w:val="auto"/>
                <w:sz w:val="21"/>
                <w:highlight w:val="none"/>
              </w:rPr>
              <w:t>工</w:t>
            </w:r>
            <w:r>
              <w:rPr>
                <w:rFonts w:hint="eastAsia"/>
                <w:color w:val="auto"/>
                <w:spacing w:val="-3"/>
                <w:sz w:val="21"/>
                <w:highlight w:val="none"/>
              </w:rPr>
              <w:t>的</w:t>
            </w:r>
            <w:r>
              <w:rPr>
                <w:rFonts w:hint="eastAsia"/>
                <w:color w:val="auto"/>
                <w:sz w:val="21"/>
                <w:highlight w:val="none"/>
              </w:rPr>
              <w:t>奖</w:t>
            </w:r>
            <w:r>
              <w:rPr>
                <w:rFonts w:hint="eastAsia"/>
                <w:color w:val="auto"/>
                <w:spacing w:val="-3"/>
                <w:sz w:val="21"/>
                <w:highlight w:val="none"/>
              </w:rPr>
              <w:t>金</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11.6</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 </w:t>
            </w:r>
            <w:r>
              <w:rPr>
                <w:rFonts w:hint="eastAsia" w:asciiTheme="minorEastAsia" w:hAnsiTheme="minorEastAsia" w:eastAsiaTheme="minorEastAsia"/>
                <w:color w:val="auto"/>
                <w:szCs w:val="21"/>
                <w:highlight w:val="none"/>
              </w:rPr>
              <w:t>元/天</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2693" w:type="dxa"/>
            <w:vAlign w:val="center"/>
          </w:tcPr>
          <w:p>
            <w:pPr>
              <w:jc w:val="center"/>
              <w:rPr>
                <w:rFonts w:asciiTheme="minorEastAsia" w:hAnsiTheme="minorEastAsia" w:eastAsiaTheme="minorEastAsia"/>
                <w:color w:val="auto"/>
                <w:szCs w:val="21"/>
                <w:highlight w:val="none"/>
              </w:rPr>
            </w:pPr>
            <w:r>
              <w:rPr>
                <w:rFonts w:hint="eastAsia"/>
                <w:color w:val="auto"/>
                <w:sz w:val="21"/>
                <w:highlight w:val="none"/>
              </w:rPr>
              <w:t>提前</w:t>
            </w:r>
            <w:r>
              <w:rPr>
                <w:rFonts w:hint="eastAsia"/>
                <w:color w:val="auto"/>
                <w:spacing w:val="-3"/>
                <w:sz w:val="21"/>
                <w:highlight w:val="none"/>
              </w:rPr>
              <w:t>完</w:t>
            </w:r>
            <w:r>
              <w:rPr>
                <w:rFonts w:hint="eastAsia"/>
                <w:color w:val="auto"/>
                <w:sz w:val="21"/>
                <w:highlight w:val="none"/>
              </w:rPr>
              <w:t>工</w:t>
            </w:r>
            <w:r>
              <w:rPr>
                <w:rFonts w:hint="eastAsia"/>
                <w:color w:val="auto"/>
                <w:spacing w:val="-3"/>
                <w:sz w:val="21"/>
                <w:highlight w:val="none"/>
              </w:rPr>
              <w:t>的</w:t>
            </w:r>
            <w:r>
              <w:rPr>
                <w:rFonts w:hint="eastAsia"/>
                <w:color w:val="auto"/>
                <w:sz w:val="21"/>
                <w:highlight w:val="none"/>
              </w:rPr>
              <w:t>奖</w:t>
            </w:r>
            <w:r>
              <w:rPr>
                <w:rFonts w:hint="eastAsia"/>
                <w:color w:val="auto"/>
                <w:spacing w:val="-3"/>
                <w:sz w:val="21"/>
                <w:highlight w:val="none"/>
              </w:rPr>
              <w:t>金</w:t>
            </w:r>
            <w:r>
              <w:rPr>
                <w:rFonts w:hint="eastAsia"/>
                <w:color w:val="auto"/>
                <w:sz w:val="21"/>
                <w:highlight w:val="none"/>
              </w:rPr>
              <w:t>限</w:t>
            </w:r>
            <w:r>
              <w:rPr>
                <w:rFonts w:hint="eastAsia"/>
                <w:color w:val="auto"/>
                <w:spacing w:val="-3"/>
                <w:sz w:val="21"/>
                <w:highlight w:val="none"/>
              </w:rPr>
              <w:t>额</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11.6</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  </w:t>
            </w:r>
            <w:r>
              <w:rPr>
                <w:rFonts w:hint="eastAsia" w:asciiTheme="minorEastAsia" w:hAnsiTheme="minorEastAsia" w:eastAsiaTheme="minorEastAsia"/>
                <w:color w:val="auto"/>
                <w:szCs w:val="21"/>
                <w:highlight w:val="none"/>
              </w:rPr>
              <w:t>%签约合同价</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3"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价格调整的差额计算</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w:t>
            </w:r>
          </w:p>
        </w:tc>
        <w:tc>
          <w:tcPr>
            <w:tcW w:w="3686" w:type="dxa"/>
            <w:vAlign w:val="center"/>
          </w:tcPr>
          <w:p>
            <w:pPr>
              <w:ind w:firstLine="200" w:firstLineChars="100"/>
              <w:rPr>
                <w:rFonts w:asciiTheme="minorEastAsia" w:hAnsiTheme="minorEastAsia" w:eastAsiaTheme="minorEastAsia"/>
                <w:color w:val="auto"/>
                <w:szCs w:val="21"/>
                <w:highlight w:val="none"/>
              </w:rPr>
            </w:pPr>
            <w:r>
              <w:rPr>
                <w:rFonts w:hint="eastAsia"/>
                <w:color w:val="auto"/>
                <w:spacing w:val="-5"/>
                <w:sz w:val="21"/>
                <w:highlight w:val="none"/>
              </w:rPr>
              <w:t>合同期内不调价，因物价波动引起的价格调整本合同不予考虑</w:t>
            </w:r>
            <w:r>
              <w:rPr>
                <w:rFonts w:hint="eastAsia"/>
                <w:color w:val="auto"/>
                <w:sz w:val="21"/>
                <w:highlight w:val="none"/>
              </w:rPr>
              <w:t>。</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2693" w:type="dxa"/>
            <w:vAlign w:val="center"/>
          </w:tcPr>
          <w:p>
            <w:pPr>
              <w:jc w:val="center"/>
              <w:rPr>
                <w:rFonts w:asciiTheme="minorEastAsia" w:hAnsiTheme="minorEastAsia" w:eastAsiaTheme="minorEastAsia"/>
                <w:color w:val="auto"/>
                <w:szCs w:val="21"/>
                <w:highlight w:val="none"/>
              </w:rPr>
            </w:pPr>
            <w:r>
              <w:rPr>
                <w:rFonts w:hint="eastAsia"/>
                <w:color w:val="auto"/>
                <w:sz w:val="21"/>
                <w:szCs w:val="21"/>
                <w:highlight w:val="none"/>
              </w:rPr>
              <w:t>开工预付款金额</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17.2.1</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w:t>
            </w:r>
            <w:r>
              <w:rPr>
                <w:rFonts w:hint="eastAsia" w:asciiTheme="minorEastAsia" w:hAnsiTheme="minorEastAsia" w:eastAsiaTheme="minorEastAsia"/>
                <w:color w:val="auto"/>
                <w:szCs w:val="21"/>
                <w:highlight w:val="none"/>
                <w:lang w:val="en-US"/>
              </w:rPr>
              <w:t>提供签约合同价10%的</w:t>
            </w:r>
            <w:r>
              <w:rPr>
                <w:rFonts w:hint="eastAsia" w:asciiTheme="minorEastAsia" w:hAnsiTheme="minorEastAsia" w:eastAsiaTheme="minorEastAsia"/>
                <w:color w:val="auto"/>
                <w:szCs w:val="21"/>
                <w:highlight w:val="none"/>
              </w:rPr>
              <w:t>开工预付款</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材料、设备预付款</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17.2.1</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本项目不提供材料、设备预付款</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进度付款证书最低限额</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17.3.3(1)</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 </w:t>
            </w:r>
            <w:r>
              <w:rPr>
                <w:rFonts w:hint="eastAsia" w:asciiTheme="minorEastAsia" w:hAnsiTheme="minorEastAsia" w:eastAsiaTheme="minorEastAsia"/>
                <w:color w:val="auto"/>
                <w:szCs w:val="21"/>
                <w:highlight w:val="none"/>
              </w:rPr>
              <w:t>%签约合同价或</w:t>
            </w:r>
            <w:r>
              <w:rPr>
                <w:rFonts w:hint="eastAsia" w:asciiTheme="minorEastAsia" w:hAnsiTheme="minorEastAsia" w:eastAsiaTheme="minorEastAsia"/>
                <w:color w:val="auto"/>
                <w:szCs w:val="21"/>
                <w:highlight w:val="none"/>
                <w:u w:val="single"/>
              </w:rPr>
              <w:t xml:space="preserve"> /  </w:t>
            </w:r>
            <w:r>
              <w:rPr>
                <w:rFonts w:hint="eastAsia" w:asciiTheme="minorEastAsia" w:hAnsiTheme="minorEastAsia" w:eastAsiaTheme="minorEastAsia"/>
                <w:color w:val="auto"/>
                <w:szCs w:val="21"/>
                <w:highlight w:val="none"/>
              </w:rPr>
              <w:t>万元</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2"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逾期付款违约金的利率</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17.3.3(2)</w:t>
            </w:r>
          </w:p>
        </w:tc>
        <w:tc>
          <w:tcPr>
            <w:tcW w:w="3686" w:type="dxa"/>
            <w:vAlign w:val="center"/>
          </w:tcPr>
          <w:p>
            <w:pPr>
              <w:ind w:firstLine="210" w:firstLineChars="100"/>
              <w:rPr>
                <w:rFonts w:asciiTheme="minorEastAsia" w:hAnsiTheme="minorEastAsia" w:eastAsiaTheme="minorEastAsia"/>
                <w:color w:val="auto"/>
                <w:szCs w:val="21"/>
                <w:highlight w:val="none"/>
              </w:rPr>
            </w:pPr>
            <w:r>
              <w:rPr>
                <w:rFonts w:hint="eastAsia"/>
                <w:color w:val="auto"/>
                <w:sz w:val="21"/>
                <w:highlight w:val="none"/>
              </w:rPr>
              <w:t>本项目进度付款涉及政府投资资金，进度付款按照国库集中支付等国家及项目所在地省市及地区的政府及各级行业主管部门的相关规定办理。</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269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质量保证金金额</w:t>
            </w:r>
          </w:p>
        </w:tc>
        <w:tc>
          <w:tcPr>
            <w:tcW w:w="141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17.4.1</w:t>
            </w:r>
          </w:p>
        </w:tc>
        <w:tc>
          <w:tcPr>
            <w:tcW w:w="3686"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3 </w:t>
            </w:r>
            <w:r>
              <w:rPr>
                <w:rFonts w:hint="eastAsia" w:asciiTheme="minorEastAsia" w:hAnsiTheme="minorEastAsia" w:eastAsiaTheme="minorEastAsia"/>
                <w:color w:val="auto"/>
                <w:szCs w:val="21"/>
                <w:highlight w:val="none"/>
              </w:rPr>
              <w:t xml:space="preserve">%工程价款结算总额，质量保证金不计付利息。 </w:t>
            </w: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exact"/>
          <w:jc w:val="center"/>
        </w:trPr>
        <w:tc>
          <w:tcPr>
            <w:tcW w:w="65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2693" w:type="dxa"/>
            <w:vAlign w:val="center"/>
          </w:tcPr>
          <w:p>
            <w:pPr>
              <w:pStyle w:val="87"/>
              <w:spacing w:before="128" w:line="252" w:lineRule="exact"/>
              <w:ind w:left="285" w:right="276"/>
              <w:jc w:val="center"/>
              <w:rPr>
                <w:color w:val="auto"/>
                <w:sz w:val="21"/>
                <w:highlight w:val="none"/>
              </w:rPr>
            </w:pPr>
            <w:r>
              <w:rPr>
                <w:color w:val="auto"/>
                <w:sz w:val="21"/>
                <w:highlight w:val="none"/>
              </w:rPr>
              <w:t>保修期</w:t>
            </w:r>
          </w:p>
        </w:tc>
        <w:tc>
          <w:tcPr>
            <w:tcW w:w="1417" w:type="dxa"/>
            <w:vAlign w:val="center"/>
          </w:tcPr>
          <w:p>
            <w:pPr>
              <w:pStyle w:val="87"/>
              <w:spacing w:before="128" w:line="252" w:lineRule="exact"/>
              <w:ind w:left="9"/>
              <w:jc w:val="center"/>
              <w:rPr>
                <w:color w:val="auto"/>
                <w:sz w:val="21"/>
                <w:highlight w:val="none"/>
              </w:rPr>
            </w:pPr>
            <w:r>
              <w:rPr>
                <w:rFonts w:ascii="Times New Roman" w:eastAsia="Times New Roman"/>
                <w:color w:val="auto"/>
                <w:sz w:val="21"/>
                <w:highlight w:val="none"/>
              </w:rPr>
              <w:t>19.7</w:t>
            </w:r>
            <w:r>
              <w:rPr>
                <w:color w:val="auto"/>
                <w:sz w:val="21"/>
                <w:highlight w:val="none"/>
              </w:rPr>
              <w:t>（</w:t>
            </w:r>
            <w:r>
              <w:rPr>
                <w:rFonts w:ascii="Times New Roman" w:eastAsia="Times New Roman"/>
                <w:color w:val="auto"/>
                <w:sz w:val="21"/>
                <w:highlight w:val="none"/>
              </w:rPr>
              <w:t>1</w:t>
            </w:r>
            <w:r>
              <w:rPr>
                <w:color w:val="auto"/>
                <w:sz w:val="21"/>
                <w:highlight w:val="none"/>
              </w:rPr>
              <w:t>）</w:t>
            </w:r>
          </w:p>
        </w:tc>
        <w:tc>
          <w:tcPr>
            <w:tcW w:w="3686" w:type="dxa"/>
            <w:vAlign w:val="center"/>
          </w:tcPr>
          <w:p>
            <w:pPr>
              <w:pStyle w:val="87"/>
              <w:tabs>
                <w:tab w:val="left" w:pos="2732"/>
              </w:tabs>
              <w:spacing w:before="128" w:line="252" w:lineRule="exact"/>
              <w:rPr>
                <w:color w:val="auto"/>
                <w:sz w:val="21"/>
                <w:highlight w:val="none"/>
              </w:rPr>
            </w:pPr>
            <w:r>
              <w:rPr>
                <w:rFonts w:hint="eastAsia"/>
                <w:color w:val="auto"/>
                <w:spacing w:val="-3"/>
                <w:sz w:val="21"/>
                <w:highlight w:val="none"/>
              </w:rPr>
              <w:t>自</w:t>
            </w:r>
            <w:r>
              <w:rPr>
                <w:rFonts w:hint="eastAsia"/>
                <w:color w:val="auto"/>
                <w:sz w:val="21"/>
                <w:highlight w:val="none"/>
              </w:rPr>
              <w:t>实际验</w:t>
            </w:r>
            <w:r>
              <w:rPr>
                <w:rFonts w:hint="eastAsia"/>
                <w:color w:val="auto"/>
                <w:spacing w:val="-3"/>
                <w:sz w:val="21"/>
                <w:highlight w:val="none"/>
              </w:rPr>
              <w:t>收</w:t>
            </w:r>
            <w:r>
              <w:rPr>
                <w:rFonts w:hint="eastAsia"/>
                <w:color w:val="auto"/>
                <w:sz w:val="21"/>
                <w:highlight w:val="none"/>
              </w:rPr>
              <w:t>合</w:t>
            </w:r>
            <w:r>
              <w:rPr>
                <w:rFonts w:hint="eastAsia"/>
                <w:color w:val="auto"/>
                <w:spacing w:val="-3"/>
                <w:sz w:val="21"/>
                <w:highlight w:val="none"/>
              </w:rPr>
              <w:t>格</w:t>
            </w:r>
            <w:r>
              <w:rPr>
                <w:rFonts w:hint="eastAsia"/>
                <w:color w:val="auto"/>
                <w:sz w:val="21"/>
                <w:highlight w:val="none"/>
              </w:rPr>
              <w:t>之日</w:t>
            </w:r>
            <w:r>
              <w:rPr>
                <w:rFonts w:hint="eastAsia"/>
                <w:color w:val="auto"/>
                <w:spacing w:val="-3"/>
                <w:sz w:val="21"/>
                <w:highlight w:val="none"/>
              </w:rPr>
              <w:t>起</w:t>
            </w:r>
            <w:r>
              <w:rPr>
                <w:rFonts w:hint="eastAsia"/>
                <w:color w:val="auto"/>
                <w:sz w:val="21"/>
                <w:highlight w:val="none"/>
              </w:rPr>
              <w:t>计</w:t>
            </w:r>
            <w:r>
              <w:rPr>
                <w:rFonts w:hint="eastAsia"/>
                <w:color w:val="auto"/>
                <w:spacing w:val="-3"/>
                <w:sz w:val="21"/>
                <w:highlight w:val="none"/>
              </w:rPr>
              <w:t>算</w:t>
            </w:r>
            <w:r>
              <w:rPr>
                <w:rFonts w:hint="eastAsia"/>
                <w:color w:val="auto"/>
                <w:sz w:val="21"/>
                <w:highlight w:val="none"/>
                <w:u w:val="single"/>
                <w:lang w:val="en-US"/>
              </w:rPr>
              <w:t>12</w:t>
            </w:r>
            <w:r>
              <w:rPr>
                <w:rFonts w:hint="eastAsia"/>
                <w:color w:val="auto"/>
                <w:sz w:val="21"/>
                <w:highlight w:val="none"/>
                <w:u w:val="single"/>
              </w:rPr>
              <w:tab/>
            </w:r>
            <w:r>
              <w:rPr>
                <w:rFonts w:hint="eastAsia"/>
                <w:color w:val="auto"/>
                <w:spacing w:val="-3"/>
                <w:sz w:val="21"/>
                <w:highlight w:val="none"/>
              </w:rPr>
              <w:t>个月</w:t>
            </w:r>
          </w:p>
        </w:tc>
        <w:tc>
          <w:tcPr>
            <w:tcW w:w="1190" w:type="dxa"/>
            <w:vAlign w:val="center"/>
          </w:tcPr>
          <w:p>
            <w:pPr>
              <w:jc w:val="center"/>
              <w:rPr>
                <w:rFonts w:asciiTheme="minorEastAsia" w:hAnsiTheme="minorEastAsia" w:eastAsiaTheme="minorEastAsia"/>
                <w:color w:val="auto"/>
                <w:szCs w:val="21"/>
                <w:highlight w:val="none"/>
              </w:rPr>
            </w:pPr>
          </w:p>
        </w:tc>
      </w:tr>
    </w:tbl>
    <w:p>
      <w:pPr>
        <w:pStyle w:val="11"/>
        <w:spacing w:before="58"/>
        <w:ind w:right="60"/>
        <w:rPr>
          <w:color w:val="auto"/>
          <w:highlight w:val="none"/>
        </w:rPr>
      </w:pPr>
    </w:p>
    <w:p>
      <w:pPr>
        <w:pStyle w:val="20"/>
        <w:spacing w:after="1"/>
        <w:rPr>
          <w:rFonts w:ascii="黑体"/>
          <w:color w:val="auto"/>
          <w:sz w:val="19"/>
          <w:highlight w:val="none"/>
        </w:rPr>
      </w:pPr>
    </w:p>
    <w:p>
      <w:pPr>
        <w:rPr>
          <w:color w:val="auto"/>
          <w:sz w:val="21"/>
          <w:highlight w:val="none"/>
        </w:rPr>
        <w:sectPr>
          <w:headerReference r:id="rId49" w:type="even"/>
          <w:footerReference r:id="rId50" w:type="even"/>
          <w:pgSz w:w="11907" w:h="16840"/>
          <w:pgMar w:top="1418" w:right="1191" w:bottom="1418" w:left="1191" w:header="873" w:footer="851" w:gutter="0"/>
          <w:cols w:space="720" w:num="1"/>
        </w:sectPr>
      </w:pPr>
    </w:p>
    <w:p>
      <w:pPr>
        <w:pStyle w:val="4"/>
        <w:spacing w:beforeLines="100" w:afterLines="100" w:line="360" w:lineRule="auto"/>
        <w:ind w:left="0"/>
        <w:jc w:val="center"/>
        <w:rPr>
          <w:color w:val="auto"/>
          <w:sz w:val="28"/>
          <w:szCs w:val="28"/>
          <w:highlight w:val="none"/>
        </w:rPr>
      </w:pPr>
      <w:bookmarkStart w:id="4248" w:name="_bookmark292"/>
      <w:bookmarkEnd w:id="4248"/>
      <w:bookmarkStart w:id="4249" w:name="_Toc30396"/>
      <w:bookmarkStart w:id="4250" w:name="_Toc14574"/>
      <w:r>
        <w:rPr>
          <w:rFonts w:hint="eastAsia"/>
          <w:color w:val="auto"/>
          <w:sz w:val="28"/>
          <w:szCs w:val="28"/>
          <w:highlight w:val="none"/>
        </w:rPr>
        <w:t>二、授权委托书或法定代表人身份证明</w:t>
      </w:r>
      <w:bookmarkEnd w:id="4249"/>
      <w:bookmarkEnd w:id="4250"/>
    </w:p>
    <w:p>
      <w:pPr>
        <w:pStyle w:val="20"/>
        <w:spacing w:before="10"/>
        <w:rPr>
          <w:rFonts w:ascii="黑体"/>
          <w:color w:val="auto"/>
          <w:sz w:val="29"/>
          <w:highlight w:val="none"/>
        </w:rPr>
      </w:pPr>
    </w:p>
    <w:p>
      <w:pPr>
        <w:ind w:right="62"/>
        <w:jc w:val="center"/>
        <w:rPr>
          <w:rFonts w:ascii="黑体" w:hAnsi="黑体" w:eastAsia="黑体"/>
          <w:b/>
          <w:color w:val="auto"/>
          <w:sz w:val="14"/>
          <w:highlight w:val="none"/>
        </w:rPr>
      </w:pPr>
      <w:bookmarkStart w:id="4251" w:name="_bookmark293"/>
      <w:bookmarkEnd w:id="4251"/>
      <w:r>
        <w:rPr>
          <w:rFonts w:hint="eastAsia" w:ascii="黑体" w:hAnsi="黑体" w:eastAsia="黑体"/>
          <w:b/>
          <w:color w:val="auto"/>
          <w:sz w:val="28"/>
          <w:highlight w:val="none"/>
        </w:rPr>
        <w:t>（一）</w:t>
      </w:r>
      <w:r>
        <w:rPr>
          <w:rFonts w:hint="eastAsia" w:ascii="黑体" w:hAnsi="黑体" w:eastAsia="黑体"/>
          <w:color w:val="auto"/>
          <w:sz w:val="28"/>
          <w:highlight w:val="none"/>
        </w:rPr>
        <w:t>授权委托书</w:t>
      </w:r>
    </w:p>
    <w:p>
      <w:pPr>
        <w:pStyle w:val="20"/>
        <w:rPr>
          <w:rFonts w:ascii="黑体"/>
          <w:b/>
          <w:color w:val="auto"/>
          <w:sz w:val="28"/>
          <w:highlight w:val="none"/>
        </w:rPr>
      </w:pPr>
    </w:p>
    <w:p>
      <w:pPr>
        <w:pStyle w:val="20"/>
        <w:rPr>
          <w:rFonts w:ascii="黑体"/>
          <w:b/>
          <w:color w:val="auto"/>
          <w:sz w:val="34"/>
          <w:highlight w:val="none"/>
        </w:rPr>
      </w:pPr>
    </w:p>
    <w:p>
      <w:pPr>
        <w:pStyle w:val="20"/>
        <w:tabs>
          <w:tab w:val="left" w:pos="2029"/>
          <w:tab w:val="left" w:pos="3239"/>
          <w:tab w:val="left" w:pos="6011"/>
          <w:tab w:val="left" w:pos="8421"/>
        </w:tabs>
        <w:adjustRightInd w:val="0"/>
        <w:snapToGrid w:val="0"/>
        <w:spacing w:line="360" w:lineRule="auto"/>
        <w:ind w:left="224" w:right="282" w:firstLine="479"/>
        <w:jc w:val="both"/>
        <w:rPr>
          <w:color w:val="auto"/>
          <w:highlight w:val="none"/>
        </w:rPr>
      </w:pPr>
      <w:r>
        <w:rPr>
          <w:color w:val="auto"/>
          <w:highlight w:val="none"/>
        </w:rPr>
        <w:t>本人</w:t>
      </w:r>
      <w:r>
        <w:rPr>
          <w:color w:val="auto"/>
          <w:highlight w:val="none"/>
          <w:u w:val="single"/>
        </w:rPr>
        <w:tab/>
      </w:r>
      <w:r>
        <w:rPr>
          <w:color w:val="auto"/>
          <w:highlight w:val="none"/>
          <w:u w:val="single"/>
        </w:rPr>
        <w:t>（</w:t>
      </w:r>
      <w:r>
        <w:rPr>
          <w:color w:val="auto"/>
          <w:highlight w:val="none"/>
        </w:rPr>
        <w:t>姓名</w:t>
      </w:r>
      <w:r>
        <w:rPr>
          <w:color w:val="auto"/>
          <w:spacing w:val="-116"/>
          <w:highlight w:val="none"/>
        </w:rPr>
        <w:t>）</w:t>
      </w:r>
      <w:r>
        <w:rPr>
          <w:color w:val="auto"/>
          <w:highlight w:val="none"/>
        </w:rPr>
        <w:t>系</w:t>
      </w:r>
      <w:r>
        <w:rPr>
          <w:color w:val="auto"/>
          <w:highlight w:val="none"/>
          <w:u w:val="single"/>
        </w:rPr>
        <w:t>（</w:t>
      </w:r>
      <w:r>
        <w:rPr>
          <w:color w:val="auto"/>
          <w:highlight w:val="none"/>
        </w:rPr>
        <w:t>投标人名称</w:t>
      </w:r>
      <w:r>
        <w:rPr>
          <w:color w:val="auto"/>
          <w:spacing w:val="-116"/>
          <w:highlight w:val="none"/>
        </w:rPr>
        <w:t>）</w:t>
      </w:r>
      <w:r>
        <w:rPr>
          <w:color w:val="auto"/>
          <w:highlight w:val="none"/>
        </w:rPr>
        <w:t>的法定代表人</w:t>
      </w:r>
      <w:r>
        <w:rPr>
          <w:color w:val="auto"/>
          <w:spacing w:val="-116"/>
          <w:highlight w:val="none"/>
        </w:rPr>
        <w:t>，</w:t>
      </w:r>
      <w:r>
        <w:rPr>
          <w:color w:val="auto"/>
          <w:highlight w:val="none"/>
        </w:rPr>
        <w:t>现委托</w:t>
      </w:r>
      <w:r>
        <w:rPr>
          <w:color w:val="auto"/>
          <w:highlight w:val="none"/>
          <w:u w:val="single"/>
        </w:rPr>
        <w:tab/>
      </w:r>
      <w:r>
        <w:rPr>
          <w:color w:val="auto"/>
          <w:highlight w:val="none"/>
          <w:u w:val="single"/>
        </w:rPr>
        <w:t>（</w:t>
      </w:r>
      <w:r>
        <w:rPr>
          <w:color w:val="auto"/>
          <w:highlight w:val="none"/>
        </w:rPr>
        <w:t>姓名）为我方代理人。代理人根据授权，以我方名义签署、澄清确认、递交、撤回、修改</w:t>
      </w:r>
      <w:r>
        <w:rPr>
          <w:color w:val="auto"/>
          <w:highlight w:val="none"/>
          <w:u w:val="single"/>
        </w:rPr>
        <w:tab/>
      </w:r>
      <w:r>
        <w:rPr>
          <w:color w:val="auto"/>
          <w:highlight w:val="none"/>
          <w:u w:val="single"/>
        </w:rPr>
        <w:tab/>
      </w:r>
      <w:r>
        <w:rPr>
          <w:color w:val="auto"/>
          <w:highlight w:val="none"/>
        </w:rPr>
        <w:t>（项目名称）</w:t>
      </w:r>
      <w:r>
        <w:rPr>
          <w:color w:val="auto"/>
          <w:highlight w:val="none"/>
          <w:u w:val="single"/>
        </w:rPr>
        <w:tab/>
      </w:r>
      <w:r>
        <w:rPr>
          <w:color w:val="auto"/>
          <w:highlight w:val="none"/>
        </w:rPr>
        <w:t>标段施工投标文件、签订合同和处理有关事宜，其法律后果由我方承担。</w:t>
      </w:r>
    </w:p>
    <w:p>
      <w:pPr>
        <w:pStyle w:val="20"/>
        <w:adjustRightInd w:val="0"/>
        <w:snapToGrid w:val="0"/>
        <w:spacing w:line="360" w:lineRule="auto"/>
        <w:ind w:left="704" w:right="2719"/>
        <w:rPr>
          <w:color w:val="auto"/>
          <w:highlight w:val="none"/>
        </w:rPr>
      </w:pPr>
      <w:r>
        <w:rPr>
          <w:color w:val="auto"/>
          <w:highlight w:val="none"/>
        </w:rPr>
        <w:t>委托期限：自本委托书签署之日起至投标有效期期满。代理人无转委托权。</w:t>
      </w:r>
    </w:p>
    <w:p>
      <w:pPr>
        <w:pStyle w:val="20"/>
        <w:adjustRightInd w:val="0"/>
        <w:snapToGrid w:val="0"/>
        <w:spacing w:line="360" w:lineRule="auto"/>
        <w:rPr>
          <w:color w:val="auto"/>
          <w:highlight w:val="none"/>
        </w:rPr>
      </w:pPr>
    </w:p>
    <w:p>
      <w:pPr>
        <w:shd w:val="clear" w:color="auto" w:fill="FFFFFF"/>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附：</w:t>
      </w:r>
      <w:r>
        <w:rPr>
          <w:rFonts w:hint="eastAsia"/>
          <w:color w:val="auto"/>
          <w:sz w:val="24"/>
          <w:szCs w:val="24"/>
          <w:highlight w:val="none"/>
          <w:lang w:val="en-US"/>
        </w:rPr>
        <w:t>1、</w:t>
      </w:r>
      <w:r>
        <w:rPr>
          <w:rFonts w:hint="eastAsia"/>
          <w:color w:val="auto"/>
          <w:sz w:val="24"/>
          <w:szCs w:val="24"/>
          <w:highlight w:val="none"/>
        </w:rPr>
        <w:t>法定代表人（单位负责人）身份证复印件及委托代理人身份证复印件；</w:t>
      </w:r>
    </w:p>
    <w:p>
      <w:pPr>
        <w:adjustRightInd w:val="0"/>
        <w:snapToGrid w:val="0"/>
        <w:spacing w:line="360" w:lineRule="auto"/>
        <w:ind w:left="224" w:firstLine="480" w:firstLineChars="200"/>
        <w:rPr>
          <w:color w:val="auto"/>
          <w:sz w:val="24"/>
          <w:szCs w:val="24"/>
          <w:highlight w:val="none"/>
        </w:rPr>
      </w:pPr>
      <w:r>
        <w:rPr>
          <w:rFonts w:hint="eastAsia"/>
          <w:color w:val="auto"/>
          <w:sz w:val="24"/>
          <w:szCs w:val="24"/>
          <w:highlight w:val="none"/>
          <w:lang w:val="en-US"/>
        </w:rPr>
        <w:t xml:space="preserve">  2、委托代理人与投标人单位签订</w:t>
      </w:r>
      <w:r>
        <w:rPr>
          <w:rFonts w:hint="eastAsia"/>
          <w:color w:val="auto"/>
          <w:sz w:val="24"/>
          <w:szCs w:val="24"/>
          <w:highlight w:val="none"/>
        </w:rPr>
        <w:t>一年以上（含一年）的劳动合同或经人社部门盖章的社会养老保险关系证明</w:t>
      </w:r>
      <w:r>
        <w:rPr>
          <w:rFonts w:hint="eastAsia"/>
          <w:color w:val="auto"/>
          <w:sz w:val="24"/>
          <w:highlight w:val="none"/>
        </w:rPr>
        <w:t>（若投标单位所在地区的人社部门不在劳动合同或社保证明上盖章，则须提供人社部门官网打印件并经人社部门官网可查且信息有效）</w:t>
      </w:r>
      <w:r>
        <w:rPr>
          <w:rFonts w:hint="eastAsia"/>
          <w:color w:val="auto"/>
          <w:sz w:val="24"/>
          <w:szCs w:val="24"/>
          <w:highlight w:val="none"/>
          <w:lang w:val="en-US"/>
        </w:rPr>
        <w:t>。</w:t>
      </w:r>
    </w:p>
    <w:p>
      <w:pPr>
        <w:pStyle w:val="20"/>
        <w:adjustRightInd w:val="0"/>
        <w:snapToGrid w:val="0"/>
        <w:spacing w:line="360" w:lineRule="auto"/>
        <w:rPr>
          <w:color w:val="auto"/>
          <w:sz w:val="20"/>
          <w:highlight w:val="none"/>
        </w:rPr>
      </w:pPr>
    </w:p>
    <w:p>
      <w:pPr>
        <w:pStyle w:val="20"/>
        <w:adjustRightInd w:val="0"/>
        <w:snapToGrid w:val="0"/>
        <w:spacing w:line="360" w:lineRule="auto"/>
        <w:rPr>
          <w:color w:val="auto"/>
          <w:sz w:val="23"/>
          <w:highlight w:val="none"/>
        </w:rPr>
      </w:pPr>
    </w:p>
    <w:p>
      <w:pPr>
        <w:pStyle w:val="20"/>
        <w:tabs>
          <w:tab w:val="left" w:pos="6990"/>
          <w:tab w:val="left" w:pos="7230"/>
          <w:tab w:val="left" w:pos="8371"/>
        </w:tabs>
        <w:adjustRightInd w:val="0"/>
        <w:snapToGrid w:val="0"/>
        <w:spacing w:line="480" w:lineRule="auto"/>
        <w:ind w:left="3515" w:right="508"/>
        <w:rPr>
          <w:color w:val="auto"/>
          <w:highlight w:val="none"/>
        </w:rPr>
      </w:pPr>
      <w:r>
        <w:rPr>
          <w:color w:val="auto"/>
          <w:highlight w:val="none"/>
        </w:rPr>
        <w:t>投标人：</w:t>
      </w:r>
      <w:r>
        <w:rPr>
          <w:color w:val="auto"/>
          <w:highlight w:val="none"/>
          <w:u w:val="single"/>
        </w:rPr>
        <w:tab/>
      </w:r>
      <w:r>
        <w:rPr>
          <w:color w:val="auto"/>
          <w:highlight w:val="none"/>
        </w:rPr>
        <w:t xml:space="preserve">（盖单位章） </w:t>
      </w:r>
    </w:p>
    <w:p>
      <w:pPr>
        <w:pStyle w:val="20"/>
        <w:tabs>
          <w:tab w:val="left" w:pos="6990"/>
          <w:tab w:val="left" w:pos="7230"/>
          <w:tab w:val="left" w:pos="8371"/>
        </w:tabs>
        <w:adjustRightInd w:val="0"/>
        <w:snapToGrid w:val="0"/>
        <w:spacing w:line="480" w:lineRule="auto"/>
        <w:ind w:left="3515" w:right="508"/>
        <w:rPr>
          <w:rFonts w:ascii="Times New Roman" w:eastAsia="Times New Roman"/>
          <w:color w:val="auto"/>
          <w:highlight w:val="none"/>
        </w:rPr>
      </w:pPr>
      <w:r>
        <w:rPr>
          <w:color w:val="auto"/>
          <w:highlight w:val="none"/>
        </w:rPr>
        <w:t>法定代表人：</w:t>
      </w:r>
      <w:r>
        <w:rPr>
          <w:rFonts w:hint="eastAsia"/>
          <w:color w:val="auto"/>
          <w:highlight w:val="none"/>
          <w:u w:val="single"/>
          <w:lang w:val="en-US"/>
        </w:rPr>
        <w:t xml:space="preserve">  </w:t>
      </w:r>
      <w:r>
        <w:rPr>
          <w:color w:val="auto"/>
          <w:highlight w:val="none"/>
          <w:u w:val="single"/>
        </w:rPr>
        <w:tab/>
      </w:r>
      <w:r>
        <w:rPr>
          <w:rFonts w:hint="eastAsia"/>
          <w:color w:val="auto"/>
          <w:highlight w:val="none"/>
          <w:u w:val="single"/>
          <w:lang w:val="en-US"/>
        </w:rPr>
        <w:t xml:space="preserve">      </w:t>
      </w:r>
      <w:r>
        <w:rPr>
          <w:color w:val="auto"/>
          <w:highlight w:val="none"/>
        </w:rPr>
        <w:t xml:space="preserve">（签字） </w:t>
      </w:r>
      <w:r>
        <w:rPr>
          <w:rFonts w:hint="eastAsia"/>
          <w:color w:val="auto"/>
          <w:highlight w:val="none"/>
          <w:lang w:val="en-US"/>
        </w:rPr>
        <w:t xml:space="preserve">    </w:t>
      </w:r>
      <w:r>
        <w:rPr>
          <w:color w:val="auto"/>
          <w:highlight w:val="none"/>
        </w:rPr>
        <w:t>身份证号码：</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ab/>
      </w:r>
    </w:p>
    <w:p>
      <w:pPr>
        <w:pStyle w:val="20"/>
        <w:tabs>
          <w:tab w:val="left" w:pos="7836"/>
          <w:tab w:val="left" w:pos="8491"/>
        </w:tabs>
        <w:adjustRightInd w:val="0"/>
        <w:snapToGrid w:val="0"/>
        <w:spacing w:line="480" w:lineRule="auto"/>
        <w:ind w:left="3515" w:right="388"/>
        <w:rPr>
          <w:rFonts w:ascii="Times New Roman" w:eastAsia="Times New Roman"/>
          <w:color w:val="auto"/>
          <w:highlight w:val="none"/>
        </w:rPr>
      </w:pPr>
      <w:r>
        <w:rPr>
          <w:color w:val="auto"/>
          <w:highlight w:val="none"/>
        </w:rPr>
        <w:t>委托代理人：</w:t>
      </w:r>
      <w:r>
        <w:rPr>
          <w:color w:val="auto"/>
          <w:highlight w:val="none"/>
          <w:u w:val="single"/>
        </w:rPr>
        <w:tab/>
      </w:r>
      <w:r>
        <w:rPr>
          <w:color w:val="auto"/>
          <w:highlight w:val="none"/>
        </w:rPr>
        <w:t>（签字） 身份证号码：</w:t>
      </w:r>
      <w:r>
        <w:rPr>
          <w:rFonts w:ascii="Times New Roman" w:eastAsia="Times New Roman"/>
          <w:color w:val="auto"/>
          <w:highlight w:val="none"/>
          <w:u w:val="single"/>
        </w:rPr>
        <w:tab/>
      </w:r>
      <w:r>
        <w:rPr>
          <w:rFonts w:ascii="Times New Roman" w:eastAsia="Times New Roman"/>
          <w:color w:val="auto"/>
          <w:highlight w:val="none"/>
          <w:u w:val="single"/>
        </w:rPr>
        <w:tab/>
      </w:r>
    </w:p>
    <w:p>
      <w:pPr>
        <w:pStyle w:val="20"/>
        <w:tabs>
          <w:tab w:val="left" w:pos="5682"/>
          <w:tab w:val="left" w:pos="7002"/>
          <w:tab w:val="left" w:pos="8138"/>
        </w:tabs>
        <w:adjustRightInd w:val="0"/>
        <w:snapToGrid w:val="0"/>
        <w:spacing w:line="480" w:lineRule="auto"/>
        <w:ind w:left="4842"/>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spacing w:line="360" w:lineRule="auto"/>
        <w:rPr>
          <w:color w:val="auto"/>
          <w:szCs w:val="21"/>
          <w:highlight w:val="none"/>
          <w:u w:val="single"/>
        </w:rPr>
      </w:pPr>
      <w:r>
        <w:rPr>
          <w:rFonts w:hint="eastAsia"/>
          <w:color w:val="auto"/>
          <w:szCs w:val="21"/>
          <w:highlight w:val="none"/>
          <w:u w:val="single"/>
        </w:rPr>
        <w:t xml:space="preserve">                                    </w:t>
      </w:r>
    </w:p>
    <w:p>
      <w:pPr>
        <w:spacing w:line="360" w:lineRule="auto"/>
        <w:ind w:firstLine="359" w:firstLineChars="171"/>
        <w:rPr>
          <w:color w:val="auto"/>
          <w:sz w:val="21"/>
          <w:szCs w:val="21"/>
          <w:highlight w:val="none"/>
        </w:rPr>
      </w:pPr>
      <w:r>
        <w:rPr>
          <w:rFonts w:hint="eastAsia"/>
          <w:color w:val="auto"/>
          <w:sz w:val="21"/>
          <w:szCs w:val="21"/>
          <w:highlight w:val="none"/>
        </w:rPr>
        <w:t>注：1.法定代表人和委托代理人必须在授权书上亲笔签名，不得使用印章、签名章或其他电子制版签名；</w:t>
      </w:r>
    </w:p>
    <w:p>
      <w:pPr>
        <w:ind w:firstLine="840" w:firstLineChars="400"/>
        <w:rPr>
          <w:color w:val="auto"/>
          <w:sz w:val="21"/>
          <w:szCs w:val="21"/>
          <w:highlight w:val="none"/>
        </w:rPr>
        <w:sectPr>
          <w:footerReference r:id="rId51" w:type="default"/>
          <w:pgSz w:w="11907" w:h="16840"/>
          <w:pgMar w:top="1418" w:right="1191" w:bottom="1418" w:left="1191" w:header="873" w:footer="851" w:gutter="0"/>
          <w:cols w:space="720" w:num="1"/>
        </w:sectPr>
      </w:pPr>
      <w:r>
        <w:rPr>
          <w:rFonts w:hint="eastAsia"/>
          <w:color w:val="auto"/>
          <w:sz w:val="21"/>
          <w:szCs w:val="21"/>
          <w:highlight w:val="none"/>
        </w:rPr>
        <w:t>2.</w:t>
      </w:r>
      <w:r>
        <w:rPr>
          <w:rFonts w:hint="eastAsia"/>
          <w:color w:val="auto"/>
          <w:spacing w:val="-4"/>
          <w:sz w:val="21"/>
          <w:szCs w:val="21"/>
          <w:highlight w:val="none"/>
        </w:rPr>
        <w:t>以联合体形式投标的，本授权委托书应由联合体牵头人的法定代表人按上述规定签署。</w:t>
      </w:r>
    </w:p>
    <w:p>
      <w:pPr>
        <w:pStyle w:val="20"/>
        <w:spacing w:before="5"/>
        <w:rPr>
          <w:color w:val="auto"/>
          <w:sz w:val="28"/>
          <w:highlight w:val="none"/>
        </w:rPr>
      </w:pPr>
    </w:p>
    <w:p>
      <w:pPr>
        <w:spacing w:before="61"/>
        <w:ind w:left="2881"/>
        <w:rPr>
          <w:rFonts w:ascii="黑体" w:eastAsia="黑体"/>
          <w:color w:val="auto"/>
          <w:sz w:val="28"/>
          <w:highlight w:val="none"/>
        </w:rPr>
      </w:pPr>
      <w:bookmarkStart w:id="4252" w:name="_bookmark294"/>
      <w:bookmarkEnd w:id="4252"/>
      <w:r>
        <w:rPr>
          <w:rFonts w:hint="eastAsia" w:ascii="黑体" w:eastAsia="黑体"/>
          <w:color w:val="auto"/>
          <w:sz w:val="28"/>
          <w:highlight w:val="none"/>
        </w:rPr>
        <w:t>（二）法定代表人身份证明</w:t>
      </w:r>
    </w:p>
    <w:p>
      <w:pPr>
        <w:pStyle w:val="20"/>
        <w:rPr>
          <w:rFonts w:ascii="黑体"/>
          <w:color w:val="auto"/>
          <w:sz w:val="28"/>
          <w:highlight w:val="none"/>
        </w:rPr>
      </w:pPr>
    </w:p>
    <w:p>
      <w:pPr>
        <w:spacing w:line="360" w:lineRule="auto"/>
        <w:rPr>
          <w:color w:val="auto"/>
          <w:sz w:val="24"/>
          <w:highlight w:val="none"/>
          <w:u w:val="single"/>
        </w:rPr>
      </w:pPr>
      <w:r>
        <w:rPr>
          <w:rFonts w:hint="eastAsia"/>
          <w:color w:val="auto"/>
          <w:sz w:val="24"/>
          <w:highlight w:val="none"/>
        </w:rPr>
        <w:t>投标人名称：</w:t>
      </w:r>
      <w:r>
        <w:rPr>
          <w:rFonts w:hint="eastAsia"/>
          <w:color w:val="auto"/>
          <w:sz w:val="24"/>
          <w:highlight w:val="none"/>
          <w:u w:val="single"/>
        </w:rPr>
        <w:t xml:space="preserve">                                 </w:t>
      </w:r>
    </w:p>
    <w:p>
      <w:pPr>
        <w:spacing w:line="360" w:lineRule="auto"/>
        <w:rPr>
          <w:color w:val="auto"/>
          <w:sz w:val="24"/>
          <w:highlight w:val="none"/>
          <w:u w:val="single"/>
        </w:rPr>
      </w:pPr>
      <w:r>
        <w:rPr>
          <w:rFonts w:hint="eastAsia"/>
          <w:color w:val="auto"/>
          <w:sz w:val="24"/>
          <w:highlight w:val="none"/>
        </w:rPr>
        <w:t>姓名：</w:t>
      </w:r>
      <w:r>
        <w:rPr>
          <w:rFonts w:hint="eastAsia"/>
          <w:color w:val="auto"/>
          <w:sz w:val="24"/>
          <w:highlight w:val="none"/>
          <w:u w:val="single"/>
        </w:rPr>
        <w:t xml:space="preserve">   （法定代表人亲笔签字）  </w:t>
      </w:r>
      <w:r>
        <w:rPr>
          <w:rFonts w:hint="eastAsia"/>
          <w:color w:val="auto"/>
          <w:sz w:val="24"/>
          <w:highlight w:val="none"/>
        </w:rPr>
        <w:t xml:space="preserve"> 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职务：</w:t>
      </w:r>
      <w:r>
        <w:rPr>
          <w:rFonts w:hint="eastAsia"/>
          <w:color w:val="auto"/>
          <w:sz w:val="24"/>
          <w:highlight w:val="none"/>
          <w:u w:val="single"/>
        </w:rPr>
        <w:t xml:space="preserve">       </w:t>
      </w:r>
    </w:p>
    <w:p>
      <w:pPr>
        <w:spacing w:line="500" w:lineRule="exact"/>
        <w:rPr>
          <w:rFonts w:asciiTheme="minorEastAsia" w:hAnsiTheme="minorEastAsia" w:eastAsiaTheme="minorEastAsia"/>
          <w:color w:val="auto"/>
          <w:sz w:val="24"/>
          <w:highlight w:val="none"/>
        </w:rPr>
      </w:pPr>
      <w:r>
        <w:rPr>
          <w:rFonts w:hint="eastAsia"/>
          <w:color w:val="auto"/>
          <w:sz w:val="24"/>
          <w:highlight w:val="none"/>
        </w:rPr>
        <w:t>系</w:t>
      </w:r>
      <w:r>
        <w:rPr>
          <w:rFonts w:hint="eastAsia"/>
          <w:color w:val="auto"/>
          <w:sz w:val="24"/>
          <w:highlight w:val="none"/>
          <w:u w:val="single"/>
        </w:rPr>
        <w:t xml:space="preserve">                                  </w:t>
      </w:r>
      <w:r>
        <w:rPr>
          <w:rFonts w:hint="eastAsia"/>
          <w:color w:val="auto"/>
          <w:sz w:val="24"/>
          <w:highlight w:val="none"/>
        </w:rPr>
        <w:t>（投标人名称）的法定代表人</w:t>
      </w:r>
      <w:r>
        <w:rPr>
          <w:rFonts w:asciiTheme="minorEastAsia" w:hAnsiTheme="minorEastAsia" w:eastAsiaTheme="minorEastAsia"/>
          <w:color w:val="auto"/>
          <w:sz w:val="24"/>
          <w:highlight w:val="none"/>
        </w:rPr>
        <w:t>。</w:t>
      </w:r>
    </w:p>
    <w:p>
      <w:pPr>
        <w:spacing w:line="500" w:lineRule="exac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特此证明。</w:t>
      </w: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附：法定代表人身份证复印件。</w:t>
      </w: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jc w:val="righ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u w:val="single"/>
        </w:rPr>
        <w:tab/>
      </w:r>
      <w:r>
        <w:rPr>
          <w:rFonts w:hint="eastAsia" w:asciiTheme="minorEastAsia" w:hAnsiTheme="minorEastAsia" w:eastAsiaTheme="minorEastAsia"/>
          <w:color w:val="auto"/>
          <w:sz w:val="24"/>
          <w:highlight w:val="none"/>
          <w:u w:val="single"/>
          <w:lang w:val="en-US"/>
        </w:rPr>
        <w:t xml:space="preserve">             </w:t>
      </w:r>
      <w:r>
        <w:rPr>
          <w:rFonts w:asciiTheme="minorEastAsia" w:hAnsiTheme="minorEastAsia" w:eastAsiaTheme="minorEastAsia"/>
          <w:color w:val="auto"/>
          <w:sz w:val="24"/>
          <w:highlight w:val="none"/>
        </w:rPr>
        <w:t>（盖单位章）</w:t>
      </w:r>
    </w:p>
    <w:p>
      <w:pPr>
        <w:spacing w:line="500" w:lineRule="exact"/>
        <w:jc w:val="righ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u w:val="single"/>
        </w:rPr>
        <w:tab/>
      </w:r>
      <w:r>
        <w:rPr>
          <w:rFonts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u w:val="single"/>
        </w:rPr>
        <w:tab/>
      </w:r>
      <w:r>
        <w:rPr>
          <w:rFonts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u w:val="single"/>
        </w:rPr>
        <w:tab/>
      </w:r>
      <w:r>
        <w:rPr>
          <w:rFonts w:asciiTheme="minorEastAsia" w:hAnsiTheme="minorEastAsia" w:eastAsiaTheme="minorEastAsia"/>
          <w:color w:val="auto"/>
          <w:sz w:val="24"/>
          <w:highlight w:val="none"/>
        </w:rPr>
        <w:t>日</w:t>
      </w: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500" w:lineRule="exact"/>
        <w:rPr>
          <w:rFonts w:asciiTheme="minorEastAsia" w:hAnsiTheme="minorEastAsia" w:eastAsiaTheme="minorEastAsia"/>
          <w:color w:val="auto"/>
          <w:sz w:val="24"/>
          <w:highlight w:val="none"/>
        </w:rPr>
      </w:pPr>
    </w:p>
    <w:p>
      <w:pPr>
        <w:spacing w:line="360" w:lineRule="auto"/>
        <w:rPr>
          <w:color w:val="auto"/>
          <w:szCs w:val="21"/>
          <w:highlight w:val="none"/>
          <w:u w:val="single"/>
        </w:rPr>
      </w:pPr>
      <w:r>
        <w:rPr>
          <w:rFonts w:hint="eastAsia"/>
          <w:color w:val="auto"/>
          <w:szCs w:val="21"/>
          <w:highlight w:val="none"/>
          <w:u w:val="single"/>
        </w:rPr>
        <w:t xml:space="preserve">                                     </w:t>
      </w:r>
    </w:p>
    <w:p>
      <w:pPr>
        <w:rPr>
          <w:color w:val="auto"/>
          <w:sz w:val="28"/>
          <w:szCs w:val="24"/>
          <w:highlight w:val="none"/>
        </w:rPr>
      </w:pPr>
      <w:r>
        <w:rPr>
          <w:rFonts w:hint="eastAsia"/>
          <w:color w:val="auto"/>
          <w:szCs w:val="21"/>
          <w:highlight w:val="none"/>
        </w:rPr>
        <w:t>注</w:t>
      </w:r>
      <w:r>
        <w:rPr>
          <w:color w:val="auto"/>
          <w:szCs w:val="21"/>
          <w:highlight w:val="none"/>
        </w:rPr>
        <w:t>:</w:t>
      </w:r>
      <w:r>
        <w:rPr>
          <w:rFonts w:hint="eastAsia"/>
          <w:color w:val="auto"/>
          <w:szCs w:val="21"/>
          <w:highlight w:val="none"/>
        </w:rPr>
        <w:t>法定代表人的签字必须是亲笔签名，不得使用印章、签名章或其他电子制版签名代替。</w:t>
      </w:r>
      <w:r>
        <w:rPr>
          <w:color w:val="auto"/>
          <w:sz w:val="28"/>
          <w:highlight w:val="none"/>
        </w:rPr>
        <w:br w:type="page"/>
      </w:r>
    </w:p>
    <w:p>
      <w:pPr>
        <w:tabs>
          <w:tab w:val="left" w:pos="3261"/>
        </w:tabs>
        <w:spacing w:line="360" w:lineRule="auto"/>
        <w:jc w:val="center"/>
        <w:outlineLvl w:val="2"/>
        <w:rPr>
          <w:rFonts w:ascii="黑体" w:hAnsi="黑体" w:eastAsia="黑体" w:cs="黑体"/>
          <w:color w:val="auto"/>
          <w:sz w:val="28"/>
          <w:szCs w:val="28"/>
          <w:highlight w:val="none"/>
        </w:rPr>
      </w:pPr>
      <w:bookmarkStart w:id="4253" w:name="_Toc27287"/>
      <w:r>
        <w:rPr>
          <w:rFonts w:hint="eastAsia" w:ascii="黑体" w:hAnsi="黑体" w:eastAsia="黑体" w:cs="黑体"/>
          <w:color w:val="auto"/>
          <w:sz w:val="28"/>
          <w:szCs w:val="28"/>
          <w:highlight w:val="none"/>
        </w:rPr>
        <w:t>三、联合体协议书(如有)</w:t>
      </w:r>
      <w:bookmarkEnd w:id="4253"/>
    </w:p>
    <w:p>
      <w:pPr>
        <w:spacing w:line="360" w:lineRule="auto"/>
        <w:ind w:firstLine="540" w:firstLineChars="225"/>
        <w:rPr>
          <w:color w:val="auto"/>
          <w:sz w:val="24"/>
          <w:highlight w:val="none"/>
        </w:rPr>
      </w:pPr>
      <w:r>
        <w:rPr>
          <w:rFonts w:hint="eastAsia"/>
          <w:color w:val="auto"/>
          <w:sz w:val="24"/>
          <w:highlight w:val="none"/>
          <w:u w:val="single"/>
        </w:rPr>
        <w:t xml:space="preserve">           </w:t>
      </w:r>
      <w:r>
        <w:rPr>
          <w:rFonts w:hint="eastAsia"/>
          <w:color w:val="auto"/>
          <w:sz w:val="24"/>
          <w:highlight w:val="none"/>
        </w:rPr>
        <w:t>（所有成员单位名称）自愿组成</w:t>
      </w:r>
      <w:r>
        <w:rPr>
          <w:rFonts w:hint="eastAsia"/>
          <w:color w:val="auto"/>
          <w:sz w:val="24"/>
          <w:highlight w:val="none"/>
          <w:u w:val="single"/>
        </w:rPr>
        <w:t xml:space="preserve">        (</w:t>
      </w:r>
      <w:r>
        <w:rPr>
          <w:rFonts w:hint="eastAsia"/>
          <w:color w:val="auto"/>
          <w:sz w:val="24"/>
          <w:highlight w:val="none"/>
        </w:rPr>
        <w:t>联合体名称) 联合体，共同参加</w:t>
      </w:r>
      <w:r>
        <w:rPr>
          <w:rFonts w:hint="eastAsia"/>
          <w:color w:val="auto"/>
          <w:sz w:val="24"/>
          <w:highlight w:val="none"/>
          <w:u w:val="single"/>
        </w:rPr>
        <w:t xml:space="preserve">           </w:t>
      </w:r>
      <w:r>
        <w:rPr>
          <w:rFonts w:hint="eastAsia"/>
          <w:color w:val="auto"/>
          <w:sz w:val="24"/>
          <w:highlight w:val="none"/>
        </w:rPr>
        <w:t>（项目名称）</w:t>
      </w:r>
      <w:r>
        <w:rPr>
          <w:rFonts w:hint="eastAsia"/>
          <w:color w:val="auto"/>
          <w:sz w:val="24"/>
          <w:highlight w:val="none"/>
          <w:u w:val="single"/>
        </w:rPr>
        <w:t xml:space="preserve">      </w:t>
      </w:r>
      <w:r>
        <w:rPr>
          <w:rFonts w:hint="eastAsia"/>
          <w:color w:val="auto"/>
          <w:sz w:val="24"/>
          <w:highlight w:val="none"/>
        </w:rPr>
        <w:t>标段施工投标。现就联合体投标事宜订立如下协议。</w:t>
      </w:r>
    </w:p>
    <w:p>
      <w:pPr>
        <w:spacing w:line="360" w:lineRule="auto"/>
        <w:ind w:firstLine="540" w:firstLineChars="225"/>
        <w:rPr>
          <w:color w:val="auto"/>
          <w:sz w:val="24"/>
          <w:highlight w:val="none"/>
        </w:rPr>
      </w:pPr>
      <w:r>
        <w:rPr>
          <w:rFonts w:hint="eastAsia"/>
          <w:color w:val="auto"/>
          <w:sz w:val="24"/>
          <w:highlight w:val="none"/>
        </w:rPr>
        <w:t>1.</w:t>
      </w:r>
      <w:r>
        <w:rPr>
          <w:rFonts w:hint="eastAsia"/>
          <w:color w:val="auto"/>
          <w:sz w:val="24"/>
          <w:highlight w:val="none"/>
          <w:u w:val="single"/>
        </w:rPr>
        <w:t xml:space="preserve">               </w:t>
      </w:r>
      <w:r>
        <w:rPr>
          <w:rFonts w:hint="eastAsia"/>
          <w:color w:val="auto"/>
          <w:sz w:val="24"/>
          <w:highlight w:val="none"/>
        </w:rPr>
        <w:t>（某成员单位名称）为</w:t>
      </w:r>
      <w:r>
        <w:rPr>
          <w:rFonts w:hint="eastAsia"/>
          <w:color w:val="auto"/>
          <w:sz w:val="24"/>
          <w:highlight w:val="none"/>
          <w:u w:val="single"/>
        </w:rPr>
        <w:t xml:space="preserve">        (</w:t>
      </w:r>
      <w:r>
        <w:rPr>
          <w:rFonts w:hint="eastAsia"/>
          <w:color w:val="auto"/>
          <w:sz w:val="24"/>
          <w:highlight w:val="none"/>
        </w:rPr>
        <w:t>联合体名称)牵头人。</w:t>
      </w:r>
    </w:p>
    <w:p>
      <w:pPr>
        <w:spacing w:line="360" w:lineRule="auto"/>
        <w:ind w:firstLine="540" w:firstLineChars="225"/>
        <w:rPr>
          <w:color w:val="auto"/>
          <w:sz w:val="24"/>
          <w:highlight w:val="none"/>
        </w:rPr>
      </w:pPr>
      <w:r>
        <w:rPr>
          <w:rFonts w:hint="eastAsia"/>
          <w:color w:val="auto"/>
          <w:sz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540" w:firstLineChars="225"/>
        <w:rPr>
          <w:color w:val="auto"/>
          <w:sz w:val="24"/>
          <w:highlight w:val="none"/>
        </w:rPr>
      </w:pPr>
      <w:r>
        <w:rPr>
          <w:rFonts w:hint="eastAsia"/>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uto"/>
        <w:ind w:firstLine="540" w:firstLineChars="225"/>
        <w:rPr>
          <w:color w:val="auto"/>
          <w:sz w:val="24"/>
          <w:highlight w:val="none"/>
        </w:rPr>
      </w:pPr>
      <w:r>
        <w:rPr>
          <w:rFonts w:hint="eastAsia"/>
          <w:color w:val="auto"/>
          <w:sz w:val="24"/>
          <w:highlight w:val="none"/>
        </w:rPr>
        <w:t>4.联合体各成员单位内容的职责分工如下：</w:t>
      </w:r>
      <w:r>
        <w:rPr>
          <w:rFonts w:hint="eastAsia"/>
          <w:color w:val="auto"/>
          <w:sz w:val="24"/>
          <w:highlight w:val="none"/>
          <w:u w:val="single"/>
        </w:rPr>
        <w:t>（牵头人名称）</w:t>
      </w:r>
      <w:r>
        <w:rPr>
          <w:rFonts w:hint="eastAsia"/>
          <w:color w:val="auto"/>
          <w:sz w:val="24"/>
          <w:highlight w:val="none"/>
        </w:rPr>
        <w:t>承担</w:t>
      </w:r>
      <w:r>
        <w:rPr>
          <w:rFonts w:hint="eastAsia"/>
          <w:color w:val="auto"/>
          <w:sz w:val="24"/>
          <w:highlight w:val="none"/>
          <w:u w:val="single"/>
        </w:rPr>
        <w:t xml:space="preserve">     </w:t>
      </w:r>
      <w:r>
        <w:rPr>
          <w:rFonts w:hint="eastAsia"/>
          <w:color w:val="auto"/>
          <w:sz w:val="24"/>
          <w:highlight w:val="none"/>
        </w:rPr>
        <w:t>专业工程，占总工程量的</w:t>
      </w:r>
      <w:r>
        <w:rPr>
          <w:rFonts w:hint="eastAsia"/>
          <w:color w:val="auto"/>
          <w:sz w:val="24"/>
          <w:highlight w:val="none"/>
          <w:u w:val="single"/>
        </w:rPr>
        <w:t xml:space="preserve">    </w:t>
      </w:r>
      <w:r>
        <w:rPr>
          <w:rFonts w:hint="eastAsia"/>
          <w:color w:val="auto"/>
          <w:sz w:val="24"/>
          <w:highlight w:val="none"/>
        </w:rPr>
        <w:t>%；</w:t>
      </w:r>
      <w:r>
        <w:rPr>
          <w:rFonts w:hint="eastAsia"/>
          <w:color w:val="auto"/>
          <w:sz w:val="24"/>
          <w:highlight w:val="none"/>
          <w:u w:val="single"/>
        </w:rPr>
        <w:t>（成员一名称）</w:t>
      </w:r>
      <w:r>
        <w:rPr>
          <w:rFonts w:hint="eastAsia"/>
          <w:color w:val="auto"/>
          <w:sz w:val="24"/>
          <w:highlight w:val="none"/>
        </w:rPr>
        <w:t>承担</w:t>
      </w:r>
      <w:r>
        <w:rPr>
          <w:rFonts w:hint="eastAsia"/>
          <w:color w:val="auto"/>
          <w:sz w:val="24"/>
          <w:highlight w:val="none"/>
          <w:u w:val="single"/>
        </w:rPr>
        <w:t xml:space="preserve">     </w:t>
      </w:r>
      <w:r>
        <w:rPr>
          <w:rFonts w:hint="eastAsia"/>
          <w:color w:val="auto"/>
          <w:sz w:val="24"/>
          <w:highlight w:val="none"/>
        </w:rPr>
        <w:t>专业工程，占总工程量的</w:t>
      </w:r>
      <w:r>
        <w:rPr>
          <w:rFonts w:hint="eastAsia"/>
          <w:color w:val="auto"/>
          <w:sz w:val="24"/>
          <w:highlight w:val="none"/>
          <w:u w:val="single"/>
        </w:rPr>
        <w:t xml:space="preserve">    </w:t>
      </w:r>
      <w:r>
        <w:rPr>
          <w:rFonts w:hint="eastAsia"/>
          <w:color w:val="auto"/>
          <w:sz w:val="24"/>
          <w:highlight w:val="none"/>
        </w:rPr>
        <w:t>%；……。</w:t>
      </w:r>
    </w:p>
    <w:p>
      <w:pPr>
        <w:spacing w:line="360" w:lineRule="auto"/>
        <w:ind w:firstLine="540" w:firstLineChars="225"/>
        <w:rPr>
          <w:color w:val="auto"/>
          <w:sz w:val="24"/>
          <w:highlight w:val="none"/>
        </w:rPr>
      </w:pPr>
      <w:r>
        <w:rPr>
          <w:rFonts w:hint="eastAsia"/>
          <w:color w:val="auto"/>
          <w:sz w:val="24"/>
          <w:highlight w:val="none"/>
        </w:rPr>
        <w:t>5.投标工作和联合体在中标后工程实施过程中的有关费用按各自承担的工作量分摊。</w:t>
      </w:r>
    </w:p>
    <w:p>
      <w:pPr>
        <w:spacing w:line="360" w:lineRule="auto"/>
        <w:ind w:firstLine="540" w:firstLineChars="225"/>
        <w:rPr>
          <w:color w:val="auto"/>
          <w:sz w:val="24"/>
          <w:highlight w:val="none"/>
        </w:rPr>
      </w:pPr>
      <w:r>
        <w:rPr>
          <w:rFonts w:hint="eastAsia"/>
          <w:color w:val="auto"/>
          <w:sz w:val="24"/>
          <w:highlight w:val="none"/>
        </w:rPr>
        <w:t>6.本协议书自签署之日起生效，合同履行完毕后自动失效。</w:t>
      </w:r>
    </w:p>
    <w:p>
      <w:pPr>
        <w:spacing w:line="360" w:lineRule="auto"/>
        <w:ind w:firstLine="540" w:firstLineChars="225"/>
        <w:rPr>
          <w:color w:val="auto"/>
          <w:sz w:val="24"/>
          <w:highlight w:val="none"/>
        </w:rPr>
      </w:pPr>
      <w:r>
        <w:rPr>
          <w:rFonts w:hint="eastAsia"/>
          <w:color w:val="auto"/>
          <w:sz w:val="24"/>
          <w:highlight w:val="none"/>
        </w:rPr>
        <w:t>7.本协议书一式</w:t>
      </w:r>
      <w:r>
        <w:rPr>
          <w:rFonts w:hint="eastAsia"/>
          <w:color w:val="auto"/>
          <w:sz w:val="24"/>
          <w:highlight w:val="none"/>
          <w:u w:val="single"/>
        </w:rPr>
        <w:t xml:space="preserve">      </w:t>
      </w:r>
      <w:r>
        <w:rPr>
          <w:rFonts w:hint="eastAsia"/>
          <w:color w:val="auto"/>
          <w:sz w:val="24"/>
          <w:highlight w:val="none"/>
        </w:rPr>
        <w:t>份，联合体成员和招标人各执一份。</w:t>
      </w:r>
    </w:p>
    <w:p>
      <w:pPr>
        <w:spacing w:line="360" w:lineRule="auto"/>
        <w:ind w:firstLine="540" w:firstLineChars="225"/>
        <w:rPr>
          <w:color w:val="auto"/>
          <w:sz w:val="24"/>
          <w:highlight w:val="none"/>
        </w:rPr>
      </w:pPr>
    </w:p>
    <w:p>
      <w:pPr>
        <w:spacing w:line="360" w:lineRule="auto"/>
        <w:ind w:firstLine="540" w:firstLineChars="225"/>
        <w:rPr>
          <w:color w:val="auto"/>
          <w:sz w:val="24"/>
          <w:highlight w:val="none"/>
        </w:rPr>
      </w:pPr>
      <w:r>
        <w:rPr>
          <w:rFonts w:hint="eastAsia"/>
          <w:color w:val="auto"/>
          <w:sz w:val="24"/>
          <w:highlight w:val="none"/>
        </w:rPr>
        <w:t>牵头人名称：</w:t>
      </w:r>
      <w:r>
        <w:rPr>
          <w:rFonts w:hint="eastAsia"/>
          <w:color w:val="auto"/>
          <w:sz w:val="24"/>
          <w:highlight w:val="none"/>
          <w:u w:val="single"/>
        </w:rPr>
        <w:t xml:space="preserve">                   </w:t>
      </w:r>
      <w:r>
        <w:rPr>
          <w:rFonts w:hint="eastAsia"/>
          <w:color w:val="auto"/>
          <w:sz w:val="24"/>
          <w:highlight w:val="none"/>
        </w:rPr>
        <w:t>（盖单位章）</w:t>
      </w:r>
    </w:p>
    <w:p>
      <w:pPr>
        <w:spacing w:line="360" w:lineRule="auto"/>
        <w:ind w:firstLine="540" w:firstLineChars="225"/>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（签字）</w:t>
      </w:r>
    </w:p>
    <w:p>
      <w:pPr>
        <w:spacing w:line="360" w:lineRule="auto"/>
        <w:ind w:firstLine="540" w:firstLineChars="225"/>
        <w:rPr>
          <w:color w:val="auto"/>
          <w:sz w:val="24"/>
          <w:highlight w:val="none"/>
        </w:rPr>
      </w:pPr>
    </w:p>
    <w:p>
      <w:pPr>
        <w:spacing w:line="360" w:lineRule="auto"/>
        <w:ind w:firstLine="540" w:firstLineChars="225"/>
        <w:rPr>
          <w:color w:val="auto"/>
          <w:sz w:val="24"/>
          <w:highlight w:val="none"/>
        </w:rPr>
      </w:pPr>
      <w:r>
        <w:rPr>
          <w:rFonts w:hint="eastAsia"/>
          <w:color w:val="auto"/>
          <w:sz w:val="24"/>
          <w:highlight w:val="none"/>
        </w:rPr>
        <w:t>成员一名称：</w:t>
      </w:r>
      <w:r>
        <w:rPr>
          <w:rFonts w:hint="eastAsia"/>
          <w:color w:val="auto"/>
          <w:sz w:val="24"/>
          <w:highlight w:val="none"/>
          <w:u w:val="single"/>
        </w:rPr>
        <w:t xml:space="preserve">                   </w:t>
      </w:r>
      <w:r>
        <w:rPr>
          <w:rFonts w:hint="eastAsia"/>
          <w:color w:val="auto"/>
          <w:sz w:val="24"/>
          <w:highlight w:val="none"/>
        </w:rPr>
        <w:t>（盖单位章）</w:t>
      </w:r>
    </w:p>
    <w:p>
      <w:pPr>
        <w:spacing w:line="360" w:lineRule="auto"/>
        <w:ind w:firstLine="540" w:firstLineChars="225"/>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（签字）</w:t>
      </w:r>
    </w:p>
    <w:p>
      <w:pPr>
        <w:spacing w:line="360" w:lineRule="auto"/>
        <w:ind w:firstLine="540" w:firstLineChars="225"/>
        <w:rPr>
          <w:color w:val="auto"/>
          <w:sz w:val="24"/>
          <w:highlight w:val="none"/>
        </w:rPr>
      </w:pPr>
    </w:p>
    <w:p>
      <w:pPr>
        <w:spacing w:line="360" w:lineRule="auto"/>
        <w:ind w:firstLine="540" w:firstLineChars="225"/>
        <w:rPr>
          <w:color w:val="auto"/>
          <w:sz w:val="24"/>
          <w:highlight w:val="none"/>
        </w:rPr>
      </w:pPr>
      <w:r>
        <w:rPr>
          <w:rFonts w:hint="eastAsia"/>
          <w:color w:val="auto"/>
          <w:sz w:val="24"/>
          <w:highlight w:val="none"/>
        </w:rPr>
        <w:t>成员二名称：</w:t>
      </w:r>
      <w:r>
        <w:rPr>
          <w:rFonts w:hint="eastAsia"/>
          <w:color w:val="auto"/>
          <w:sz w:val="24"/>
          <w:highlight w:val="none"/>
          <w:u w:val="single"/>
        </w:rPr>
        <w:t xml:space="preserve">                   </w:t>
      </w:r>
      <w:r>
        <w:rPr>
          <w:rFonts w:hint="eastAsia"/>
          <w:color w:val="auto"/>
          <w:sz w:val="24"/>
          <w:highlight w:val="none"/>
        </w:rPr>
        <w:t>（盖单位章）</w:t>
      </w:r>
    </w:p>
    <w:p>
      <w:pPr>
        <w:spacing w:line="360" w:lineRule="auto"/>
        <w:ind w:firstLine="540" w:firstLineChars="225"/>
        <w:rPr>
          <w:color w:val="auto"/>
          <w:sz w:val="24"/>
          <w:highlight w:val="none"/>
        </w:rPr>
      </w:pPr>
      <w:r>
        <w:rPr>
          <w:rFonts w:hint="eastAsia"/>
          <w:color w:val="auto"/>
          <w:sz w:val="24"/>
          <w:highlight w:val="none"/>
        </w:rPr>
        <w:t xml:space="preserve">法定代表人： </w:t>
      </w:r>
      <w:r>
        <w:rPr>
          <w:rFonts w:hint="eastAsia"/>
          <w:color w:val="auto"/>
          <w:sz w:val="24"/>
          <w:highlight w:val="none"/>
          <w:u w:val="single"/>
        </w:rPr>
        <w:t xml:space="preserve">                      </w:t>
      </w:r>
      <w:r>
        <w:rPr>
          <w:rFonts w:hint="eastAsia"/>
          <w:color w:val="auto"/>
          <w:sz w:val="24"/>
          <w:highlight w:val="none"/>
        </w:rPr>
        <w:t>（签字）</w:t>
      </w:r>
    </w:p>
    <w:p>
      <w:pPr>
        <w:spacing w:line="360" w:lineRule="auto"/>
        <w:ind w:firstLine="540" w:firstLineChars="225"/>
        <w:rPr>
          <w:color w:val="auto"/>
          <w:sz w:val="24"/>
          <w:highlight w:val="none"/>
        </w:rPr>
      </w:pPr>
      <w:r>
        <w:rPr>
          <w:rFonts w:hint="eastAsia"/>
          <w:color w:val="auto"/>
          <w:sz w:val="24"/>
          <w:highlight w:val="none"/>
        </w:rPr>
        <w:t>……</w:t>
      </w:r>
    </w:p>
    <w:p>
      <w:pPr>
        <w:spacing w:line="360" w:lineRule="auto"/>
        <w:ind w:firstLine="540" w:firstLineChars="225"/>
        <w:jc w:val="right"/>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jc w:val="both"/>
        <w:rPr>
          <w:color w:val="auto"/>
          <w:sz w:val="24"/>
          <w:highlight w:val="none"/>
        </w:rPr>
      </w:pPr>
    </w:p>
    <w:p>
      <w:pPr>
        <w:numPr>
          <w:ilvl w:val="0"/>
          <w:numId w:val="44"/>
        </w:numPr>
        <w:spacing w:line="360" w:lineRule="auto"/>
        <w:rPr>
          <w:rFonts w:ascii="黑体" w:eastAsia="黑体"/>
          <w:b/>
          <w:color w:val="auto"/>
          <w:szCs w:val="21"/>
          <w:highlight w:val="none"/>
        </w:rPr>
      </w:pPr>
      <w:r>
        <w:rPr>
          <w:rFonts w:hint="eastAsia"/>
          <w:color w:val="auto"/>
          <w:szCs w:val="21"/>
          <w:highlight w:val="none"/>
        </w:rPr>
        <w:t>本联合体协议书格式适用于未进行资格预审的情况。如果采购资格预审，投标人在此提供资格预审申请文件中所附的联合体协议书复印件。</w:t>
      </w:r>
    </w:p>
    <w:p>
      <w:pPr>
        <w:pStyle w:val="20"/>
        <w:spacing w:before="2"/>
        <w:ind w:firstLine="4200" w:firstLineChars="2000"/>
        <w:rPr>
          <w:rFonts w:ascii="黑体"/>
          <w:color w:val="auto"/>
          <w:sz w:val="21"/>
          <w:szCs w:val="21"/>
          <w:highlight w:val="none"/>
        </w:rPr>
      </w:pPr>
    </w:p>
    <w:p>
      <w:pPr>
        <w:pStyle w:val="20"/>
        <w:spacing w:before="5"/>
        <w:rPr>
          <w:rFonts w:asciiTheme="minorEastAsia" w:hAnsiTheme="minorEastAsia" w:eastAsiaTheme="minorEastAsia"/>
          <w:b/>
          <w:color w:val="auto"/>
          <w:highlight w:val="none"/>
        </w:rPr>
        <w:sectPr>
          <w:footerReference r:id="rId53" w:type="default"/>
          <w:headerReference r:id="rId52" w:type="even"/>
          <w:footerReference r:id="rId54" w:type="even"/>
          <w:pgSz w:w="11907" w:h="16840"/>
          <w:pgMar w:top="1418" w:right="1191" w:bottom="1418" w:left="1191" w:header="873" w:footer="851" w:gutter="0"/>
          <w:cols w:space="720" w:num="1"/>
        </w:sectPr>
      </w:pPr>
    </w:p>
    <w:p>
      <w:pPr>
        <w:pStyle w:val="4"/>
        <w:spacing w:beforeLines="100" w:afterLines="100" w:line="360" w:lineRule="auto"/>
        <w:ind w:left="0"/>
        <w:jc w:val="center"/>
        <w:rPr>
          <w:color w:val="auto"/>
          <w:sz w:val="28"/>
          <w:szCs w:val="28"/>
          <w:highlight w:val="none"/>
        </w:rPr>
      </w:pPr>
      <w:bookmarkStart w:id="4254" w:name="_Toc38375655"/>
      <w:bookmarkStart w:id="4255" w:name="_Toc21203"/>
      <w:r>
        <w:rPr>
          <w:rFonts w:hint="eastAsia"/>
          <w:color w:val="auto"/>
          <w:sz w:val="28"/>
          <w:szCs w:val="28"/>
          <w:highlight w:val="none"/>
        </w:rPr>
        <w:t>四、投标保证金</w:t>
      </w:r>
      <w:bookmarkEnd w:id="4254"/>
      <w:bookmarkEnd w:id="4255"/>
    </w:p>
    <w:p>
      <w:pPr>
        <w:adjustRightInd w:val="0"/>
        <w:snapToGrid w:val="0"/>
        <w:spacing w:line="360" w:lineRule="auto"/>
        <w:ind w:firstLine="540" w:firstLineChars="225"/>
        <w:rPr>
          <w:color w:val="auto"/>
          <w:sz w:val="24"/>
          <w:szCs w:val="24"/>
          <w:highlight w:val="none"/>
        </w:rPr>
      </w:pPr>
      <w:r>
        <w:rPr>
          <w:rFonts w:hint="eastAsia"/>
          <w:color w:val="auto"/>
          <w:sz w:val="24"/>
          <w:szCs w:val="24"/>
          <w:highlight w:val="none"/>
        </w:rPr>
        <w:t>说明：投标人提交的投标保证金符合“第二章投标人须知”3.4款规定和投标人须知前附表3.4.1的相关要求。</w:t>
      </w:r>
    </w:p>
    <w:p>
      <w:pPr>
        <w:adjustRightInd w:val="0"/>
        <w:snapToGrid w:val="0"/>
        <w:spacing w:line="360" w:lineRule="auto"/>
        <w:ind w:firstLine="540" w:firstLineChars="225"/>
        <w:rPr>
          <w:color w:val="auto"/>
          <w:sz w:val="24"/>
          <w:szCs w:val="24"/>
          <w:highlight w:val="none"/>
        </w:rPr>
      </w:pPr>
      <w:r>
        <w:rPr>
          <w:rFonts w:hint="eastAsia"/>
          <w:color w:val="auto"/>
          <w:sz w:val="24"/>
          <w:szCs w:val="24"/>
          <w:highlight w:val="none"/>
        </w:rPr>
        <w:t>（1）若采用电汇形式，投标人应在此提供投标保证金汇款凭单的彩色影印件，禁止双夹页、信封等形式装入投标文件中。同时，投标人还应提供基本帐户开户许可证的彩色影印件。</w:t>
      </w:r>
    </w:p>
    <w:p>
      <w:pPr>
        <w:widowControl/>
        <w:autoSpaceDE/>
        <w:autoSpaceDN/>
        <w:adjustRightInd w:val="0"/>
        <w:snapToGrid w:val="0"/>
        <w:spacing w:line="360" w:lineRule="auto"/>
        <w:ind w:firstLine="480" w:firstLineChars="200"/>
        <w:rPr>
          <w:rFonts w:asciiTheme="minorEastAsia" w:hAnsiTheme="minorEastAsia" w:eastAsiaTheme="minorEastAsia"/>
          <w:b/>
          <w:color w:val="auto"/>
          <w:sz w:val="24"/>
          <w:szCs w:val="24"/>
          <w:highlight w:val="none"/>
        </w:rPr>
        <w:sectPr>
          <w:pgSz w:w="11907" w:h="16840"/>
          <w:pgMar w:top="1418" w:right="1191" w:bottom="1418" w:left="1191" w:header="873" w:footer="851" w:gutter="0"/>
          <w:cols w:space="720" w:num="1"/>
        </w:sectPr>
      </w:pPr>
      <w:r>
        <w:rPr>
          <w:rFonts w:hint="eastAsia"/>
          <w:color w:val="auto"/>
          <w:sz w:val="24"/>
          <w:szCs w:val="24"/>
          <w:highlight w:val="none"/>
        </w:rPr>
        <w:t>（2）若采用其他形式，投标人应开具金额与投标保证金一致的其他形式的银行保函、银行汇票、支票、信用证、专业担保公司的保证担保。其彩色影印件装订在投标文件内，原件装订应单独密封，在递交投标文件截止时间之前递交给招标人。</w:t>
      </w:r>
    </w:p>
    <w:p>
      <w:pPr>
        <w:widowControl/>
        <w:autoSpaceDE/>
        <w:autoSpaceDN/>
        <w:rPr>
          <w:rFonts w:asciiTheme="minorEastAsia" w:hAnsiTheme="minorEastAsia" w:eastAsiaTheme="minorEastAsia"/>
          <w:b/>
          <w:color w:val="auto"/>
          <w:sz w:val="24"/>
          <w:szCs w:val="24"/>
          <w:highlight w:val="none"/>
        </w:rPr>
      </w:pPr>
    </w:p>
    <w:p>
      <w:pPr>
        <w:pStyle w:val="20"/>
        <w:spacing w:before="5"/>
        <w:rPr>
          <w:rFonts w:asciiTheme="minorEastAsia" w:hAnsiTheme="minorEastAsia" w:eastAsiaTheme="minorEastAsia"/>
          <w:b/>
          <w:color w:val="auto"/>
          <w:highlight w:val="none"/>
        </w:rPr>
      </w:pPr>
    </w:p>
    <w:p>
      <w:pPr>
        <w:spacing w:before="61"/>
        <w:ind w:right="56"/>
        <w:jc w:val="center"/>
        <w:outlineLvl w:val="2"/>
        <w:rPr>
          <w:rFonts w:ascii="黑体" w:eastAsia="黑体"/>
          <w:color w:val="auto"/>
          <w:sz w:val="28"/>
          <w:highlight w:val="none"/>
        </w:rPr>
      </w:pPr>
      <w:bookmarkStart w:id="4256" w:name="_bookmark297"/>
      <w:bookmarkEnd w:id="4256"/>
      <w:bookmarkStart w:id="4257" w:name="_Toc418"/>
      <w:bookmarkStart w:id="4258" w:name="_Toc20948"/>
      <w:r>
        <w:rPr>
          <w:rFonts w:hint="eastAsia" w:ascii="黑体" w:eastAsia="黑体"/>
          <w:color w:val="auto"/>
          <w:sz w:val="28"/>
          <w:highlight w:val="none"/>
          <w:lang w:val="en-US"/>
        </w:rPr>
        <w:t>五</w:t>
      </w:r>
      <w:r>
        <w:rPr>
          <w:rFonts w:hint="eastAsia" w:ascii="黑体" w:eastAsia="黑体"/>
          <w:color w:val="auto"/>
          <w:sz w:val="28"/>
          <w:highlight w:val="none"/>
        </w:rPr>
        <w:t>、施工组织设计</w:t>
      </w:r>
      <w:bookmarkEnd w:id="4257"/>
      <w:bookmarkEnd w:id="4258"/>
    </w:p>
    <w:p>
      <w:pPr>
        <w:pStyle w:val="20"/>
        <w:rPr>
          <w:color w:val="auto"/>
          <w:sz w:val="20"/>
          <w:highlight w:val="none"/>
        </w:rPr>
      </w:pPr>
    </w:p>
    <w:p>
      <w:pPr>
        <w:pStyle w:val="20"/>
        <w:spacing w:before="5"/>
        <w:rPr>
          <w:color w:val="auto"/>
          <w:sz w:val="23"/>
          <w:highlight w:val="none"/>
        </w:rPr>
      </w:pPr>
    </w:p>
    <w:p>
      <w:pPr>
        <w:widowControl/>
        <w:numPr>
          <w:ilvl w:val="0"/>
          <w:numId w:val="45"/>
        </w:numPr>
        <w:tabs>
          <w:tab w:val="left" w:pos="980"/>
        </w:tabs>
        <w:autoSpaceDE/>
        <w:autoSpaceDN/>
        <w:adjustRightInd w:val="0"/>
        <w:snapToGrid w:val="0"/>
        <w:spacing w:line="360" w:lineRule="auto"/>
        <w:ind w:left="680" w:right="246" w:firstLine="4"/>
        <w:rPr>
          <w:color w:val="auto"/>
          <w:sz w:val="24"/>
          <w:highlight w:val="none"/>
        </w:rPr>
      </w:pPr>
      <w:r>
        <w:rPr>
          <w:b/>
          <w:color w:val="auto"/>
          <w:sz w:val="24"/>
          <w:highlight w:val="none"/>
        </w:rPr>
        <w:t>投标人应按以下要点编制施工组织设计（文字宜精炼、内容具有针对性）：</w:t>
      </w:r>
      <w:r>
        <w:rPr>
          <w:color w:val="auto"/>
          <w:sz w:val="24"/>
          <w:highlight w:val="none"/>
        </w:rPr>
        <w:t>（1）总体施工组织布置及规划</w:t>
      </w:r>
    </w:p>
    <w:p>
      <w:pPr>
        <w:adjustRightInd w:val="0"/>
        <w:snapToGrid w:val="0"/>
        <w:spacing w:line="360" w:lineRule="auto"/>
        <w:ind w:left="680"/>
        <w:rPr>
          <w:color w:val="auto"/>
          <w:sz w:val="24"/>
          <w:highlight w:val="none"/>
        </w:rPr>
      </w:pPr>
      <w:r>
        <w:rPr>
          <w:color w:val="auto"/>
          <w:sz w:val="24"/>
          <w:highlight w:val="none"/>
        </w:rPr>
        <w:t>（2）主要工程项目的施工方案、方法与技术措施（尤其对重点、关键和难点工</w:t>
      </w:r>
    </w:p>
    <w:p>
      <w:pPr>
        <w:adjustRightInd w:val="0"/>
        <w:snapToGrid w:val="0"/>
        <w:spacing w:line="360" w:lineRule="auto"/>
        <w:ind w:left="200"/>
        <w:rPr>
          <w:color w:val="auto"/>
          <w:sz w:val="24"/>
          <w:highlight w:val="none"/>
        </w:rPr>
      </w:pPr>
      <w:r>
        <w:rPr>
          <w:color w:val="auto"/>
          <w:sz w:val="24"/>
          <w:highlight w:val="none"/>
        </w:rPr>
        <w:t>程的施工方案、方法及措施）</w:t>
      </w:r>
    </w:p>
    <w:p>
      <w:pPr>
        <w:adjustRightInd w:val="0"/>
        <w:snapToGrid w:val="0"/>
        <w:spacing w:line="360" w:lineRule="auto"/>
        <w:ind w:left="680"/>
        <w:rPr>
          <w:color w:val="auto"/>
          <w:sz w:val="24"/>
          <w:highlight w:val="none"/>
        </w:rPr>
      </w:pPr>
      <w:r>
        <w:rPr>
          <w:color w:val="auto"/>
          <w:sz w:val="24"/>
          <w:highlight w:val="none"/>
        </w:rPr>
        <w:t>（3）工期保证体系及保证措施</w:t>
      </w:r>
    </w:p>
    <w:p>
      <w:pPr>
        <w:adjustRightInd w:val="0"/>
        <w:snapToGrid w:val="0"/>
        <w:spacing w:line="360" w:lineRule="auto"/>
        <w:ind w:left="680"/>
        <w:rPr>
          <w:color w:val="auto"/>
          <w:sz w:val="24"/>
          <w:highlight w:val="none"/>
        </w:rPr>
      </w:pPr>
      <w:r>
        <w:rPr>
          <w:color w:val="auto"/>
          <w:sz w:val="24"/>
          <w:highlight w:val="none"/>
        </w:rPr>
        <w:t>（4）工程质量管理体系及保证措施</w:t>
      </w:r>
    </w:p>
    <w:p>
      <w:pPr>
        <w:adjustRightInd w:val="0"/>
        <w:snapToGrid w:val="0"/>
        <w:spacing w:line="360" w:lineRule="auto"/>
        <w:ind w:left="680"/>
        <w:rPr>
          <w:color w:val="auto"/>
          <w:sz w:val="24"/>
          <w:highlight w:val="none"/>
        </w:rPr>
      </w:pPr>
      <w:r>
        <w:rPr>
          <w:color w:val="auto"/>
          <w:sz w:val="24"/>
          <w:highlight w:val="none"/>
        </w:rPr>
        <w:t>（5）安全生产管理体系及保证措施</w:t>
      </w:r>
    </w:p>
    <w:p>
      <w:pPr>
        <w:adjustRightInd w:val="0"/>
        <w:snapToGrid w:val="0"/>
        <w:spacing w:line="360" w:lineRule="auto"/>
        <w:ind w:left="680"/>
        <w:rPr>
          <w:color w:val="auto"/>
          <w:sz w:val="24"/>
          <w:highlight w:val="none"/>
        </w:rPr>
      </w:pPr>
      <w:r>
        <w:rPr>
          <w:color w:val="auto"/>
          <w:sz w:val="24"/>
          <w:highlight w:val="none"/>
        </w:rPr>
        <w:t>（6）环境保护、水土保持保证体系及保证措施</w:t>
      </w:r>
    </w:p>
    <w:p>
      <w:pPr>
        <w:adjustRightInd w:val="0"/>
        <w:snapToGrid w:val="0"/>
        <w:spacing w:line="360" w:lineRule="auto"/>
        <w:ind w:left="680"/>
        <w:rPr>
          <w:color w:val="auto"/>
          <w:sz w:val="24"/>
          <w:highlight w:val="none"/>
        </w:rPr>
      </w:pPr>
      <w:r>
        <w:rPr>
          <w:color w:val="auto"/>
          <w:sz w:val="24"/>
          <w:highlight w:val="none"/>
        </w:rPr>
        <w:t>（7）文明施工、文物保护保证体系及保证措施</w:t>
      </w:r>
    </w:p>
    <w:p>
      <w:pPr>
        <w:adjustRightInd w:val="0"/>
        <w:snapToGrid w:val="0"/>
        <w:spacing w:line="360" w:lineRule="auto"/>
        <w:ind w:left="680"/>
        <w:rPr>
          <w:color w:val="auto"/>
          <w:sz w:val="24"/>
          <w:highlight w:val="none"/>
        </w:rPr>
      </w:pPr>
      <w:r>
        <w:rPr>
          <w:color w:val="auto"/>
          <w:sz w:val="24"/>
          <w:highlight w:val="none"/>
        </w:rPr>
        <w:t>（8）项目风险预测与防范，事故应急预案</w:t>
      </w:r>
    </w:p>
    <w:p>
      <w:pPr>
        <w:adjustRightInd w:val="0"/>
        <w:snapToGrid w:val="0"/>
        <w:spacing w:line="360" w:lineRule="auto"/>
        <w:ind w:left="680"/>
        <w:rPr>
          <w:color w:val="auto"/>
          <w:sz w:val="24"/>
          <w:highlight w:val="none"/>
        </w:rPr>
      </w:pPr>
      <w:r>
        <w:rPr>
          <w:color w:val="auto"/>
          <w:sz w:val="24"/>
          <w:highlight w:val="none"/>
        </w:rPr>
        <w:t>（9）其他应说明的事项</w:t>
      </w:r>
    </w:p>
    <w:p>
      <w:pPr>
        <w:widowControl/>
        <w:numPr>
          <w:ilvl w:val="0"/>
          <w:numId w:val="46"/>
        </w:numPr>
        <w:tabs>
          <w:tab w:val="left" w:pos="980"/>
        </w:tabs>
        <w:autoSpaceDE/>
        <w:autoSpaceDN/>
        <w:adjustRightInd w:val="0"/>
        <w:snapToGrid w:val="0"/>
        <w:spacing w:line="360" w:lineRule="auto"/>
        <w:ind w:left="1100" w:right="606" w:hanging="416"/>
        <w:rPr>
          <w:b/>
          <w:color w:val="auto"/>
          <w:sz w:val="24"/>
          <w:highlight w:val="none"/>
        </w:rPr>
      </w:pPr>
      <w:r>
        <w:rPr>
          <w:b/>
          <w:color w:val="auto"/>
          <w:sz w:val="24"/>
          <w:highlight w:val="none"/>
        </w:rPr>
        <w:t>施工组织设计除采用文字表述外可附下列图表，图表及格式要求附后。</w:t>
      </w:r>
    </w:p>
    <w:p>
      <w:pPr>
        <w:widowControl/>
        <w:tabs>
          <w:tab w:val="left" w:pos="980"/>
        </w:tabs>
        <w:autoSpaceDE/>
        <w:autoSpaceDN/>
        <w:adjustRightInd w:val="0"/>
        <w:snapToGrid w:val="0"/>
        <w:spacing w:line="360" w:lineRule="auto"/>
        <w:ind w:left="1100" w:right="606"/>
        <w:rPr>
          <w:color w:val="auto"/>
          <w:sz w:val="24"/>
          <w:highlight w:val="none"/>
        </w:rPr>
      </w:pPr>
      <w:r>
        <w:rPr>
          <w:color w:val="auto"/>
          <w:sz w:val="24"/>
          <w:highlight w:val="none"/>
        </w:rPr>
        <w:t>附表一 施工总体计划表</w:t>
      </w:r>
    </w:p>
    <w:p>
      <w:pPr>
        <w:adjustRightInd w:val="0"/>
        <w:snapToGrid w:val="0"/>
        <w:spacing w:line="360" w:lineRule="auto"/>
        <w:ind w:left="1100" w:right="3606"/>
        <w:rPr>
          <w:color w:val="auto"/>
          <w:sz w:val="24"/>
          <w:highlight w:val="none"/>
        </w:rPr>
      </w:pPr>
      <w:r>
        <w:rPr>
          <w:color w:val="auto"/>
          <w:sz w:val="24"/>
          <w:highlight w:val="none"/>
        </w:rPr>
        <w:t>附表二 分项工程进度率计划（斜率图）</w:t>
      </w:r>
    </w:p>
    <w:p>
      <w:pPr>
        <w:adjustRightInd w:val="0"/>
        <w:snapToGrid w:val="0"/>
        <w:spacing w:line="360" w:lineRule="auto"/>
        <w:ind w:left="1100" w:right="3606"/>
        <w:rPr>
          <w:color w:val="auto"/>
          <w:sz w:val="24"/>
          <w:highlight w:val="none"/>
        </w:rPr>
      </w:pPr>
      <w:r>
        <w:rPr>
          <w:color w:val="auto"/>
          <w:sz w:val="24"/>
          <w:highlight w:val="none"/>
        </w:rPr>
        <w:t>附表三 工程管理曲线</w:t>
      </w:r>
    </w:p>
    <w:p>
      <w:pPr>
        <w:adjustRightInd w:val="0"/>
        <w:snapToGrid w:val="0"/>
        <w:spacing w:line="360" w:lineRule="auto"/>
        <w:ind w:left="1100" w:right="3846"/>
        <w:rPr>
          <w:color w:val="auto"/>
          <w:sz w:val="24"/>
          <w:highlight w:val="none"/>
        </w:rPr>
      </w:pPr>
      <w:r>
        <w:rPr>
          <w:color w:val="auto"/>
          <w:sz w:val="24"/>
          <w:highlight w:val="none"/>
        </w:rPr>
        <w:t>附表四 分项工程生产率和施工周期表</w:t>
      </w:r>
    </w:p>
    <w:p>
      <w:pPr>
        <w:adjustRightInd w:val="0"/>
        <w:snapToGrid w:val="0"/>
        <w:spacing w:line="360" w:lineRule="auto"/>
        <w:ind w:left="1100" w:right="3846"/>
        <w:rPr>
          <w:color w:val="auto"/>
          <w:sz w:val="24"/>
          <w:highlight w:val="none"/>
        </w:rPr>
      </w:pPr>
      <w:r>
        <w:rPr>
          <w:color w:val="auto"/>
          <w:sz w:val="24"/>
          <w:highlight w:val="none"/>
        </w:rPr>
        <w:t>附表五 施工总平面图</w:t>
      </w:r>
    </w:p>
    <w:p>
      <w:pPr>
        <w:adjustRightInd w:val="0"/>
        <w:snapToGrid w:val="0"/>
        <w:spacing w:line="360" w:lineRule="auto"/>
        <w:ind w:left="1100" w:right="5286"/>
        <w:rPr>
          <w:color w:val="auto"/>
          <w:sz w:val="24"/>
          <w:highlight w:val="none"/>
        </w:rPr>
      </w:pPr>
      <w:r>
        <w:rPr>
          <w:color w:val="auto"/>
          <w:sz w:val="24"/>
          <w:highlight w:val="none"/>
        </w:rPr>
        <w:t>附表六 劳动力计划表</w:t>
      </w:r>
    </w:p>
    <w:p>
      <w:pPr>
        <w:adjustRightInd w:val="0"/>
        <w:snapToGrid w:val="0"/>
        <w:spacing w:line="360" w:lineRule="auto"/>
        <w:ind w:left="1100" w:right="5286"/>
        <w:rPr>
          <w:color w:val="auto"/>
          <w:sz w:val="24"/>
          <w:highlight w:val="none"/>
        </w:rPr>
      </w:pPr>
      <w:r>
        <w:rPr>
          <w:color w:val="auto"/>
          <w:sz w:val="24"/>
          <w:highlight w:val="none"/>
        </w:rPr>
        <w:t>附表七 临时占地计划表</w:t>
      </w:r>
    </w:p>
    <w:p>
      <w:pPr>
        <w:adjustRightInd w:val="0"/>
        <w:snapToGrid w:val="0"/>
        <w:spacing w:line="360" w:lineRule="auto"/>
        <w:ind w:left="1100" w:right="5286"/>
        <w:rPr>
          <w:color w:val="auto"/>
          <w:sz w:val="24"/>
          <w:highlight w:val="none"/>
        </w:rPr>
        <w:sectPr>
          <w:pgSz w:w="11907" w:h="16840"/>
          <w:pgMar w:top="1418" w:right="1191" w:bottom="1418" w:left="1191" w:header="873" w:footer="851" w:gutter="0"/>
          <w:cols w:space="720" w:num="1"/>
        </w:sectPr>
      </w:pPr>
      <w:r>
        <w:rPr>
          <w:color w:val="auto"/>
          <w:sz w:val="24"/>
          <w:highlight w:val="none"/>
        </w:rPr>
        <w:t>附表八  外供电力需求计划表</w:t>
      </w:r>
    </w:p>
    <w:p>
      <w:pPr>
        <w:pStyle w:val="4"/>
        <w:adjustRightInd w:val="0"/>
        <w:snapToGrid w:val="0"/>
        <w:spacing w:before="0"/>
        <w:ind w:left="0"/>
        <w:rPr>
          <w:rFonts w:asciiTheme="minorEastAsia" w:hAnsiTheme="minorEastAsia" w:eastAsiaTheme="minorEastAsia"/>
          <w:b/>
          <w:bCs/>
          <w:color w:val="auto"/>
          <w:sz w:val="28"/>
          <w:szCs w:val="28"/>
          <w:highlight w:val="none"/>
        </w:rPr>
      </w:pPr>
      <w:bookmarkStart w:id="4259" w:name="_Toc16153"/>
      <w:bookmarkStart w:id="4260" w:name="_Toc3931"/>
      <w:bookmarkStart w:id="4261" w:name="_Toc18327"/>
      <w:bookmarkStart w:id="4262" w:name="_Toc22943"/>
      <w:bookmarkStart w:id="4263" w:name="_Toc23480"/>
      <w:bookmarkStart w:id="4264" w:name="_Toc5014"/>
      <w:bookmarkStart w:id="4265" w:name="_Toc5671"/>
      <w:bookmarkStart w:id="4266" w:name="_Toc513794188"/>
      <w:bookmarkStart w:id="4267" w:name="_Toc21855"/>
      <w:bookmarkStart w:id="4268" w:name="_Toc4533"/>
      <w:bookmarkStart w:id="4269" w:name="_Toc17953"/>
      <w:bookmarkStart w:id="4270" w:name="_Toc7679"/>
      <w:bookmarkStart w:id="4271" w:name="_Toc7715"/>
      <w:bookmarkStart w:id="4272" w:name="_Toc2952"/>
      <w:bookmarkStart w:id="4273" w:name="_Toc14846"/>
      <w:bookmarkStart w:id="4274" w:name="_Toc6422"/>
      <w:bookmarkStart w:id="4275" w:name="_Toc15127"/>
      <w:bookmarkStart w:id="4276" w:name="_Toc20033"/>
      <w:bookmarkStart w:id="4277" w:name="_Toc10063"/>
      <w:bookmarkStart w:id="4278" w:name="_Toc28756"/>
      <w:r>
        <w:rPr>
          <w:rFonts w:hint="eastAsia" w:asciiTheme="minorEastAsia" w:hAnsiTheme="minorEastAsia" w:eastAsiaTheme="minorEastAsia"/>
          <w:b/>
          <w:color w:val="auto"/>
          <w:sz w:val="28"/>
          <w:szCs w:val="28"/>
          <w:highlight w:val="none"/>
        </w:rPr>
        <w:t>附表一施工总体计划表</w:t>
      </w:r>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p>
    <w:tbl>
      <w:tblPr>
        <w:tblStyle w:val="47"/>
        <w:tblW w:w="14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59"/>
        <w:gridCol w:w="403"/>
        <w:gridCol w:w="403"/>
        <w:gridCol w:w="403"/>
        <w:gridCol w:w="403"/>
        <w:gridCol w:w="403"/>
        <w:gridCol w:w="404"/>
        <w:gridCol w:w="404"/>
        <w:gridCol w:w="404"/>
        <w:gridCol w:w="404"/>
        <w:gridCol w:w="426"/>
        <w:gridCol w:w="426"/>
        <w:gridCol w:w="430"/>
        <w:gridCol w:w="404"/>
        <w:gridCol w:w="404"/>
        <w:gridCol w:w="404"/>
        <w:gridCol w:w="404"/>
        <w:gridCol w:w="404"/>
        <w:gridCol w:w="404"/>
        <w:gridCol w:w="404"/>
        <w:gridCol w:w="404"/>
        <w:gridCol w:w="404"/>
        <w:gridCol w:w="426"/>
        <w:gridCol w:w="426"/>
        <w:gridCol w:w="436"/>
        <w:gridCol w:w="404"/>
        <w:gridCol w:w="404"/>
        <w:gridCol w:w="404"/>
        <w:gridCol w:w="404"/>
        <w:gridCol w:w="4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exact"/>
          <w:jc w:val="center"/>
        </w:trPr>
        <w:tc>
          <w:tcPr>
            <w:tcW w:w="2859"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年度</w:t>
            </w:r>
          </w:p>
        </w:tc>
        <w:tc>
          <w:tcPr>
            <w:tcW w:w="4913" w:type="dxa"/>
            <w:gridSpan w:val="12"/>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4924" w:type="dxa"/>
            <w:gridSpan w:val="12"/>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2046" w:type="dxa"/>
            <w:gridSpan w:val="5"/>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exact"/>
          <w:jc w:val="center"/>
        </w:trPr>
        <w:tc>
          <w:tcPr>
            <w:tcW w:w="2859" w:type="dxa"/>
            <w:tcBorders>
              <w:tl2br w:val="single" w:color="auto" w:sz="6"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月份</w:t>
            </w: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主要工程项目</w:t>
            </w:r>
          </w:p>
        </w:tc>
        <w:tc>
          <w:tcPr>
            <w:tcW w:w="403"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403"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403"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403"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c>
          <w:tcPr>
            <w:tcW w:w="403"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6</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7</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8</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9</w:t>
            </w:r>
          </w:p>
        </w:tc>
        <w:tc>
          <w:tcPr>
            <w:tcW w:w="426" w:type="dxa"/>
            <w:vAlign w:val="center"/>
          </w:tcPr>
          <w:p>
            <w:pP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10</w:t>
            </w:r>
          </w:p>
        </w:tc>
        <w:tc>
          <w:tcPr>
            <w:tcW w:w="426" w:type="dxa"/>
            <w:vAlign w:val="center"/>
          </w:tcPr>
          <w:p>
            <w:pP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11</w:t>
            </w:r>
          </w:p>
        </w:tc>
        <w:tc>
          <w:tcPr>
            <w:tcW w:w="430"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12</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6</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7</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8</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9</w:t>
            </w:r>
          </w:p>
        </w:tc>
        <w:tc>
          <w:tcPr>
            <w:tcW w:w="426"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10</w:t>
            </w:r>
          </w:p>
        </w:tc>
        <w:tc>
          <w:tcPr>
            <w:tcW w:w="426"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11</w:t>
            </w:r>
          </w:p>
        </w:tc>
        <w:tc>
          <w:tcPr>
            <w:tcW w:w="436"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12</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404"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c>
          <w:tcPr>
            <w:tcW w:w="430"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施工准备</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路基处理</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路基填筑</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涵洞</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通道</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防护及排水</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路面基层</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）底基层</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）基层</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w:t>
            </w:r>
            <w:r>
              <w:rPr>
                <w:rFonts w:hint="eastAsia" w:asciiTheme="minorEastAsia" w:hAnsiTheme="minorEastAsia" w:eastAsiaTheme="minorEastAsia"/>
                <w:color w:val="auto"/>
                <w:szCs w:val="21"/>
                <w:highlight w:val="none"/>
              </w:rPr>
              <w:t>路面铺筑</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w:t>
            </w:r>
            <w:r>
              <w:rPr>
                <w:rFonts w:hint="eastAsia" w:asciiTheme="minorEastAsia" w:hAnsiTheme="minorEastAsia" w:eastAsiaTheme="minorEastAsia"/>
                <w:color w:val="auto"/>
                <w:szCs w:val="21"/>
                <w:highlight w:val="none"/>
              </w:rPr>
              <w:t>路面标志标线</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桥梁工程</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）基础工程</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）墩台工程</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）梁体工程</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）梁体安装</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）桥面铺装及人行道</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w:t>
            </w:r>
            <w:r>
              <w:rPr>
                <w:rFonts w:hint="eastAsia" w:asciiTheme="minorEastAsia" w:hAnsiTheme="minorEastAsia" w:eastAsiaTheme="minorEastAsia"/>
                <w:color w:val="auto"/>
                <w:szCs w:val="21"/>
                <w:highlight w:val="none"/>
              </w:rPr>
              <w:t>隧道</w:t>
            </w: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3"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26" w:type="dxa"/>
            <w:vAlign w:val="center"/>
          </w:tcPr>
          <w:p>
            <w:pPr>
              <w:jc w:val="center"/>
              <w:rPr>
                <w:rFonts w:asciiTheme="minorEastAsia" w:hAnsiTheme="minorEastAsia" w:eastAsiaTheme="minorEastAsia"/>
                <w:color w:val="auto"/>
                <w:szCs w:val="21"/>
                <w:highlight w:val="none"/>
              </w:rPr>
            </w:pPr>
          </w:p>
        </w:tc>
        <w:tc>
          <w:tcPr>
            <w:tcW w:w="436"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04" w:type="dxa"/>
            <w:vAlign w:val="center"/>
          </w:tcPr>
          <w:p>
            <w:pPr>
              <w:jc w:val="center"/>
              <w:rPr>
                <w:rFonts w:asciiTheme="minorEastAsia" w:hAnsiTheme="minorEastAsia" w:eastAsiaTheme="minorEastAsia"/>
                <w:color w:val="auto"/>
                <w:szCs w:val="21"/>
                <w:highlight w:val="none"/>
              </w:rPr>
            </w:pPr>
          </w:p>
        </w:tc>
        <w:tc>
          <w:tcPr>
            <w:tcW w:w="43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859" w:type="dxa"/>
            <w:tcBorders>
              <w:bottom w:val="single" w:color="auto" w:sz="12" w:space="0"/>
            </w:tcBorders>
            <w:vAlign w:val="center"/>
          </w:tcPr>
          <w:p>
            <w:pPr>
              <w:ind w:left="110" w:leftChars="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12.</w:t>
            </w:r>
            <w:r>
              <w:rPr>
                <w:rFonts w:hint="eastAsia" w:asciiTheme="minorEastAsia" w:hAnsiTheme="minorEastAsia" w:eastAsiaTheme="minorEastAsia"/>
                <w:color w:val="auto"/>
                <w:szCs w:val="21"/>
                <w:highlight w:val="none"/>
              </w:rPr>
              <w:t>其他</w:t>
            </w:r>
          </w:p>
        </w:tc>
        <w:tc>
          <w:tcPr>
            <w:tcW w:w="40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2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2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30"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2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2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3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0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30"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r>
    </w:tbl>
    <w:p>
      <w:pPr>
        <w:pStyle w:val="4"/>
        <w:adjustRightInd w:val="0"/>
        <w:snapToGrid w:val="0"/>
        <w:spacing w:before="0"/>
        <w:ind w:left="0"/>
        <w:rPr>
          <w:rFonts w:asciiTheme="minorEastAsia" w:hAnsiTheme="minorEastAsia" w:eastAsiaTheme="minorEastAsia"/>
          <w:color w:val="auto"/>
          <w:sz w:val="28"/>
          <w:szCs w:val="28"/>
          <w:highlight w:val="none"/>
        </w:rPr>
        <w:sectPr>
          <w:footnotePr>
            <w:numFmt w:val="decimalEnclosedCircleChinese"/>
            <w:numRestart w:val="eachPage"/>
          </w:footnotePr>
          <w:pgSz w:w="16840" w:h="11907" w:orient="landscape"/>
          <w:pgMar w:top="1440" w:right="1361" w:bottom="1440" w:left="1361" w:header="720" w:footer="907" w:gutter="0"/>
          <w:cols w:space="720" w:num="1"/>
        </w:sectPr>
      </w:pPr>
      <w:bookmarkStart w:id="4279" w:name="_Toc513794189"/>
    </w:p>
    <w:p>
      <w:pPr>
        <w:pStyle w:val="4"/>
        <w:adjustRightInd w:val="0"/>
        <w:snapToGrid w:val="0"/>
        <w:spacing w:before="0"/>
        <w:ind w:left="0"/>
        <w:rPr>
          <w:rFonts w:asciiTheme="minorEastAsia" w:hAnsiTheme="minorEastAsia" w:eastAsiaTheme="minorEastAsia"/>
          <w:b/>
          <w:color w:val="auto"/>
          <w:sz w:val="28"/>
          <w:szCs w:val="28"/>
          <w:highlight w:val="none"/>
        </w:rPr>
      </w:pPr>
      <w:bookmarkStart w:id="4280" w:name="_Toc31388"/>
      <w:bookmarkStart w:id="4281" w:name="_Toc9196"/>
      <w:bookmarkStart w:id="4282" w:name="_Toc22775"/>
      <w:bookmarkStart w:id="4283" w:name="_Toc8756"/>
      <w:bookmarkStart w:id="4284" w:name="_Toc12284"/>
      <w:bookmarkStart w:id="4285" w:name="_Toc6806"/>
      <w:bookmarkStart w:id="4286" w:name="_Toc8444"/>
      <w:bookmarkStart w:id="4287" w:name="_Toc26893"/>
      <w:bookmarkStart w:id="4288" w:name="_Toc27344"/>
      <w:bookmarkStart w:id="4289" w:name="_Toc26942"/>
      <w:bookmarkStart w:id="4290" w:name="_Toc21233"/>
      <w:bookmarkStart w:id="4291" w:name="_Toc12672"/>
      <w:bookmarkStart w:id="4292" w:name="_Toc18642"/>
      <w:bookmarkStart w:id="4293" w:name="_Toc15716"/>
      <w:bookmarkStart w:id="4294" w:name="_Toc15612"/>
      <w:bookmarkStart w:id="4295" w:name="_Toc14972"/>
      <w:bookmarkStart w:id="4296" w:name="_Toc20539"/>
      <w:bookmarkStart w:id="4297" w:name="_Toc3565"/>
      <w:bookmarkStart w:id="4298" w:name="_Toc19022"/>
      <w:r>
        <w:rPr>
          <w:rFonts w:hint="eastAsia" w:asciiTheme="minorEastAsia" w:hAnsiTheme="minorEastAsia" w:eastAsiaTheme="minorEastAsia"/>
          <w:b/>
          <w:color w:val="auto"/>
          <w:sz w:val="28"/>
          <w:szCs w:val="28"/>
          <w:highlight w:val="none"/>
        </w:rPr>
        <w:t>附表二分项工程进度率计划（斜率图）</w:t>
      </w:r>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p>
    <w:tbl>
      <w:tblPr>
        <w:tblStyle w:val="47"/>
        <w:tblW w:w="14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22"/>
        <w:gridCol w:w="1276"/>
        <w:gridCol w:w="467"/>
        <w:gridCol w:w="467"/>
        <w:gridCol w:w="467"/>
        <w:gridCol w:w="467"/>
        <w:gridCol w:w="467"/>
        <w:gridCol w:w="467"/>
        <w:gridCol w:w="467"/>
        <w:gridCol w:w="468"/>
        <w:gridCol w:w="467"/>
        <w:gridCol w:w="467"/>
        <w:gridCol w:w="467"/>
        <w:gridCol w:w="467"/>
        <w:gridCol w:w="467"/>
        <w:gridCol w:w="467"/>
        <w:gridCol w:w="467"/>
        <w:gridCol w:w="468"/>
        <w:gridCol w:w="467"/>
        <w:gridCol w:w="467"/>
        <w:gridCol w:w="467"/>
        <w:gridCol w:w="467"/>
        <w:gridCol w:w="467"/>
        <w:gridCol w:w="467"/>
        <w:gridCol w:w="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 w:hRule="exact"/>
          <w:jc w:val="center"/>
        </w:trPr>
        <w:tc>
          <w:tcPr>
            <w:tcW w:w="3998" w:type="dxa"/>
            <w:gridSpan w:val="2"/>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年度</w:t>
            </w:r>
          </w:p>
        </w:tc>
        <w:tc>
          <w:tcPr>
            <w:tcW w:w="5605" w:type="dxa"/>
            <w:gridSpan w:val="12"/>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5139" w:type="dxa"/>
            <w:gridSpan w:val="11"/>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998"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季度</w:t>
            </w:r>
          </w:p>
        </w:tc>
        <w:tc>
          <w:tcPr>
            <w:tcW w:w="140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w:t>
            </w:r>
          </w:p>
        </w:tc>
        <w:tc>
          <w:tcPr>
            <w:tcW w:w="140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w:t>
            </w:r>
          </w:p>
        </w:tc>
        <w:tc>
          <w:tcPr>
            <w:tcW w:w="1402"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w:t>
            </w:r>
          </w:p>
        </w:tc>
        <w:tc>
          <w:tcPr>
            <w:tcW w:w="140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w:t>
            </w:r>
          </w:p>
        </w:tc>
        <w:tc>
          <w:tcPr>
            <w:tcW w:w="140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w:t>
            </w:r>
          </w:p>
        </w:tc>
        <w:tc>
          <w:tcPr>
            <w:tcW w:w="1402"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w:t>
            </w:r>
          </w:p>
        </w:tc>
        <w:tc>
          <w:tcPr>
            <w:tcW w:w="140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w:t>
            </w:r>
          </w:p>
        </w:tc>
        <w:tc>
          <w:tcPr>
            <w:tcW w:w="935"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3998"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月份</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6</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7</w:t>
            </w:r>
          </w:p>
        </w:tc>
        <w:tc>
          <w:tcPr>
            <w:tcW w:w="468"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8</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9</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10</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11</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12</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468"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6</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7</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8</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9</w:t>
            </w:r>
          </w:p>
        </w:tc>
        <w:tc>
          <w:tcPr>
            <w:tcW w:w="467" w:type="dxa"/>
            <w:vAlign w:val="center"/>
          </w:tcPr>
          <w:p>
            <w:pPr>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10</w:t>
            </w:r>
          </w:p>
        </w:tc>
        <w:tc>
          <w:tcPr>
            <w:tcW w:w="468"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bottom w:val="nil"/>
              <w:right w:val="nil"/>
            </w:tcBorders>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图例：</w:t>
            </w:r>
          </w:p>
        </w:tc>
        <w:tc>
          <w:tcPr>
            <w:tcW w:w="1276" w:type="dxa"/>
            <w:tcBorders>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100</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single" w:color="auto" w:sz="2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single" w:color="auto" w:sz="2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施工准备</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double" w:color="auto" w:sz="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double" w:color="auto" w:sz="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路基填筑</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dashDotStroked" w:color="auto" w:sz="2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dashDotStroked" w:color="auto" w:sz="2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路面基层</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triple" w:color="auto" w:sz="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triple" w:color="auto" w:sz="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路面面层</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wave" w:color="auto" w:sz="6"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wave" w:color="auto" w:sz="6"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防护及排水</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dotDotDash" w:color="auto" w:sz="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dotDotDash" w:color="auto" w:sz="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涵洞及通道</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thickThinSmallGap" w:color="auto" w:sz="2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thickThinSmallGap" w:color="auto" w:sz="2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桥梁下部工程</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thinThickSmallGap" w:color="auto" w:sz="2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thinThickSmallGap" w:color="auto" w:sz="2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桥梁上部工程</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dashed" w:color="auto" w:sz="4"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dashed" w:color="auto" w:sz="4" w:space="0"/>
              <w:bottom w:val="nil"/>
              <w:right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隧道</w:t>
            </w:r>
          </w:p>
        </w:tc>
        <w:tc>
          <w:tcPr>
            <w:tcW w:w="1276" w:type="dxa"/>
            <w:tcBorders>
              <w:top w:val="nil"/>
              <w:left w:val="nil"/>
              <w:bottom w:val="nil"/>
            </w:tcBorders>
            <w:vAlign w:val="center"/>
          </w:tcPr>
          <w:p>
            <w:pPr>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7" w:type="dxa"/>
            <w:vAlign w:val="center"/>
          </w:tcPr>
          <w:p>
            <w:pPr>
              <w:jc w:val="center"/>
              <w:rPr>
                <w:rFonts w:asciiTheme="minorEastAsia" w:hAnsiTheme="minorEastAsia" w:eastAsiaTheme="minorEastAsia"/>
                <w:color w:val="auto"/>
                <w:szCs w:val="21"/>
                <w:highlight w:val="none"/>
              </w:rPr>
            </w:pPr>
          </w:p>
        </w:tc>
        <w:tc>
          <w:tcPr>
            <w:tcW w:w="468"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22" w:type="dxa"/>
            <w:tcBorders>
              <w:top w:val="nil"/>
              <w:bottom w:val="single" w:color="auto" w:sz="12" w:space="0"/>
              <w:right w:val="nil"/>
            </w:tcBorders>
            <w:vAlign w:val="center"/>
          </w:tcPr>
          <w:p>
            <w:pPr>
              <w:jc w:val="center"/>
              <w:rPr>
                <w:rFonts w:asciiTheme="minorEastAsia" w:hAnsiTheme="minorEastAsia" w:eastAsiaTheme="minorEastAsia"/>
                <w:color w:val="auto"/>
                <w:szCs w:val="21"/>
                <w:highlight w:val="none"/>
              </w:rPr>
            </w:pPr>
          </w:p>
        </w:tc>
        <w:tc>
          <w:tcPr>
            <w:tcW w:w="1276" w:type="dxa"/>
            <w:tcBorders>
              <w:top w:val="nil"/>
              <w:left w:val="nil"/>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8"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8"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7"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468"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r>
    </w:tbl>
    <w:p>
      <w:pPr>
        <w:rPr>
          <w:rFonts w:asciiTheme="minorEastAsia" w:hAnsiTheme="minorEastAsia" w:eastAsiaTheme="minorEastAsia"/>
          <w:color w:val="auto"/>
          <w:szCs w:val="21"/>
          <w:highlight w:val="none"/>
        </w:rPr>
        <w:sectPr>
          <w:footnotePr>
            <w:numFmt w:val="decimalEnclosedCircleChinese"/>
            <w:numRestart w:val="eachPage"/>
          </w:footnotePr>
          <w:pgSz w:w="16840" w:h="11907" w:orient="landscape"/>
          <w:pgMar w:top="1440" w:right="1361" w:bottom="1440" w:left="1361" w:header="720" w:footer="907" w:gutter="0"/>
          <w:cols w:space="720" w:num="1"/>
        </w:sectPr>
      </w:pPr>
      <w:r>
        <w:rPr>
          <w:rFonts w:hint="eastAsia" w:asciiTheme="minorEastAsia" w:hAnsiTheme="minorEastAsia" w:eastAsiaTheme="minorEastAsia"/>
          <w:color w:val="auto"/>
          <w:szCs w:val="21"/>
          <w:highlight w:val="none"/>
        </w:rPr>
        <w:t>注：</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应按各标段实际工程内容填写。</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各个项目的进程可用线条的长短来表示。</w:t>
      </w:r>
    </w:p>
    <w:p>
      <w:pPr>
        <w:pStyle w:val="4"/>
        <w:adjustRightInd w:val="0"/>
        <w:snapToGrid w:val="0"/>
        <w:spacing w:before="0"/>
        <w:ind w:left="0"/>
        <w:rPr>
          <w:rFonts w:asciiTheme="minorEastAsia" w:hAnsiTheme="minorEastAsia" w:eastAsiaTheme="minorEastAsia"/>
          <w:b/>
          <w:color w:val="auto"/>
          <w:sz w:val="28"/>
          <w:szCs w:val="28"/>
          <w:highlight w:val="none"/>
        </w:rPr>
      </w:pPr>
      <w:bookmarkStart w:id="4299" w:name="_Toc30070"/>
      <w:bookmarkStart w:id="4300" w:name="_Toc1162"/>
      <w:bookmarkStart w:id="4301" w:name="_Toc10903"/>
      <w:bookmarkStart w:id="4302" w:name="_Toc22470"/>
      <w:bookmarkStart w:id="4303" w:name="_Toc513794190"/>
      <w:bookmarkStart w:id="4304" w:name="_Toc12366"/>
      <w:bookmarkStart w:id="4305" w:name="_Toc7106"/>
      <w:bookmarkStart w:id="4306" w:name="_Toc20607"/>
      <w:bookmarkStart w:id="4307" w:name="_Toc7035"/>
      <w:bookmarkStart w:id="4308" w:name="_Toc30566"/>
      <w:bookmarkStart w:id="4309" w:name="_Toc23026"/>
      <w:bookmarkStart w:id="4310" w:name="_Toc27990"/>
      <w:bookmarkStart w:id="4311" w:name="_Toc11388"/>
      <w:bookmarkStart w:id="4312" w:name="_Toc4991"/>
      <w:bookmarkStart w:id="4313" w:name="_Toc21055"/>
      <w:bookmarkStart w:id="4314" w:name="_Toc1453"/>
      <w:bookmarkStart w:id="4315" w:name="_Toc12623"/>
      <w:bookmarkStart w:id="4316" w:name="_Toc21362"/>
      <w:bookmarkStart w:id="4317" w:name="_Toc19736"/>
      <w:bookmarkStart w:id="4318" w:name="_Toc24697"/>
      <w:r>
        <w:rPr>
          <w:rFonts w:hint="eastAsia" w:asciiTheme="minorEastAsia" w:hAnsiTheme="minorEastAsia" w:eastAsiaTheme="minorEastAsia"/>
          <w:b/>
          <w:color w:val="auto"/>
          <w:sz w:val="28"/>
          <w:szCs w:val="28"/>
          <w:highlight w:val="none"/>
        </w:rPr>
        <w:t>附表三工程管理曲线</w:t>
      </w:r>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p>
    <w:tbl>
      <w:tblPr>
        <w:tblStyle w:val="47"/>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6"/>
        <w:gridCol w:w="361"/>
        <w:gridCol w:w="361"/>
        <w:gridCol w:w="371"/>
        <w:gridCol w:w="361"/>
        <w:gridCol w:w="361"/>
        <w:gridCol w:w="367"/>
        <w:gridCol w:w="360"/>
        <w:gridCol w:w="360"/>
        <w:gridCol w:w="364"/>
        <w:gridCol w:w="426"/>
        <w:gridCol w:w="419"/>
        <w:gridCol w:w="426"/>
        <w:gridCol w:w="360"/>
        <w:gridCol w:w="360"/>
        <w:gridCol w:w="364"/>
        <w:gridCol w:w="362"/>
        <w:gridCol w:w="362"/>
        <w:gridCol w:w="364"/>
        <w:gridCol w:w="362"/>
        <w:gridCol w:w="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single" w:color="auto" w:sz="12" w:space="0"/>
              <w:bottom w:val="nil"/>
              <w:tl2br w:val="single" w:color="auto" w:sz="6" w:space="0"/>
            </w:tcBorders>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pict>
                <v:shape id="Straight Connector 2" o:spid="_x0000_s1106" o:spt="32" type="#_x0000_t32" style="position:absolute;left:0pt;margin-left:-5.9pt;margin-top:-0.3pt;height:44.35pt;width:110pt;z-index:251692032;mso-width-relative:page;mso-height-relative:page;" o:connectortype="straight" filled="f" o:preferrelative="t" coordsize="21600,21600">
                  <v:path arrowok="t"/>
                  <v:fill on="f" focussize="0,0"/>
                  <v:stroke miterlimit="2"/>
                  <v:imagedata o:title=""/>
                  <o:lock v:ext="edit"/>
                </v:shape>
              </w:pict>
            </w:r>
            <w:r>
              <w:rPr>
                <w:rFonts w:hint="eastAsia" w:asciiTheme="minorEastAsia" w:hAnsiTheme="minorEastAsia" w:eastAsiaTheme="minorEastAsia"/>
                <w:color w:val="auto"/>
                <w:highlight w:val="none"/>
              </w:rPr>
              <w:t>年度</w:t>
            </w:r>
          </w:p>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pict>
                <v:rect id="Rectangle 3" o:spid="_x0000_s1107" o:spt="1" style="position:absolute;left:0pt;margin-left:61.5pt;margin-top:1.6pt;height:21.55pt;width:17.15pt;z-index:251693056;mso-width-relative:page;mso-height-relative:page;" filled="f" o:preferrelative="t" stroked="f" coordsize="21600,21600">
                  <v:path/>
                  <v:fill on="f" focussize="0,0"/>
                  <v:stroke on="f"/>
                  <v:imagedata o:title=""/>
                  <o:lock v:ext="edit"/>
                  <v:textbox>
                    <w:txbxContent>
                      <w:p>
                        <w:r>
                          <w:rPr>
                            <w:rFonts w:hint="eastAsia"/>
                          </w:rPr>
                          <w:t>季</w:t>
                        </w:r>
                      </w:p>
                    </w:txbxContent>
                  </v:textbox>
                </v:rect>
              </w:pict>
            </w:r>
          </w:p>
          <w:p>
            <w:pPr>
              <w:jc w:val="center"/>
              <w:rPr>
                <w:rFonts w:asciiTheme="minorEastAsia" w:hAnsiTheme="minorEastAsia" w:eastAsiaTheme="minorEastAsia"/>
                <w:color w:val="auto"/>
                <w:highlight w:val="none"/>
              </w:rPr>
            </w:pPr>
          </w:p>
        </w:tc>
        <w:tc>
          <w:tcPr>
            <w:tcW w:w="4537" w:type="dxa"/>
            <w:gridSpan w:val="12"/>
            <w:tcBorders>
              <w:top w:val="single" w:color="auto" w:sz="12" w:space="0"/>
            </w:tcBorders>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年</w:t>
            </w:r>
          </w:p>
        </w:tc>
        <w:tc>
          <w:tcPr>
            <w:tcW w:w="2896" w:type="dxa"/>
            <w:gridSpan w:val="8"/>
            <w:tcBorders>
              <w:top w:val="single" w:color="auto" w:sz="12" w:space="0"/>
            </w:tcBorders>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vMerge w:val="restart"/>
            <w:tcBorders>
              <w:top w:val="nil"/>
            </w:tcBorders>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pict>
                <v:rect id="Rectangle 4" o:spid="_x0000_s1108" o:spt="1" style="position:absolute;left:0pt;margin-left:84pt;margin-top:-0.45pt;height:21.55pt;width:17.15pt;z-index:251694080;mso-width-relative:page;mso-height-relative:page;" filled="f" o:preferrelative="t" stroked="f" coordsize="21600,21600">
                  <v:path/>
                  <v:fill on="f" focussize="0,0"/>
                  <v:stroke on="f"/>
                  <v:imagedata o:title=""/>
                  <o:lock v:ext="edit"/>
                  <v:textbox>
                    <w:txbxContent>
                      <w:p>
                        <w:r>
                          <w:rPr>
                            <w:rFonts w:hint="eastAsia"/>
                          </w:rPr>
                          <w:t>度</w:t>
                        </w:r>
                      </w:p>
                    </w:txbxContent>
                  </v:textbox>
                </v:rect>
              </w:pict>
            </w: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pict>
                <v:rect id="Rectangle 5" o:spid="_x0000_s1109" o:spt="1" style="position:absolute;left:0pt;margin-left:-5.55pt;margin-top:19.35pt;height:454.5pt;width:89.9pt;z-index:251695104;mso-width-relative:page;mso-height-relative:page;" filled="f" o:preferrelative="t" stroked="f" coordsize="21600,21600">
                  <v:path/>
                  <v:fill on="f" focussize="0,0"/>
                  <v:stroke on="f"/>
                  <v:imagedata o:title=""/>
                  <o:lock v:ext="edit"/>
                  <v:textbo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240" w:lineRule="exact"/>
                          <w:jc w:val="center"/>
                        </w:pPr>
                        <w:r>
                          <w:rPr>
                            <w:rFonts w:hint="eastAsia"/>
                          </w:rPr>
                          <w:t>工</w:t>
                        </w:r>
                      </w:p>
                      <w:p>
                        <w:pPr>
                          <w:spacing w:line="240" w:lineRule="exact"/>
                          <w:jc w:val="center"/>
                        </w:pPr>
                      </w:p>
                      <w:p>
                        <w:pPr>
                          <w:spacing w:line="240" w:lineRule="exact"/>
                          <w:jc w:val="center"/>
                        </w:pPr>
                        <w:r>
                          <w:rPr>
                            <w:rFonts w:hint="eastAsia"/>
                          </w:rPr>
                          <w:t>程</w:t>
                        </w:r>
                      </w:p>
                      <w:p>
                        <w:pPr>
                          <w:spacing w:line="240" w:lineRule="exact"/>
                          <w:jc w:val="center"/>
                        </w:pPr>
                      </w:p>
                      <w:p>
                        <w:pPr>
                          <w:spacing w:line="240" w:lineRule="exact"/>
                          <w:jc w:val="center"/>
                        </w:pPr>
                        <w:r>
                          <w:rPr>
                            <w:rFonts w:hint="eastAsia"/>
                          </w:rPr>
                          <w:t>完</w:t>
                        </w:r>
                      </w:p>
                      <w:p>
                        <w:pPr>
                          <w:spacing w:line="240" w:lineRule="exact"/>
                          <w:jc w:val="center"/>
                        </w:pPr>
                      </w:p>
                      <w:p>
                        <w:pPr>
                          <w:spacing w:line="240" w:lineRule="exact"/>
                          <w:jc w:val="center"/>
                        </w:pPr>
                        <w:r>
                          <w:rPr>
                            <w:rFonts w:hint="eastAsia"/>
                          </w:rPr>
                          <w:t>成</w:t>
                        </w:r>
                      </w:p>
                      <w:p>
                        <w:pPr>
                          <w:spacing w:line="240" w:lineRule="exact"/>
                          <w:jc w:val="center"/>
                        </w:pPr>
                      </w:p>
                      <w:p>
                        <w:pPr>
                          <w:spacing w:line="240" w:lineRule="exact"/>
                          <w:jc w:val="center"/>
                        </w:pPr>
                        <w:r>
                          <w:rPr>
                            <w:rFonts w:hint="eastAsia"/>
                          </w:rPr>
                          <w:t>的</w:t>
                        </w:r>
                      </w:p>
                      <w:p>
                        <w:pPr>
                          <w:spacing w:line="240" w:lineRule="exact"/>
                          <w:jc w:val="center"/>
                        </w:pPr>
                      </w:p>
                      <w:p>
                        <w:pPr>
                          <w:spacing w:line="240" w:lineRule="exact"/>
                          <w:jc w:val="center"/>
                        </w:pPr>
                        <w:r>
                          <w:rPr>
                            <w:rFonts w:hint="eastAsia"/>
                          </w:rPr>
                          <w:t>百</w:t>
                        </w:r>
                      </w:p>
                      <w:p>
                        <w:pPr>
                          <w:spacing w:line="240" w:lineRule="exact"/>
                          <w:jc w:val="center"/>
                        </w:pPr>
                      </w:p>
                      <w:p>
                        <w:pPr>
                          <w:spacing w:line="240" w:lineRule="exact"/>
                          <w:jc w:val="center"/>
                        </w:pPr>
                        <w:r>
                          <w:rPr>
                            <w:rFonts w:hint="eastAsia"/>
                          </w:rPr>
                          <w:t>分</w:t>
                        </w:r>
                      </w:p>
                      <w:p>
                        <w:pPr>
                          <w:spacing w:line="240" w:lineRule="exact"/>
                          <w:jc w:val="center"/>
                        </w:pPr>
                      </w:p>
                      <w:p>
                        <w:pPr>
                          <w:spacing w:line="240" w:lineRule="exact"/>
                          <w:jc w:val="center"/>
                        </w:pPr>
                        <w:r>
                          <w:rPr>
                            <w:rFonts w:hint="eastAsia"/>
                          </w:rPr>
                          <w:t>比</w:t>
                        </w:r>
                      </w:p>
                      <w:p>
                        <w:pPr>
                          <w:spacing w:line="240" w:lineRule="exact"/>
                          <w:jc w:val="center"/>
                        </w:pPr>
                      </w:p>
                      <w:p>
                        <w:pPr>
                          <w:spacing w:line="240" w:lineRule="exact"/>
                          <w:jc w:val="center"/>
                        </w:pPr>
                        <w:r>
                          <w:rPr>
                            <w:rFonts w:hint="eastAsia"/>
                          </w:rPr>
                          <w:t>（</w:t>
                        </w:r>
                        <w:r>
                          <w:t>%</w:t>
                        </w:r>
                        <w:r>
                          <w:rPr>
                            <w:rFonts w:hint="eastAsia"/>
                          </w:rPr>
                          <w:t>）</w:t>
                        </w:r>
                      </w:p>
                    </w:txbxContent>
                  </v:textbox>
                </v:rect>
              </w:pict>
            </w:r>
            <w:r>
              <w:rPr>
                <w:rFonts w:hint="eastAsia" w:asciiTheme="minorEastAsia" w:hAnsiTheme="minorEastAsia" w:eastAsiaTheme="minorEastAsia"/>
                <w:color w:val="auto"/>
                <w:highlight w:val="none"/>
              </w:rPr>
              <w:t>进度</w:t>
            </w:r>
          </w:p>
        </w:tc>
        <w:tc>
          <w:tcPr>
            <w:tcW w:w="1093" w:type="dxa"/>
            <w:gridSpan w:val="3"/>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w:t>
            </w:r>
          </w:p>
        </w:tc>
        <w:tc>
          <w:tcPr>
            <w:tcW w:w="1089" w:type="dxa"/>
            <w:gridSpan w:val="3"/>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w:t>
            </w:r>
          </w:p>
        </w:tc>
        <w:tc>
          <w:tcPr>
            <w:tcW w:w="1084" w:type="dxa"/>
            <w:gridSpan w:val="3"/>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w:t>
            </w:r>
          </w:p>
        </w:tc>
        <w:tc>
          <w:tcPr>
            <w:tcW w:w="1271" w:type="dxa"/>
            <w:gridSpan w:val="3"/>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w:t>
            </w:r>
          </w:p>
        </w:tc>
        <w:tc>
          <w:tcPr>
            <w:tcW w:w="1084" w:type="dxa"/>
            <w:gridSpan w:val="3"/>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w:t>
            </w:r>
          </w:p>
        </w:tc>
        <w:tc>
          <w:tcPr>
            <w:tcW w:w="1088" w:type="dxa"/>
            <w:gridSpan w:val="3"/>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w:t>
            </w:r>
          </w:p>
        </w:tc>
        <w:tc>
          <w:tcPr>
            <w:tcW w:w="724" w:type="dxa"/>
            <w:gridSpan w:val="2"/>
            <w:vAlign w:val="center"/>
          </w:tcPr>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vMerge w:val="continue"/>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p>
        </w:tc>
        <w:tc>
          <w:tcPr>
            <w:tcW w:w="361"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p>
        </w:tc>
        <w:tc>
          <w:tcPr>
            <w:tcW w:w="371"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p>
        </w:tc>
        <w:tc>
          <w:tcPr>
            <w:tcW w:w="361"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4</w:t>
            </w:r>
          </w:p>
        </w:tc>
        <w:tc>
          <w:tcPr>
            <w:tcW w:w="361"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w:t>
            </w:r>
          </w:p>
        </w:tc>
        <w:tc>
          <w:tcPr>
            <w:tcW w:w="367"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6</w:t>
            </w:r>
          </w:p>
        </w:tc>
        <w:tc>
          <w:tcPr>
            <w:tcW w:w="360"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7</w:t>
            </w:r>
          </w:p>
        </w:tc>
        <w:tc>
          <w:tcPr>
            <w:tcW w:w="360"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8</w:t>
            </w:r>
          </w:p>
        </w:tc>
        <w:tc>
          <w:tcPr>
            <w:tcW w:w="364"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9</w:t>
            </w:r>
          </w:p>
        </w:tc>
        <w:tc>
          <w:tcPr>
            <w:tcW w:w="426"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10</w:t>
            </w:r>
          </w:p>
        </w:tc>
        <w:tc>
          <w:tcPr>
            <w:tcW w:w="419"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11</w:t>
            </w:r>
          </w:p>
        </w:tc>
        <w:tc>
          <w:tcPr>
            <w:tcW w:w="426"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12</w:t>
            </w:r>
          </w:p>
        </w:tc>
        <w:tc>
          <w:tcPr>
            <w:tcW w:w="360"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p>
        </w:tc>
        <w:tc>
          <w:tcPr>
            <w:tcW w:w="360"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p>
        </w:tc>
        <w:tc>
          <w:tcPr>
            <w:tcW w:w="364"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p>
        </w:tc>
        <w:tc>
          <w:tcPr>
            <w:tcW w:w="362"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4</w:t>
            </w:r>
          </w:p>
        </w:tc>
        <w:tc>
          <w:tcPr>
            <w:tcW w:w="362"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w:t>
            </w:r>
          </w:p>
        </w:tc>
        <w:tc>
          <w:tcPr>
            <w:tcW w:w="364" w:type="dxa"/>
            <w:vAlign w:val="center"/>
          </w:tcPr>
          <w:p>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6</w:t>
            </w:r>
          </w:p>
        </w:tc>
        <w:tc>
          <w:tcPr>
            <w:tcW w:w="724" w:type="dxa"/>
            <w:gridSpan w:val="2"/>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100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90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80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70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60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50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40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30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20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06" w:type="dxa"/>
            <w:tcBorders>
              <w:top w:val="nil"/>
              <w:bottom w:val="nil"/>
            </w:tcBorders>
            <w:vAlign w:val="center"/>
          </w:tcPr>
          <w:p>
            <w:pPr>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10</w:t>
            </w: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7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1" w:type="dxa"/>
            <w:vAlign w:val="center"/>
          </w:tcPr>
          <w:p>
            <w:pPr>
              <w:jc w:val="center"/>
              <w:rPr>
                <w:rFonts w:asciiTheme="minorEastAsia" w:hAnsiTheme="minorEastAsia" w:eastAsiaTheme="minorEastAsia"/>
                <w:color w:val="auto"/>
                <w:highlight w:val="none"/>
              </w:rPr>
            </w:pPr>
          </w:p>
        </w:tc>
        <w:tc>
          <w:tcPr>
            <w:tcW w:w="367"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419" w:type="dxa"/>
            <w:vAlign w:val="center"/>
          </w:tcPr>
          <w:p>
            <w:pPr>
              <w:jc w:val="center"/>
              <w:rPr>
                <w:rFonts w:asciiTheme="minorEastAsia" w:hAnsiTheme="minorEastAsia" w:eastAsiaTheme="minorEastAsia"/>
                <w:color w:val="auto"/>
                <w:highlight w:val="none"/>
              </w:rPr>
            </w:pPr>
          </w:p>
        </w:tc>
        <w:tc>
          <w:tcPr>
            <w:tcW w:w="426"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0"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4"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c>
          <w:tcPr>
            <w:tcW w:w="362" w:type="dxa"/>
            <w:vAlign w:val="center"/>
          </w:tcPr>
          <w:p>
            <w:pPr>
              <w:jc w:val="center"/>
              <w:rPr>
                <w:rFonts w:asciiTheme="minorEastAsia" w:hAnsiTheme="minorEastAsia" w:eastAsia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exact"/>
          <w:jc w:val="center"/>
        </w:trPr>
        <w:tc>
          <w:tcPr>
            <w:tcW w:w="2206" w:type="dxa"/>
            <w:tcBorders>
              <w:top w:val="nil"/>
              <w:bottom w:val="single" w:color="auto" w:sz="12" w:space="0"/>
            </w:tcBorders>
            <w:vAlign w:val="center"/>
          </w:tcPr>
          <w:p>
            <w:pPr>
              <w:jc w:val="right"/>
              <w:rPr>
                <w:rFonts w:asciiTheme="minorEastAsia" w:hAnsiTheme="minorEastAsia" w:eastAsiaTheme="minorEastAsia"/>
                <w:color w:val="auto"/>
                <w:highlight w:val="none"/>
              </w:rPr>
            </w:pPr>
          </w:p>
        </w:tc>
        <w:tc>
          <w:tcPr>
            <w:tcW w:w="361"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1"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71"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1"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1"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7"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0"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0"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4"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426"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419"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426"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0"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0"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4"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2"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2"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4"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2" w:type="dxa"/>
            <w:tcBorders>
              <w:bottom w:val="single" w:color="auto" w:sz="12" w:space="0"/>
            </w:tcBorders>
            <w:vAlign w:val="center"/>
          </w:tcPr>
          <w:p>
            <w:pPr>
              <w:jc w:val="center"/>
              <w:rPr>
                <w:rFonts w:asciiTheme="minorEastAsia" w:hAnsiTheme="minorEastAsia" w:eastAsiaTheme="minorEastAsia"/>
                <w:color w:val="auto"/>
                <w:highlight w:val="none"/>
              </w:rPr>
            </w:pPr>
          </w:p>
        </w:tc>
        <w:tc>
          <w:tcPr>
            <w:tcW w:w="362" w:type="dxa"/>
            <w:tcBorders>
              <w:bottom w:val="single" w:color="auto" w:sz="12" w:space="0"/>
            </w:tcBorders>
            <w:vAlign w:val="center"/>
          </w:tcPr>
          <w:p>
            <w:pPr>
              <w:jc w:val="center"/>
              <w:rPr>
                <w:rFonts w:asciiTheme="minorEastAsia" w:hAnsiTheme="minorEastAsia" w:eastAsiaTheme="minorEastAsia"/>
                <w:color w:val="auto"/>
                <w:highlight w:val="none"/>
              </w:rPr>
            </w:pPr>
          </w:p>
        </w:tc>
      </w:tr>
    </w:tbl>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pict>
          <v:rect id="Rectangle 7" o:spid="_x0000_s1110" o:spt="1" style="position:absolute;left:0pt;margin-left:90.5pt;margin-top:1.65pt;height:21.05pt;width:410.9pt;z-index:251696128;mso-width-relative:page;mso-height-relative:page;" filled="f" o:preferrelative="t" stroked="f" coordsize="21600,21600">
            <v:path/>
            <v:fill on="f" focussize="0,0"/>
            <v:stroke on="f"/>
            <v:imagedata o:title=""/>
            <o:lock v:ext="edit"/>
            <v:textbox>
              <w:txbxContent>
                <w:p>
                  <w:r>
                    <w:t>0     10     20     30     40      50     60     70     80     90    100</w:t>
                  </w:r>
                </w:p>
              </w:txbxContent>
            </v:textbox>
          </v:rect>
        </w:pict>
      </w: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pict>
          <v:shape id="Quad Arrow 6" o:spid="_x0000_s1105" o:spt="202" type="#_x0000_t202" style="position:absolute;left:0pt;margin-left:72.35pt;margin-top:1.3pt;height:63.65pt;width:288pt;z-index:251691008;mso-width-relative:page;mso-height-relative:page;" filled="f" o:preferrelative="t" stroked="f" coordsize="21600,21600">
            <v:path/>
            <v:fill on="f" focussize="0,0"/>
            <v:stroke on="f" joinstyle="miter"/>
            <v:imagedata o:title=""/>
            <o:lock v:ext="edit"/>
            <v:textbox>
              <w:txbxContent>
                <w:p>
                  <w:pPr>
                    <w:jc w:val="center"/>
                  </w:pPr>
                  <w:r>
                    <w:rPr>
                      <w:rFonts w:hint="eastAsia"/>
                    </w:rPr>
                    <w:t>工期历程的百分比（</w:t>
                  </w:r>
                  <w:r>
                    <w:t>%</w:t>
                  </w:r>
                  <w:r>
                    <w:rPr>
                      <w:rFonts w:hint="eastAsia"/>
                    </w:rPr>
                    <w:t>）</w:t>
                  </w:r>
                </w:p>
              </w:txbxContent>
            </v:textbox>
          </v:shape>
        </w:pict>
      </w: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pStyle w:val="2"/>
        <w:spacing w:beforeLines="50" w:line="400" w:lineRule="exact"/>
        <w:rPr>
          <w:rFonts w:asciiTheme="minorEastAsia" w:hAnsiTheme="minorEastAsia" w:eastAsiaTheme="minorEastAsia"/>
          <w:color w:val="auto"/>
          <w:kern w:val="2"/>
          <w:sz w:val="28"/>
          <w:szCs w:val="28"/>
          <w:highlight w:val="none"/>
        </w:rPr>
        <w:sectPr>
          <w:footnotePr>
            <w:numFmt w:val="decimalEnclosedCircleChinese"/>
            <w:numRestart w:val="eachPage"/>
          </w:footnotePr>
          <w:type w:val="nextColumn"/>
          <w:pgSz w:w="11907" w:h="16840"/>
          <w:pgMar w:top="1440" w:right="1361" w:bottom="1440" w:left="1361" w:header="720" w:footer="907" w:gutter="0"/>
          <w:cols w:space="720" w:num="1"/>
        </w:sectPr>
      </w:pPr>
    </w:p>
    <w:p>
      <w:pPr>
        <w:pStyle w:val="4"/>
        <w:adjustRightInd w:val="0"/>
        <w:snapToGrid w:val="0"/>
        <w:spacing w:before="0"/>
        <w:ind w:left="0"/>
        <w:rPr>
          <w:rFonts w:asciiTheme="minorEastAsia" w:hAnsiTheme="minorEastAsia" w:eastAsiaTheme="minorEastAsia"/>
          <w:b/>
          <w:color w:val="auto"/>
          <w:sz w:val="28"/>
          <w:szCs w:val="28"/>
          <w:highlight w:val="none"/>
        </w:rPr>
      </w:pPr>
      <w:bookmarkStart w:id="4319" w:name="_Toc13734"/>
      <w:bookmarkStart w:id="4320" w:name="_Toc10143"/>
      <w:bookmarkStart w:id="4321" w:name="_Toc9138"/>
      <w:bookmarkStart w:id="4322" w:name="_Toc10646"/>
      <w:bookmarkStart w:id="4323" w:name="_Toc27704"/>
      <w:bookmarkStart w:id="4324" w:name="_Toc6532"/>
      <w:bookmarkStart w:id="4325" w:name="_Toc32018"/>
      <w:bookmarkStart w:id="4326" w:name="_Toc20172"/>
      <w:bookmarkStart w:id="4327" w:name="_Toc513794191"/>
      <w:bookmarkStart w:id="4328" w:name="_Toc4850"/>
      <w:bookmarkStart w:id="4329" w:name="_Toc10539"/>
      <w:bookmarkStart w:id="4330" w:name="_Toc13428"/>
      <w:bookmarkStart w:id="4331" w:name="_Toc32588"/>
      <w:bookmarkStart w:id="4332" w:name="_Toc11594"/>
      <w:bookmarkStart w:id="4333" w:name="_Toc2275"/>
      <w:bookmarkStart w:id="4334" w:name="_Toc27323"/>
      <w:bookmarkStart w:id="4335" w:name="_Toc20828"/>
      <w:bookmarkStart w:id="4336" w:name="_Toc2448"/>
      <w:bookmarkStart w:id="4337" w:name="_Toc27109"/>
      <w:bookmarkStart w:id="4338" w:name="_Toc7306"/>
      <w:r>
        <w:rPr>
          <w:rFonts w:hint="eastAsia" w:asciiTheme="minorEastAsia" w:hAnsiTheme="minorEastAsia" w:eastAsiaTheme="minorEastAsia"/>
          <w:b/>
          <w:color w:val="auto"/>
          <w:sz w:val="28"/>
          <w:szCs w:val="28"/>
          <w:highlight w:val="none"/>
        </w:rPr>
        <w:t>附表四分项工程生产率和施工周期表</w:t>
      </w:r>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p>
    <w:tbl>
      <w:tblPr>
        <w:tblStyle w:val="47"/>
        <w:tblW w:w="14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125"/>
        <w:gridCol w:w="923"/>
        <w:gridCol w:w="923"/>
        <w:gridCol w:w="3400"/>
        <w:gridCol w:w="2185"/>
        <w:gridCol w:w="2185"/>
        <w:gridCol w:w="21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816"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125"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工程项目</w:t>
            </w:r>
          </w:p>
        </w:tc>
        <w:tc>
          <w:tcPr>
            <w:tcW w:w="923"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w:t>
            </w:r>
          </w:p>
        </w:tc>
        <w:tc>
          <w:tcPr>
            <w:tcW w:w="923"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数量</w:t>
            </w:r>
          </w:p>
        </w:tc>
        <w:tc>
          <w:tcPr>
            <w:tcW w:w="3400"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平均每生产单位规模（人，各种机械台）</w:t>
            </w:r>
          </w:p>
        </w:tc>
        <w:tc>
          <w:tcPr>
            <w:tcW w:w="2185"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平均每生产单位生产率（数量，每周）</w:t>
            </w:r>
          </w:p>
        </w:tc>
        <w:tc>
          <w:tcPr>
            <w:tcW w:w="2185"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每生产单位</w:t>
            </w:r>
          </w:p>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平均施工时间（周）</w:t>
            </w:r>
          </w:p>
        </w:tc>
        <w:tc>
          <w:tcPr>
            <w:tcW w:w="2185"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生产单位总数</w:t>
            </w:r>
          </w:p>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特殊路基处理</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公里</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路基填筑</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w:t>
            </w:r>
            <w:r>
              <w:rPr>
                <w:rFonts w:asciiTheme="minorEastAsia" w:hAnsiTheme="minorEastAsia" w:eastAsiaTheme="minorEastAsia"/>
                <w:color w:val="auto"/>
                <w:szCs w:val="21"/>
                <w:highlight w:val="none"/>
              </w:rPr>
              <w:t>m</w:t>
            </w:r>
            <w:r>
              <w:rPr>
                <w:rFonts w:asciiTheme="minorEastAsia" w:hAnsiTheme="minorEastAsia" w:eastAsiaTheme="minorEastAsia"/>
                <w:color w:val="auto"/>
                <w:szCs w:val="21"/>
                <w:highlight w:val="none"/>
                <w:vertAlign w:val="superscript"/>
              </w:rPr>
              <w:t>3</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路面基层</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w:t>
            </w:r>
            <w:r>
              <w:rPr>
                <w:rFonts w:asciiTheme="minorEastAsia" w:hAnsiTheme="minorEastAsia" w:eastAsiaTheme="minorEastAsia"/>
                <w:color w:val="auto"/>
                <w:szCs w:val="21"/>
                <w:highlight w:val="none"/>
              </w:rPr>
              <w:t>m</w:t>
            </w:r>
            <w:r>
              <w:rPr>
                <w:rFonts w:asciiTheme="minorEastAsia" w:hAnsiTheme="minorEastAsia" w:eastAsiaTheme="minorEastAsia"/>
                <w:color w:val="auto"/>
                <w:szCs w:val="21"/>
                <w:highlight w:val="none"/>
                <w:vertAlign w:val="superscript"/>
              </w:rPr>
              <w:t>2</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路面面层</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w:t>
            </w:r>
            <w:r>
              <w:rPr>
                <w:rFonts w:asciiTheme="minorEastAsia" w:hAnsiTheme="minorEastAsia" w:eastAsiaTheme="minorEastAsia"/>
                <w:color w:val="auto"/>
                <w:szCs w:val="21"/>
                <w:highlight w:val="none"/>
              </w:rPr>
              <w:t>m</w:t>
            </w:r>
            <w:r>
              <w:rPr>
                <w:rFonts w:asciiTheme="minorEastAsia" w:hAnsiTheme="minorEastAsia" w:eastAsiaTheme="minorEastAsia"/>
                <w:color w:val="auto"/>
                <w:szCs w:val="21"/>
                <w:highlight w:val="none"/>
                <w:vertAlign w:val="superscript"/>
              </w:rPr>
              <w:t>2</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路基防护及排水</w:t>
            </w:r>
          </w:p>
        </w:tc>
        <w:tc>
          <w:tcPr>
            <w:tcW w:w="923"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km</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涵洞</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道</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通道</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道</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桥梁基桩</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16" w:type="dxa"/>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w:t>
            </w:r>
          </w:p>
        </w:tc>
        <w:tc>
          <w:tcPr>
            <w:tcW w:w="2125" w:type="dxa"/>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桥梁墩台</w:t>
            </w:r>
          </w:p>
        </w:tc>
        <w:tc>
          <w:tcPr>
            <w:tcW w:w="92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座</w:t>
            </w:r>
          </w:p>
        </w:tc>
        <w:tc>
          <w:tcPr>
            <w:tcW w:w="923" w:type="dxa"/>
            <w:vAlign w:val="center"/>
          </w:tcPr>
          <w:p>
            <w:pPr>
              <w:jc w:val="center"/>
              <w:rPr>
                <w:rFonts w:asciiTheme="minorEastAsia" w:hAnsiTheme="minorEastAsia" w:eastAsiaTheme="minorEastAsia"/>
                <w:color w:val="auto"/>
                <w:szCs w:val="21"/>
                <w:highlight w:val="none"/>
              </w:rPr>
            </w:pPr>
          </w:p>
        </w:tc>
        <w:tc>
          <w:tcPr>
            <w:tcW w:w="3400"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c>
          <w:tcPr>
            <w:tcW w:w="2185"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exact"/>
          <w:jc w:val="center"/>
        </w:trPr>
        <w:tc>
          <w:tcPr>
            <w:tcW w:w="816" w:type="dxa"/>
            <w:tcBorders>
              <w:bottom w:val="single" w:color="auto" w:sz="12" w:space="0"/>
            </w:tcBorders>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p>
        </w:tc>
        <w:tc>
          <w:tcPr>
            <w:tcW w:w="2125" w:type="dxa"/>
            <w:tcBorders>
              <w:bottom w:val="single" w:color="auto" w:sz="12" w:space="0"/>
            </w:tcBorders>
            <w:vAlign w:val="center"/>
          </w:tcPr>
          <w:p>
            <w:pPr>
              <w:ind w:left="11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梁体预制安装</w:t>
            </w:r>
          </w:p>
        </w:tc>
        <w:tc>
          <w:tcPr>
            <w:tcW w:w="923" w:type="dxa"/>
            <w:tcBorders>
              <w:bottom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片</w:t>
            </w:r>
          </w:p>
        </w:tc>
        <w:tc>
          <w:tcPr>
            <w:tcW w:w="92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3400"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2185"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2185"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2185"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r>
    </w:tbl>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说明：互通立交、分离立交的匝道、匝道涵洞、通道、桥梁分别归入表中相关的项目内。</w:t>
      </w:r>
    </w:p>
    <w:p>
      <w:pPr>
        <w:rPr>
          <w:rFonts w:asciiTheme="minorEastAsia" w:hAnsiTheme="minorEastAsia" w:eastAsiaTheme="minorEastAsia"/>
          <w:color w:val="auto"/>
          <w:szCs w:val="21"/>
          <w:highlight w:val="none"/>
        </w:rPr>
        <w:sectPr>
          <w:footnotePr>
            <w:numFmt w:val="decimalEnclosedCircleChinese"/>
            <w:numRestart w:val="eachPage"/>
          </w:footnotePr>
          <w:type w:val="nextColumn"/>
          <w:pgSz w:w="16840" w:h="11907" w:orient="landscape"/>
          <w:pgMar w:top="1361" w:right="1440" w:bottom="1361" w:left="1440" w:header="720" w:footer="907" w:gutter="0"/>
          <w:cols w:space="720" w:num="1"/>
        </w:sectPr>
      </w:pPr>
    </w:p>
    <w:p>
      <w:pPr>
        <w:pStyle w:val="4"/>
        <w:ind w:left="0"/>
        <w:jc w:val="center"/>
        <w:rPr>
          <w:rFonts w:asciiTheme="minorEastAsia" w:hAnsiTheme="minorEastAsia" w:eastAsiaTheme="minorEastAsia"/>
          <w:b/>
          <w:color w:val="auto"/>
          <w:sz w:val="28"/>
          <w:szCs w:val="28"/>
          <w:highlight w:val="none"/>
        </w:rPr>
      </w:pPr>
      <w:bookmarkStart w:id="4339" w:name="_Toc20438"/>
      <w:bookmarkStart w:id="4340" w:name="_Toc28463"/>
      <w:bookmarkStart w:id="4341" w:name="_Toc27610"/>
      <w:bookmarkStart w:id="4342" w:name="_Toc16583"/>
      <w:bookmarkStart w:id="4343" w:name="_Toc27185"/>
      <w:bookmarkStart w:id="4344" w:name="_Toc20763"/>
      <w:bookmarkStart w:id="4345" w:name="_Toc7400"/>
      <w:bookmarkStart w:id="4346" w:name="_Toc16877"/>
      <w:bookmarkStart w:id="4347" w:name="_Toc14678"/>
      <w:bookmarkStart w:id="4348" w:name="_Toc7969"/>
      <w:bookmarkStart w:id="4349" w:name="_Toc5455"/>
      <w:bookmarkStart w:id="4350" w:name="_Toc6919"/>
      <w:bookmarkStart w:id="4351" w:name="_Toc6644"/>
      <w:bookmarkStart w:id="4352" w:name="_Toc7143"/>
      <w:bookmarkStart w:id="4353" w:name="_Toc6340"/>
      <w:bookmarkStart w:id="4354" w:name="_Toc4499"/>
      <w:bookmarkStart w:id="4355" w:name="_Toc28154"/>
      <w:bookmarkStart w:id="4356" w:name="_Toc21768"/>
      <w:bookmarkStart w:id="4357" w:name="_Toc513794192"/>
      <w:bookmarkStart w:id="4358" w:name="_Toc25785"/>
      <w:r>
        <w:rPr>
          <w:rFonts w:hint="eastAsia" w:asciiTheme="minorEastAsia" w:hAnsiTheme="minorEastAsia" w:eastAsiaTheme="minorEastAsia"/>
          <w:b/>
          <w:color w:val="auto"/>
          <w:sz w:val="28"/>
          <w:szCs w:val="28"/>
          <w:highlight w:val="none"/>
        </w:rPr>
        <w:t>附表五施工总平面图</w:t>
      </w:r>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p>
    <w:p>
      <w:pPr>
        <w:rPr>
          <w:rFonts w:asciiTheme="minorEastAsia" w:hAnsiTheme="minorEastAsia" w:eastAsiaTheme="minorEastAsia"/>
          <w:color w:val="auto"/>
          <w:sz w:val="24"/>
          <w:highlight w:val="none"/>
        </w:rPr>
      </w:pPr>
    </w:p>
    <w:p>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投标人应递交一份施工总平面图，绘出现场临时设施布置图表并附文字说明，说明施工营地、料场、临时设施、加工车间、现场办公、设备及仓储、供电、供水、卫生、生活、道路、消防等设施的情况和布置。</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pStyle w:val="3"/>
        <w:rPr>
          <w:rFonts w:asciiTheme="minorEastAsia" w:hAnsiTheme="minorEastAsia" w:eastAsiaTheme="minorEastAsia"/>
          <w:color w:val="auto"/>
          <w:sz w:val="28"/>
          <w:szCs w:val="28"/>
          <w:highlight w:val="none"/>
        </w:rPr>
        <w:sectPr>
          <w:pgSz w:w="11907" w:h="16840"/>
          <w:pgMar w:top="1418" w:right="1191" w:bottom="1418" w:left="1191" w:header="873" w:footer="851" w:gutter="0"/>
          <w:cols w:space="720" w:num="1"/>
        </w:sectPr>
      </w:pPr>
      <w:bookmarkStart w:id="4359" w:name="_Toc513794193"/>
    </w:p>
    <w:p>
      <w:pPr>
        <w:pStyle w:val="4"/>
        <w:ind w:left="0"/>
        <w:jc w:val="center"/>
        <w:rPr>
          <w:rFonts w:asciiTheme="minorEastAsia" w:hAnsiTheme="minorEastAsia" w:eastAsiaTheme="minorEastAsia"/>
          <w:b/>
          <w:color w:val="auto"/>
          <w:sz w:val="28"/>
          <w:szCs w:val="28"/>
          <w:highlight w:val="none"/>
        </w:rPr>
      </w:pPr>
      <w:bookmarkStart w:id="4360" w:name="_Toc29136"/>
      <w:bookmarkStart w:id="4361" w:name="_Toc8084"/>
      <w:bookmarkStart w:id="4362" w:name="_Toc27584"/>
      <w:bookmarkStart w:id="4363" w:name="_Toc23504"/>
      <w:bookmarkStart w:id="4364" w:name="_Toc19237"/>
      <w:bookmarkStart w:id="4365" w:name="_Toc14019"/>
      <w:bookmarkStart w:id="4366" w:name="_Toc607"/>
      <w:bookmarkStart w:id="4367" w:name="_Toc16825"/>
      <w:bookmarkStart w:id="4368" w:name="_Toc28698"/>
      <w:bookmarkStart w:id="4369" w:name="_Toc28586"/>
      <w:bookmarkStart w:id="4370" w:name="_Toc26130"/>
      <w:bookmarkStart w:id="4371" w:name="_Toc11346"/>
      <w:bookmarkStart w:id="4372" w:name="_Toc6955"/>
      <w:bookmarkStart w:id="4373" w:name="_Toc2868"/>
      <w:bookmarkStart w:id="4374" w:name="_Toc18489"/>
      <w:bookmarkStart w:id="4375" w:name="_Toc30119"/>
      <w:bookmarkStart w:id="4376" w:name="_Toc27733"/>
      <w:bookmarkStart w:id="4377" w:name="_Toc29707"/>
      <w:bookmarkStart w:id="4378" w:name="_Toc7542"/>
      <w:bookmarkStart w:id="4379" w:name="_Toc32607"/>
      <w:r>
        <w:rPr>
          <w:rFonts w:hint="eastAsia" w:asciiTheme="minorEastAsia" w:hAnsiTheme="minorEastAsia" w:eastAsiaTheme="minorEastAsia"/>
          <w:b/>
          <w:color w:val="auto"/>
          <w:sz w:val="28"/>
          <w:szCs w:val="28"/>
          <w:highlight w:val="none"/>
        </w:rPr>
        <w:t>附表六劳动力计划表</w:t>
      </w:r>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p>
    <w:p>
      <w:pPr>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单位：人</w:t>
      </w:r>
    </w:p>
    <w:tbl>
      <w:tblPr>
        <w:tblStyle w:val="47"/>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1205"/>
        <w:gridCol w:w="1205"/>
        <w:gridCol w:w="1204"/>
        <w:gridCol w:w="1205"/>
        <w:gridCol w:w="1205"/>
        <w:gridCol w:w="1205"/>
        <w:gridCol w:w="12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工种</w:t>
            </w:r>
          </w:p>
        </w:tc>
        <w:tc>
          <w:tcPr>
            <w:tcW w:w="8434" w:type="dxa"/>
            <w:gridSpan w:val="7"/>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按工程施工阶段投入劳动力情况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4"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c>
          <w:tcPr>
            <w:tcW w:w="1205" w:type="dxa"/>
            <w:vAlign w:val="center"/>
          </w:tcPr>
          <w:p>
            <w:pPr>
              <w:jc w:val="center"/>
              <w:rPr>
                <w:rFonts w:asciiTheme="minorEastAsia" w:hAnsiTheme="minorEastAsia" w:eastAsiaTheme="minorEastAsia"/>
                <w:color w:val="auto"/>
                <w:sz w:val="24"/>
                <w:highlight w:val="none"/>
              </w:rPr>
            </w:pPr>
          </w:p>
        </w:tc>
      </w:tr>
    </w:tbl>
    <w:p>
      <w:pPr>
        <w:ind w:firstLine="6600" w:firstLineChars="2750"/>
        <w:rPr>
          <w:rFonts w:asciiTheme="minorEastAsia" w:hAnsiTheme="minorEastAsia" w:eastAsiaTheme="minorEastAsia"/>
          <w:color w:val="auto"/>
          <w:sz w:val="24"/>
          <w:highlight w:val="none"/>
        </w:rPr>
      </w:pPr>
    </w:p>
    <w:p>
      <w:pPr>
        <w:pStyle w:val="4"/>
        <w:ind w:left="0"/>
        <w:jc w:val="center"/>
        <w:rPr>
          <w:rFonts w:asciiTheme="minorEastAsia" w:hAnsiTheme="minorEastAsia" w:eastAsiaTheme="minorEastAsia"/>
          <w:b/>
          <w:color w:val="auto"/>
          <w:sz w:val="28"/>
          <w:szCs w:val="28"/>
          <w:highlight w:val="none"/>
        </w:rPr>
      </w:pPr>
      <w:r>
        <w:rPr>
          <w:rFonts w:asciiTheme="minorEastAsia" w:hAnsiTheme="minorEastAsia" w:eastAsiaTheme="minorEastAsia"/>
          <w:color w:val="auto"/>
          <w:sz w:val="24"/>
          <w:highlight w:val="none"/>
        </w:rPr>
        <w:br w:type="page"/>
      </w:r>
      <w:bookmarkStart w:id="4380" w:name="_Toc8731"/>
      <w:bookmarkStart w:id="4381" w:name="_Toc6257"/>
      <w:bookmarkStart w:id="4382" w:name="_Toc15469"/>
      <w:bookmarkStart w:id="4383" w:name="_Toc29151"/>
      <w:bookmarkStart w:id="4384" w:name="_Toc25611"/>
      <w:bookmarkStart w:id="4385" w:name="_Toc513794194"/>
      <w:bookmarkStart w:id="4386" w:name="_Toc15078"/>
      <w:bookmarkStart w:id="4387" w:name="_Toc16165"/>
      <w:bookmarkStart w:id="4388" w:name="_Toc32210"/>
      <w:bookmarkStart w:id="4389" w:name="_Toc19867"/>
      <w:bookmarkStart w:id="4390" w:name="_Toc3047"/>
      <w:bookmarkStart w:id="4391" w:name="_Toc14778"/>
      <w:bookmarkStart w:id="4392" w:name="_Toc11765"/>
      <w:bookmarkStart w:id="4393" w:name="_Toc23859"/>
      <w:bookmarkStart w:id="4394" w:name="_Toc13760"/>
      <w:bookmarkStart w:id="4395" w:name="_Toc14110"/>
      <w:bookmarkStart w:id="4396" w:name="_Toc18164"/>
      <w:bookmarkStart w:id="4397" w:name="_Toc13118"/>
      <w:bookmarkStart w:id="4398" w:name="_Toc20229"/>
      <w:bookmarkStart w:id="4399" w:name="_Toc28326"/>
      <w:bookmarkStart w:id="4400" w:name="_Toc2527"/>
      <w:r>
        <w:rPr>
          <w:rFonts w:hint="eastAsia" w:asciiTheme="minorEastAsia" w:hAnsiTheme="minorEastAsia" w:eastAsiaTheme="minorEastAsia"/>
          <w:b/>
          <w:color w:val="auto"/>
          <w:sz w:val="28"/>
          <w:szCs w:val="28"/>
          <w:highlight w:val="none"/>
        </w:rPr>
        <w:t>附表七临时占地计划表</w:t>
      </w:r>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p>
    <w:tbl>
      <w:tblPr>
        <w:tblStyle w:val="47"/>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7"/>
        <w:gridCol w:w="699"/>
        <w:gridCol w:w="700"/>
        <w:gridCol w:w="702"/>
        <w:gridCol w:w="700"/>
        <w:gridCol w:w="706"/>
        <w:gridCol w:w="1779"/>
        <w:gridCol w:w="673"/>
        <w:gridCol w:w="741"/>
        <w:gridCol w:w="7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97" w:type="dxa"/>
            <w:vMerge w:val="restart"/>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用途</w:t>
            </w:r>
          </w:p>
        </w:tc>
        <w:tc>
          <w:tcPr>
            <w:tcW w:w="3507" w:type="dxa"/>
            <w:gridSpan w:val="5"/>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面积（</w:t>
            </w:r>
            <w:r>
              <w:rPr>
                <w:rFonts w:asciiTheme="minorEastAsia" w:hAnsiTheme="minorEastAsia" w:eastAsiaTheme="minorEastAsia"/>
                <w:color w:val="auto"/>
                <w:szCs w:val="21"/>
                <w:highlight w:val="none"/>
              </w:rPr>
              <w:t>m</w:t>
            </w:r>
            <w:r>
              <w:rPr>
                <w:rFonts w:asciiTheme="minorEastAsia" w:hAnsiTheme="minorEastAsia" w:eastAsiaTheme="minorEastAsia"/>
                <w:color w:val="auto"/>
                <w:szCs w:val="21"/>
                <w:highlight w:val="none"/>
                <w:vertAlign w:val="superscript"/>
              </w:rPr>
              <w:t>2</w:t>
            </w:r>
            <w:r>
              <w:rPr>
                <w:rFonts w:hint="eastAsia" w:asciiTheme="minorEastAsia" w:hAnsiTheme="minorEastAsia" w:eastAsiaTheme="minorEastAsia"/>
                <w:color w:val="auto"/>
                <w:szCs w:val="21"/>
                <w:highlight w:val="none"/>
              </w:rPr>
              <w:t>）</w:t>
            </w:r>
          </w:p>
        </w:tc>
        <w:tc>
          <w:tcPr>
            <w:tcW w:w="1779" w:type="dxa"/>
            <w:vMerge w:val="restart"/>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需用时间</w:t>
            </w:r>
          </w:p>
          <w:p>
            <w:pPr>
              <w:ind w:firstLine="5"/>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年月至年月</w:t>
            </w:r>
          </w:p>
        </w:tc>
        <w:tc>
          <w:tcPr>
            <w:tcW w:w="2156" w:type="dxa"/>
            <w:gridSpan w:val="3"/>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用地位置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2197" w:type="dxa"/>
            <w:vMerge w:val="continue"/>
            <w:vAlign w:val="center"/>
          </w:tcPr>
          <w:p>
            <w:pPr>
              <w:jc w:val="center"/>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菜地</w:t>
            </w:r>
          </w:p>
        </w:tc>
        <w:tc>
          <w:tcPr>
            <w:tcW w:w="70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水田</w:t>
            </w:r>
          </w:p>
        </w:tc>
        <w:tc>
          <w:tcPr>
            <w:tcW w:w="702"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旱地</w:t>
            </w:r>
          </w:p>
        </w:tc>
        <w:tc>
          <w:tcPr>
            <w:tcW w:w="70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果园</w:t>
            </w:r>
          </w:p>
        </w:tc>
        <w:tc>
          <w:tcPr>
            <w:tcW w:w="70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荒地</w:t>
            </w:r>
          </w:p>
        </w:tc>
        <w:tc>
          <w:tcPr>
            <w:tcW w:w="1779" w:type="dxa"/>
            <w:vMerge w:val="continue"/>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桩</w:t>
            </w:r>
          </w:p>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号</w:t>
            </w:r>
          </w:p>
        </w:tc>
        <w:tc>
          <w:tcPr>
            <w:tcW w:w="74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左侧（</w:t>
            </w:r>
            <w:r>
              <w:rPr>
                <w:rFonts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rPr>
              <w:t>）</w:t>
            </w:r>
          </w:p>
        </w:tc>
        <w:tc>
          <w:tcPr>
            <w:tcW w:w="742"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右侧（</w:t>
            </w:r>
            <w:r>
              <w:rPr>
                <w:rFonts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一、临时工程</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便道</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便桥</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二、生产及生活临时设施</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临时住房</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办公等公用房屋</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料场</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预制场</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vAlign w:val="center"/>
          </w:tcPr>
          <w:p>
            <w:pPr>
              <w:ind w:firstLine="220" w:firstLineChars="100"/>
              <w:rPr>
                <w:rFonts w:asciiTheme="minorEastAsia" w:hAnsiTheme="minorEastAsia" w:eastAsiaTheme="minorEastAsia"/>
                <w:color w:val="auto"/>
                <w:szCs w:val="21"/>
                <w:highlight w:val="none"/>
              </w:rPr>
            </w:pPr>
          </w:p>
        </w:tc>
        <w:tc>
          <w:tcPr>
            <w:tcW w:w="699"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2" w:type="dxa"/>
            <w:vAlign w:val="center"/>
          </w:tcPr>
          <w:p>
            <w:pPr>
              <w:jc w:val="center"/>
              <w:rPr>
                <w:rFonts w:asciiTheme="minorEastAsia" w:hAnsiTheme="minorEastAsia" w:eastAsiaTheme="minorEastAsia"/>
                <w:color w:val="auto"/>
                <w:szCs w:val="21"/>
                <w:highlight w:val="none"/>
              </w:rPr>
            </w:pPr>
          </w:p>
        </w:tc>
        <w:tc>
          <w:tcPr>
            <w:tcW w:w="700" w:type="dxa"/>
            <w:vAlign w:val="center"/>
          </w:tcPr>
          <w:p>
            <w:pPr>
              <w:jc w:val="center"/>
              <w:rPr>
                <w:rFonts w:asciiTheme="minorEastAsia" w:hAnsiTheme="minorEastAsia" w:eastAsiaTheme="minorEastAsia"/>
                <w:color w:val="auto"/>
                <w:szCs w:val="21"/>
                <w:highlight w:val="none"/>
              </w:rPr>
            </w:pPr>
          </w:p>
        </w:tc>
        <w:tc>
          <w:tcPr>
            <w:tcW w:w="706" w:type="dxa"/>
            <w:vAlign w:val="center"/>
          </w:tcPr>
          <w:p>
            <w:pPr>
              <w:jc w:val="center"/>
              <w:rPr>
                <w:rFonts w:asciiTheme="minorEastAsia" w:hAnsiTheme="minorEastAsia" w:eastAsiaTheme="minorEastAsia"/>
                <w:color w:val="auto"/>
                <w:szCs w:val="21"/>
                <w:highlight w:val="none"/>
              </w:rPr>
            </w:pPr>
          </w:p>
        </w:tc>
        <w:tc>
          <w:tcPr>
            <w:tcW w:w="1779" w:type="dxa"/>
            <w:vAlign w:val="center"/>
          </w:tcPr>
          <w:p>
            <w:pPr>
              <w:jc w:val="center"/>
              <w:rPr>
                <w:rFonts w:asciiTheme="minorEastAsia" w:hAnsiTheme="minorEastAsia" w:eastAsiaTheme="minorEastAsia"/>
                <w:color w:val="auto"/>
                <w:szCs w:val="21"/>
                <w:highlight w:val="none"/>
              </w:rPr>
            </w:pPr>
          </w:p>
        </w:tc>
        <w:tc>
          <w:tcPr>
            <w:tcW w:w="673" w:type="dxa"/>
            <w:vAlign w:val="center"/>
          </w:tcPr>
          <w:p>
            <w:pPr>
              <w:jc w:val="center"/>
              <w:rPr>
                <w:rFonts w:asciiTheme="minorEastAsia" w:hAnsiTheme="minorEastAsia" w:eastAsiaTheme="minorEastAsia"/>
                <w:color w:val="auto"/>
                <w:szCs w:val="21"/>
                <w:highlight w:val="none"/>
              </w:rPr>
            </w:pPr>
          </w:p>
        </w:tc>
        <w:tc>
          <w:tcPr>
            <w:tcW w:w="741" w:type="dxa"/>
            <w:vAlign w:val="center"/>
          </w:tcPr>
          <w:p>
            <w:pPr>
              <w:jc w:val="center"/>
              <w:rPr>
                <w:rFonts w:asciiTheme="minorEastAsia" w:hAnsiTheme="minorEastAsia" w:eastAsiaTheme="minorEastAsia"/>
                <w:color w:val="auto"/>
                <w:szCs w:val="21"/>
                <w:highlight w:val="none"/>
              </w:rPr>
            </w:pPr>
          </w:p>
        </w:tc>
        <w:tc>
          <w:tcPr>
            <w:tcW w:w="742"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97" w:type="dxa"/>
            <w:tcBorders>
              <w:bottom w:val="single" w:color="auto" w:sz="12" w:space="0"/>
            </w:tcBorders>
            <w:vAlign w:val="center"/>
          </w:tcPr>
          <w:p>
            <w:pPr>
              <w:ind w:firstLine="22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租用面积合计</w:t>
            </w:r>
          </w:p>
        </w:tc>
        <w:tc>
          <w:tcPr>
            <w:tcW w:w="699"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700"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702"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700"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70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1779"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673"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741"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742"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r>
    </w:tbl>
    <w:p>
      <w:pPr>
        <w:pStyle w:val="4"/>
        <w:ind w:left="0"/>
        <w:jc w:val="center"/>
        <w:rPr>
          <w:rFonts w:asciiTheme="minorEastAsia" w:hAnsiTheme="minorEastAsia" w:eastAsiaTheme="minorEastAsia"/>
          <w:b/>
          <w:color w:val="auto"/>
          <w:sz w:val="30"/>
          <w:szCs w:val="30"/>
          <w:highlight w:val="none"/>
        </w:rPr>
      </w:pPr>
      <w:r>
        <w:rPr>
          <w:rFonts w:asciiTheme="minorEastAsia" w:hAnsiTheme="minorEastAsia" w:eastAsiaTheme="minorEastAsia"/>
          <w:color w:val="auto"/>
          <w:sz w:val="24"/>
          <w:highlight w:val="none"/>
        </w:rPr>
        <w:br w:type="page"/>
      </w:r>
      <w:bookmarkStart w:id="4401" w:name="_Toc9716"/>
      <w:bookmarkStart w:id="4402" w:name="_Toc30358"/>
      <w:bookmarkStart w:id="4403" w:name="_Toc1853"/>
      <w:bookmarkStart w:id="4404" w:name="_Toc31671"/>
      <w:bookmarkStart w:id="4405" w:name="_Toc513794195"/>
      <w:bookmarkStart w:id="4406" w:name="_Toc264"/>
      <w:bookmarkStart w:id="4407" w:name="_Toc8129"/>
      <w:bookmarkStart w:id="4408" w:name="_Toc29346"/>
      <w:bookmarkStart w:id="4409" w:name="_Toc26218"/>
      <w:bookmarkStart w:id="4410" w:name="_Toc28404"/>
      <w:bookmarkStart w:id="4411" w:name="_Toc31329"/>
      <w:bookmarkStart w:id="4412" w:name="_Toc22095"/>
      <w:bookmarkStart w:id="4413" w:name="_Toc14591"/>
      <w:bookmarkStart w:id="4414" w:name="_Toc6040"/>
      <w:bookmarkStart w:id="4415" w:name="_Toc11754"/>
      <w:bookmarkStart w:id="4416" w:name="_Toc22380"/>
      <w:bookmarkStart w:id="4417" w:name="_Toc6731"/>
      <w:bookmarkStart w:id="4418" w:name="_Toc28481"/>
      <w:bookmarkStart w:id="4419" w:name="_Toc21544"/>
      <w:bookmarkStart w:id="4420" w:name="_Toc32250"/>
      <w:bookmarkStart w:id="4421" w:name="_Toc2071"/>
      <w:r>
        <w:rPr>
          <w:rFonts w:hint="eastAsia" w:asciiTheme="minorEastAsia" w:hAnsiTheme="minorEastAsia" w:eastAsiaTheme="minorEastAsia"/>
          <w:b/>
          <w:color w:val="auto"/>
          <w:sz w:val="28"/>
          <w:szCs w:val="28"/>
          <w:highlight w:val="none"/>
        </w:rPr>
        <w:t>附表八外供电力需求计划表</w:t>
      </w:r>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p>
    <w:tbl>
      <w:tblPr>
        <w:tblStyle w:val="47"/>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106"/>
        <w:gridCol w:w="1984"/>
        <w:gridCol w:w="1701"/>
        <w:gridCol w:w="2552"/>
        <w:gridCol w:w="1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2212" w:type="dxa"/>
            <w:gridSpan w:val="2"/>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用电位置</w:t>
            </w:r>
          </w:p>
        </w:tc>
        <w:tc>
          <w:tcPr>
            <w:tcW w:w="1984" w:type="dxa"/>
            <w:vMerge w:val="restart"/>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计划用电数量（</w:t>
            </w:r>
            <w:r>
              <w:rPr>
                <w:rFonts w:asciiTheme="minorEastAsia" w:hAnsiTheme="minorEastAsia" w:eastAsiaTheme="minorEastAsia"/>
                <w:color w:val="auto"/>
                <w:szCs w:val="21"/>
                <w:highlight w:val="none"/>
              </w:rPr>
              <w:t>KW</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h</w:t>
            </w:r>
            <w:r>
              <w:rPr>
                <w:rFonts w:hint="eastAsia" w:asciiTheme="minorEastAsia" w:hAnsiTheme="minorEastAsia" w:eastAsiaTheme="minorEastAsia"/>
                <w:color w:val="auto"/>
                <w:szCs w:val="21"/>
                <w:highlight w:val="none"/>
              </w:rPr>
              <w:t>）</w:t>
            </w:r>
          </w:p>
        </w:tc>
        <w:tc>
          <w:tcPr>
            <w:tcW w:w="1701" w:type="dxa"/>
            <w:vMerge w:val="restart"/>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用途</w:t>
            </w:r>
          </w:p>
        </w:tc>
        <w:tc>
          <w:tcPr>
            <w:tcW w:w="2552" w:type="dxa"/>
            <w:vMerge w:val="restart"/>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需用时间</w:t>
            </w:r>
          </w:p>
          <w:p>
            <w:pPr>
              <w:ind w:left="770" w:hanging="770" w:hangingChars="3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年月</w:t>
            </w:r>
          </w:p>
          <w:p>
            <w:pPr>
              <w:ind w:left="770" w:hanging="770" w:hangingChars="3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至年月</w:t>
            </w:r>
          </w:p>
        </w:tc>
        <w:tc>
          <w:tcPr>
            <w:tcW w:w="1190" w:type="dxa"/>
            <w:vMerge w:val="restart"/>
            <w:tcBorders>
              <w:top w:val="single" w:color="auto" w:sz="12"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10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桩号</w:t>
            </w:r>
          </w:p>
        </w:tc>
        <w:tc>
          <w:tcPr>
            <w:tcW w:w="110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左或右（</w:t>
            </w:r>
            <w:r>
              <w:rPr>
                <w:rFonts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rPr>
              <w:t>）</w:t>
            </w:r>
          </w:p>
        </w:tc>
        <w:tc>
          <w:tcPr>
            <w:tcW w:w="1984" w:type="dxa"/>
            <w:vMerge w:val="continue"/>
            <w:vAlign w:val="center"/>
          </w:tcPr>
          <w:p>
            <w:pPr>
              <w:jc w:val="center"/>
              <w:rPr>
                <w:rFonts w:asciiTheme="minorEastAsia" w:hAnsiTheme="minorEastAsia" w:eastAsiaTheme="minorEastAsia"/>
                <w:color w:val="auto"/>
                <w:szCs w:val="21"/>
                <w:highlight w:val="none"/>
              </w:rPr>
            </w:pPr>
          </w:p>
        </w:tc>
        <w:tc>
          <w:tcPr>
            <w:tcW w:w="1701" w:type="dxa"/>
            <w:vMerge w:val="continue"/>
            <w:vAlign w:val="center"/>
          </w:tcPr>
          <w:p>
            <w:pPr>
              <w:jc w:val="center"/>
              <w:rPr>
                <w:rFonts w:asciiTheme="minorEastAsia" w:hAnsiTheme="minorEastAsia" w:eastAsiaTheme="minorEastAsia"/>
                <w:color w:val="auto"/>
                <w:szCs w:val="21"/>
                <w:highlight w:val="none"/>
              </w:rPr>
            </w:pPr>
          </w:p>
        </w:tc>
        <w:tc>
          <w:tcPr>
            <w:tcW w:w="2552" w:type="dxa"/>
            <w:vMerge w:val="continue"/>
            <w:vAlign w:val="center"/>
          </w:tcPr>
          <w:p>
            <w:pPr>
              <w:jc w:val="center"/>
              <w:rPr>
                <w:rFonts w:asciiTheme="minorEastAsia" w:hAnsiTheme="minorEastAsia" w:eastAsiaTheme="minorEastAsia"/>
                <w:color w:val="auto"/>
                <w:szCs w:val="21"/>
                <w:highlight w:val="none"/>
              </w:rPr>
            </w:pPr>
          </w:p>
        </w:tc>
        <w:tc>
          <w:tcPr>
            <w:tcW w:w="1190" w:type="dxa"/>
            <w:vMerge w:val="continue"/>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vAlign w:val="center"/>
          </w:tcPr>
          <w:p>
            <w:pPr>
              <w:jc w:val="center"/>
              <w:rPr>
                <w:rFonts w:asciiTheme="minorEastAsia" w:hAnsiTheme="minorEastAsia" w:eastAsiaTheme="minorEastAsia"/>
                <w:color w:val="auto"/>
                <w:szCs w:val="21"/>
                <w:highlight w:val="none"/>
              </w:rPr>
            </w:pPr>
          </w:p>
        </w:tc>
        <w:tc>
          <w:tcPr>
            <w:tcW w:w="1106" w:type="dxa"/>
            <w:vAlign w:val="center"/>
          </w:tcPr>
          <w:p>
            <w:pPr>
              <w:jc w:val="center"/>
              <w:rPr>
                <w:rFonts w:asciiTheme="minorEastAsia" w:hAnsiTheme="minorEastAsia" w:eastAsiaTheme="minorEastAsia"/>
                <w:color w:val="auto"/>
                <w:szCs w:val="21"/>
                <w:highlight w:val="none"/>
              </w:rPr>
            </w:pPr>
          </w:p>
        </w:tc>
        <w:tc>
          <w:tcPr>
            <w:tcW w:w="1984" w:type="dxa"/>
            <w:vAlign w:val="center"/>
          </w:tcPr>
          <w:p>
            <w:pPr>
              <w:jc w:val="center"/>
              <w:rPr>
                <w:rFonts w:asciiTheme="minorEastAsia" w:hAnsiTheme="minorEastAsia" w:eastAsiaTheme="minorEastAsia"/>
                <w:color w:val="auto"/>
                <w:szCs w:val="21"/>
                <w:highlight w:val="none"/>
              </w:rPr>
            </w:pPr>
          </w:p>
        </w:tc>
        <w:tc>
          <w:tcPr>
            <w:tcW w:w="1701" w:type="dxa"/>
            <w:vAlign w:val="center"/>
          </w:tcPr>
          <w:p>
            <w:pPr>
              <w:jc w:val="center"/>
              <w:rPr>
                <w:rFonts w:asciiTheme="minorEastAsia" w:hAnsiTheme="minorEastAsia" w:eastAsiaTheme="minorEastAsia"/>
                <w:color w:val="auto"/>
                <w:szCs w:val="21"/>
                <w:highlight w:val="none"/>
              </w:rPr>
            </w:pPr>
          </w:p>
        </w:tc>
        <w:tc>
          <w:tcPr>
            <w:tcW w:w="2552" w:type="dxa"/>
            <w:vAlign w:val="center"/>
          </w:tcPr>
          <w:p>
            <w:pPr>
              <w:jc w:val="center"/>
              <w:rPr>
                <w:rFonts w:asciiTheme="minorEastAsia" w:hAnsiTheme="minorEastAsia" w:eastAsiaTheme="minorEastAsia"/>
                <w:color w:val="auto"/>
                <w:szCs w:val="21"/>
                <w:highlight w:val="none"/>
              </w:rPr>
            </w:pPr>
          </w:p>
        </w:tc>
        <w:tc>
          <w:tcPr>
            <w:tcW w:w="1190"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0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1106"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1984"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1701"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2552"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c>
          <w:tcPr>
            <w:tcW w:w="1190" w:type="dxa"/>
            <w:tcBorders>
              <w:bottom w:val="single" w:color="auto" w:sz="12" w:space="0"/>
            </w:tcBorders>
            <w:vAlign w:val="center"/>
          </w:tcPr>
          <w:p>
            <w:pPr>
              <w:jc w:val="center"/>
              <w:rPr>
                <w:rFonts w:asciiTheme="minorEastAsia" w:hAnsiTheme="minorEastAsia" w:eastAsiaTheme="minorEastAsia"/>
                <w:color w:val="auto"/>
                <w:szCs w:val="21"/>
                <w:highlight w:val="none"/>
              </w:rPr>
            </w:pPr>
          </w:p>
        </w:tc>
      </w:tr>
    </w:tbl>
    <w:p>
      <w:pPr>
        <w:rPr>
          <w:rFonts w:asciiTheme="minorEastAsia" w:hAnsiTheme="minorEastAsia" w:eastAsiaTheme="minorEastAsia"/>
          <w:color w:val="auto"/>
          <w:sz w:val="24"/>
          <w:highlight w:val="none"/>
        </w:rPr>
      </w:pPr>
    </w:p>
    <w:p>
      <w:pPr>
        <w:adjustRightInd w:val="0"/>
        <w:snapToGrid w:val="0"/>
        <w:spacing w:line="360" w:lineRule="auto"/>
        <w:ind w:left="1100" w:right="5286"/>
        <w:rPr>
          <w:color w:val="auto"/>
          <w:sz w:val="24"/>
          <w:highlight w:val="none"/>
        </w:rPr>
      </w:pPr>
    </w:p>
    <w:p>
      <w:pPr>
        <w:widowControl/>
        <w:tabs>
          <w:tab w:val="left" w:pos="980"/>
        </w:tabs>
        <w:autoSpaceDE/>
        <w:autoSpaceDN/>
        <w:spacing w:before="61" w:line="339" w:lineRule="exact"/>
        <w:ind w:right="176"/>
        <w:jc w:val="center"/>
        <w:outlineLvl w:val="2"/>
        <w:rPr>
          <w:rFonts w:ascii="黑体" w:eastAsia="黑体"/>
          <w:color w:val="auto"/>
          <w:sz w:val="28"/>
          <w:highlight w:val="none"/>
        </w:rPr>
      </w:pPr>
      <w:r>
        <w:rPr>
          <w:color w:val="auto"/>
          <w:sz w:val="28"/>
          <w:highlight w:val="none"/>
        </w:rPr>
        <w:br w:type="page"/>
      </w:r>
      <w:bookmarkStart w:id="4422" w:name="_bookmark307"/>
      <w:bookmarkEnd w:id="4422"/>
      <w:bookmarkStart w:id="4423" w:name="_bookmark298"/>
      <w:bookmarkEnd w:id="4423"/>
      <w:bookmarkStart w:id="4424" w:name="_Toc20465"/>
      <w:bookmarkStart w:id="4425" w:name="_Toc13481"/>
      <w:r>
        <w:rPr>
          <w:rFonts w:hint="eastAsia" w:ascii="黑体" w:eastAsia="黑体"/>
          <w:color w:val="auto"/>
          <w:sz w:val="28"/>
          <w:highlight w:val="none"/>
          <w:lang w:val="en-US"/>
        </w:rPr>
        <w:t>六</w:t>
      </w:r>
      <w:r>
        <w:rPr>
          <w:rFonts w:hint="eastAsia" w:ascii="黑体" w:eastAsia="黑体"/>
          <w:color w:val="auto"/>
          <w:sz w:val="28"/>
          <w:highlight w:val="none"/>
        </w:rPr>
        <w:t>、项目管理机构</w:t>
      </w:r>
      <w:bookmarkEnd w:id="4424"/>
      <w:bookmarkEnd w:id="4425"/>
    </w:p>
    <w:p>
      <w:pPr>
        <w:pStyle w:val="20"/>
        <w:spacing w:before="1"/>
        <w:rPr>
          <w:rFonts w:ascii="黑体"/>
          <w:color w:val="auto"/>
          <w:sz w:val="18"/>
          <w:highlight w:val="none"/>
        </w:rPr>
      </w:pPr>
    </w:p>
    <w:tbl>
      <w:tblPr>
        <w:tblStyle w:val="47"/>
        <w:tblW w:w="8726" w:type="dxa"/>
        <w:tblInd w:w="2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69" w:hRule="atLeast"/>
        </w:trPr>
        <w:tc>
          <w:tcPr>
            <w:tcW w:w="8726" w:type="dxa"/>
          </w:tcPr>
          <w:p>
            <w:pPr>
              <w:pStyle w:val="87"/>
              <w:rPr>
                <w:rFonts w:ascii="黑体"/>
                <w:color w:val="auto"/>
                <w:sz w:val="20"/>
                <w:highlight w:val="none"/>
              </w:rPr>
            </w:pPr>
          </w:p>
          <w:p>
            <w:pPr>
              <w:pStyle w:val="87"/>
              <w:rPr>
                <w:rFonts w:ascii="黑体"/>
                <w:color w:val="auto"/>
                <w:sz w:val="20"/>
                <w:highlight w:val="none"/>
              </w:rPr>
            </w:pPr>
          </w:p>
          <w:p>
            <w:pPr>
              <w:pStyle w:val="87"/>
              <w:rPr>
                <w:rFonts w:ascii="黑体"/>
                <w:color w:val="auto"/>
                <w:sz w:val="20"/>
                <w:highlight w:val="none"/>
              </w:rPr>
            </w:pPr>
          </w:p>
          <w:p>
            <w:pPr>
              <w:pStyle w:val="87"/>
              <w:ind w:left="378"/>
              <w:rPr>
                <w:color w:val="auto"/>
                <w:sz w:val="21"/>
                <w:highlight w:val="none"/>
              </w:rPr>
            </w:pPr>
            <w:r>
              <w:rPr>
                <w:color w:val="auto"/>
                <w:sz w:val="21"/>
                <w:highlight w:val="none"/>
              </w:rPr>
              <w:t>拟为承包本标段工程设立的组织机构以框图方式表示。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6" w:hRule="atLeast"/>
        </w:trPr>
        <w:tc>
          <w:tcPr>
            <w:tcW w:w="8726" w:type="dxa"/>
          </w:tcPr>
          <w:p>
            <w:pPr>
              <w:pStyle w:val="87"/>
              <w:spacing w:before="7"/>
              <w:rPr>
                <w:rFonts w:ascii="黑体"/>
                <w:color w:val="auto"/>
                <w:sz w:val="19"/>
                <w:highlight w:val="none"/>
              </w:rPr>
            </w:pPr>
          </w:p>
          <w:p>
            <w:pPr>
              <w:pStyle w:val="87"/>
              <w:ind w:left="378"/>
              <w:rPr>
                <w:color w:val="auto"/>
                <w:sz w:val="21"/>
                <w:highlight w:val="none"/>
              </w:rPr>
            </w:pPr>
            <w:r>
              <w:rPr>
                <w:color w:val="auto"/>
                <w:sz w:val="21"/>
                <w:highlight w:val="none"/>
              </w:rPr>
              <w:t>说明</w:t>
            </w:r>
          </w:p>
        </w:tc>
      </w:tr>
    </w:tbl>
    <w:p>
      <w:pPr>
        <w:pStyle w:val="20"/>
        <w:rPr>
          <w:rFonts w:ascii="黑体"/>
          <w:color w:val="auto"/>
          <w:sz w:val="20"/>
          <w:highlight w:val="none"/>
        </w:rPr>
      </w:pPr>
    </w:p>
    <w:p>
      <w:pPr>
        <w:rPr>
          <w:rFonts w:ascii="黑体"/>
          <w:color w:val="auto"/>
          <w:sz w:val="20"/>
          <w:szCs w:val="24"/>
          <w:highlight w:val="none"/>
        </w:rPr>
      </w:pPr>
      <w:r>
        <w:rPr>
          <w:rFonts w:ascii="黑体"/>
          <w:color w:val="auto"/>
          <w:sz w:val="20"/>
          <w:highlight w:val="none"/>
        </w:rPr>
        <w:br w:type="page"/>
      </w:r>
    </w:p>
    <w:p>
      <w:pPr>
        <w:spacing w:before="238"/>
        <w:ind w:right="178"/>
        <w:jc w:val="center"/>
        <w:outlineLvl w:val="2"/>
        <w:rPr>
          <w:rFonts w:ascii="黑体" w:eastAsia="黑体"/>
          <w:color w:val="auto"/>
          <w:sz w:val="28"/>
          <w:highlight w:val="none"/>
        </w:rPr>
      </w:pPr>
      <w:bookmarkStart w:id="4426" w:name="_bookmark308"/>
      <w:bookmarkEnd w:id="4426"/>
      <w:bookmarkStart w:id="4427" w:name="_Toc14732"/>
      <w:bookmarkStart w:id="4428" w:name="_Toc29657"/>
      <w:r>
        <w:rPr>
          <w:rFonts w:hint="eastAsia" w:ascii="黑体" w:eastAsia="黑体"/>
          <w:color w:val="auto"/>
          <w:sz w:val="28"/>
          <w:highlight w:val="none"/>
          <w:lang w:val="en-US"/>
        </w:rPr>
        <w:t>七</w:t>
      </w:r>
      <w:r>
        <w:rPr>
          <w:rFonts w:hint="eastAsia" w:ascii="黑体" w:eastAsia="黑体"/>
          <w:color w:val="auto"/>
          <w:sz w:val="28"/>
          <w:highlight w:val="none"/>
        </w:rPr>
        <w:t>、拟分包项目情况表</w:t>
      </w:r>
      <w:bookmarkEnd w:id="4427"/>
      <w:bookmarkEnd w:id="4428"/>
    </w:p>
    <w:p>
      <w:pPr>
        <w:pStyle w:val="20"/>
        <w:rPr>
          <w:rFonts w:ascii="黑体"/>
          <w:color w:val="auto"/>
          <w:sz w:val="20"/>
          <w:highlight w:val="none"/>
        </w:rPr>
      </w:pPr>
    </w:p>
    <w:p>
      <w:pPr>
        <w:pStyle w:val="20"/>
        <w:spacing w:before="9"/>
        <w:rPr>
          <w:rFonts w:ascii="黑体"/>
          <w:color w:val="auto"/>
          <w:sz w:val="14"/>
          <w:highlight w:val="none"/>
        </w:rPr>
      </w:pPr>
    </w:p>
    <w:tbl>
      <w:tblPr>
        <w:tblStyle w:val="47"/>
        <w:tblW w:w="8894"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2456"/>
        <w:gridCol w:w="1865"/>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1990" w:type="dxa"/>
          </w:tcPr>
          <w:p>
            <w:pPr>
              <w:pStyle w:val="87"/>
              <w:spacing w:before="142"/>
              <w:ind w:left="153"/>
              <w:rPr>
                <w:color w:val="auto"/>
                <w:sz w:val="21"/>
                <w:highlight w:val="none"/>
              </w:rPr>
            </w:pPr>
            <w:r>
              <w:rPr>
                <w:color w:val="auto"/>
                <w:sz w:val="21"/>
                <w:highlight w:val="none"/>
              </w:rPr>
              <w:t>拟分包的工程项目</w:t>
            </w:r>
          </w:p>
        </w:tc>
        <w:tc>
          <w:tcPr>
            <w:tcW w:w="2456" w:type="dxa"/>
          </w:tcPr>
          <w:p>
            <w:pPr>
              <w:pStyle w:val="87"/>
              <w:spacing w:before="142"/>
              <w:ind w:left="597"/>
              <w:rPr>
                <w:color w:val="auto"/>
                <w:sz w:val="21"/>
                <w:highlight w:val="none"/>
              </w:rPr>
            </w:pPr>
            <w:r>
              <w:rPr>
                <w:color w:val="auto"/>
                <w:sz w:val="21"/>
                <w:highlight w:val="none"/>
              </w:rPr>
              <w:t>主要工程内容</w:t>
            </w:r>
          </w:p>
        </w:tc>
        <w:tc>
          <w:tcPr>
            <w:tcW w:w="1865" w:type="dxa"/>
          </w:tcPr>
          <w:p>
            <w:pPr>
              <w:pStyle w:val="87"/>
              <w:spacing w:before="142"/>
              <w:ind w:left="107"/>
              <w:rPr>
                <w:color w:val="auto"/>
                <w:sz w:val="21"/>
                <w:highlight w:val="none"/>
              </w:rPr>
            </w:pPr>
            <w:r>
              <w:rPr>
                <w:color w:val="auto"/>
                <w:sz w:val="21"/>
                <w:highlight w:val="none"/>
              </w:rPr>
              <w:t>预计造价（万元）</w:t>
            </w:r>
          </w:p>
        </w:tc>
        <w:tc>
          <w:tcPr>
            <w:tcW w:w="2583" w:type="dxa"/>
          </w:tcPr>
          <w:p>
            <w:pPr>
              <w:pStyle w:val="87"/>
              <w:spacing w:before="142"/>
              <w:ind w:left="1008" w:right="999"/>
              <w:jc w:val="center"/>
              <w:rPr>
                <w:color w:val="auto"/>
                <w:sz w:val="21"/>
                <w:highlight w:val="none"/>
              </w:rPr>
            </w:pPr>
            <w:r>
              <w:rPr>
                <w:color w:val="auto"/>
                <w:sz w:val="21"/>
                <w:highlight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restart"/>
          </w:tcPr>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rPr>
                <w:rFonts w:ascii="黑体"/>
                <w:color w:val="auto"/>
                <w:highlight w:val="none"/>
              </w:rPr>
            </w:pPr>
          </w:p>
          <w:p>
            <w:pPr>
              <w:pStyle w:val="87"/>
              <w:spacing w:before="185" w:line="393" w:lineRule="auto"/>
              <w:ind w:left="107" w:right="94"/>
              <w:rPr>
                <w:rFonts w:ascii="Times New Roman" w:hAnsi="Times New Roman" w:eastAsia="Times New Roman"/>
                <w:color w:val="auto"/>
                <w:sz w:val="21"/>
                <w:highlight w:val="none"/>
              </w:rPr>
            </w:pPr>
            <w:r>
              <w:rPr>
                <w:color w:val="auto"/>
                <w:sz w:val="21"/>
                <w:highlight w:val="none"/>
              </w:rPr>
              <w:t>注：若无分包计划，则投标人应在本表填写</w:t>
            </w:r>
            <w:r>
              <w:rPr>
                <w:rFonts w:ascii="Times New Roman" w:hAnsi="Times New Roman" w:eastAsia="Times New Roman"/>
                <w:color w:val="auto"/>
                <w:sz w:val="21"/>
                <w:highlight w:val="none"/>
              </w:rPr>
              <w:t>“</w:t>
            </w:r>
            <w:r>
              <w:rPr>
                <w:color w:val="auto"/>
                <w:sz w:val="21"/>
                <w:highlight w:val="none"/>
              </w:rPr>
              <w:t>无</w:t>
            </w:r>
            <w:r>
              <w:rPr>
                <w:rFonts w:ascii="Times New Roman" w:hAns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90" w:type="dxa"/>
          </w:tcPr>
          <w:p>
            <w:pPr>
              <w:pStyle w:val="87"/>
              <w:rPr>
                <w:rFonts w:ascii="Times New Roman"/>
                <w:color w:val="auto"/>
                <w:highlight w:val="none"/>
              </w:rPr>
            </w:pPr>
          </w:p>
        </w:tc>
        <w:tc>
          <w:tcPr>
            <w:tcW w:w="2456" w:type="dxa"/>
          </w:tcPr>
          <w:p>
            <w:pPr>
              <w:pStyle w:val="87"/>
              <w:rPr>
                <w:rFonts w:ascii="Times New Roman"/>
                <w:color w:val="auto"/>
                <w:highlight w:val="none"/>
              </w:rPr>
            </w:pP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46" w:type="dxa"/>
            <w:gridSpan w:val="2"/>
          </w:tcPr>
          <w:p>
            <w:pPr>
              <w:pStyle w:val="87"/>
              <w:spacing w:before="147"/>
              <w:ind w:left="856"/>
              <w:rPr>
                <w:color w:val="auto"/>
                <w:sz w:val="21"/>
                <w:highlight w:val="none"/>
              </w:rPr>
            </w:pPr>
            <w:r>
              <w:rPr>
                <w:color w:val="auto"/>
                <w:sz w:val="21"/>
                <w:highlight w:val="none"/>
              </w:rPr>
              <w:t>拟分包工程造价合计（万元）</w:t>
            </w:r>
          </w:p>
        </w:tc>
        <w:tc>
          <w:tcPr>
            <w:tcW w:w="1865" w:type="dxa"/>
          </w:tcPr>
          <w:p>
            <w:pPr>
              <w:pStyle w:val="87"/>
              <w:rPr>
                <w:rFonts w:ascii="Times New Roman"/>
                <w:color w:val="auto"/>
                <w:highlight w:val="none"/>
              </w:rPr>
            </w:pPr>
          </w:p>
        </w:tc>
        <w:tc>
          <w:tcPr>
            <w:tcW w:w="2583" w:type="dxa"/>
            <w:vMerge w:val="continue"/>
            <w:tcBorders>
              <w:top w:val="nil"/>
            </w:tcBorders>
          </w:tcPr>
          <w:p>
            <w:pPr>
              <w:rPr>
                <w:color w:val="auto"/>
                <w:sz w:val="2"/>
                <w:szCs w:val="2"/>
                <w:highlight w:val="none"/>
              </w:rPr>
            </w:pPr>
          </w:p>
        </w:tc>
      </w:tr>
    </w:tbl>
    <w:p>
      <w:pPr>
        <w:spacing w:before="56"/>
        <w:ind w:right="176"/>
        <w:jc w:val="center"/>
        <w:rPr>
          <w:rFonts w:ascii="黑体" w:eastAsia="黑体"/>
          <w:color w:val="auto"/>
          <w:sz w:val="28"/>
          <w:highlight w:val="none"/>
        </w:rPr>
      </w:pPr>
      <w:bookmarkStart w:id="4429" w:name="_bookmark310"/>
      <w:bookmarkEnd w:id="4429"/>
    </w:p>
    <w:p>
      <w:pPr>
        <w:rPr>
          <w:rFonts w:ascii="黑体" w:eastAsia="黑体"/>
          <w:color w:val="auto"/>
          <w:sz w:val="28"/>
          <w:highlight w:val="none"/>
        </w:rPr>
      </w:pPr>
      <w:r>
        <w:rPr>
          <w:rFonts w:ascii="黑体" w:eastAsia="黑体"/>
          <w:color w:val="auto"/>
          <w:sz w:val="28"/>
          <w:highlight w:val="none"/>
        </w:rPr>
        <w:br w:type="page"/>
      </w:r>
    </w:p>
    <w:p>
      <w:pPr>
        <w:spacing w:before="56"/>
        <w:ind w:right="176"/>
        <w:jc w:val="center"/>
        <w:outlineLvl w:val="2"/>
        <w:rPr>
          <w:rFonts w:ascii="黑体" w:eastAsia="黑体"/>
          <w:color w:val="auto"/>
          <w:sz w:val="28"/>
          <w:highlight w:val="none"/>
        </w:rPr>
      </w:pPr>
      <w:bookmarkStart w:id="4430" w:name="_Toc11950"/>
      <w:bookmarkStart w:id="4431" w:name="_Toc26794"/>
      <w:r>
        <w:rPr>
          <w:rFonts w:hint="eastAsia" w:ascii="黑体" w:eastAsia="黑体"/>
          <w:color w:val="auto"/>
          <w:sz w:val="28"/>
          <w:highlight w:val="none"/>
          <w:lang w:val="en-US"/>
        </w:rPr>
        <w:t>八</w:t>
      </w:r>
      <w:r>
        <w:rPr>
          <w:rFonts w:hint="eastAsia" w:ascii="黑体" w:eastAsia="黑体"/>
          <w:color w:val="auto"/>
          <w:sz w:val="28"/>
          <w:highlight w:val="none"/>
        </w:rPr>
        <w:t>、资格审查资料（适用于未进行资格预审的）</w:t>
      </w:r>
      <w:bookmarkEnd w:id="4430"/>
      <w:bookmarkEnd w:id="4431"/>
    </w:p>
    <w:p>
      <w:pPr>
        <w:pStyle w:val="20"/>
        <w:spacing w:before="3"/>
        <w:rPr>
          <w:rFonts w:ascii="黑体"/>
          <w:color w:val="auto"/>
          <w:sz w:val="35"/>
          <w:highlight w:val="none"/>
        </w:rPr>
      </w:pPr>
    </w:p>
    <w:p>
      <w:pPr>
        <w:pStyle w:val="20"/>
        <w:spacing w:after="5"/>
        <w:ind w:right="180"/>
        <w:jc w:val="center"/>
        <w:outlineLvl w:val="2"/>
        <w:rPr>
          <w:rFonts w:ascii="黑体" w:eastAsia="黑体"/>
          <w:color w:val="auto"/>
          <w:highlight w:val="none"/>
        </w:rPr>
      </w:pPr>
      <w:bookmarkStart w:id="4432" w:name="_bookmark311"/>
      <w:bookmarkEnd w:id="4432"/>
      <w:bookmarkStart w:id="4433" w:name="_Toc15476"/>
      <w:bookmarkStart w:id="4434" w:name="_Toc14383"/>
      <w:r>
        <w:rPr>
          <w:rFonts w:hint="eastAsia" w:ascii="黑体" w:eastAsia="黑体"/>
          <w:color w:val="auto"/>
          <w:highlight w:val="none"/>
        </w:rPr>
        <w:t>（一）投标人基本情况表</w:t>
      </w:r>
      <w:bookmarkEnd w:id="4433"/>
      <w:bookmarkEnd w:id="4434"/>
    </w:p>
    <w:tbl>
      <w:tblPr>
        <w:tblStyle w:val="47"/>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42"/>
        <w:gridCol w:w="1010"/>
        <w:gridCol w:w="1070"/>
        <w:gridCol w:w="1416"/>
        <w:gridCol w:w="350"/>
        <w:gridCol w:w="1212"/>
        <w:gridCol w:w="557"/>
        <w:gridCol w:w="966"/>
        <w:gridCol w:w="11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tcBorders>
              <w:top w:val="single" w:color="000000" w:sz="12" w:space="0"/>
            </w:tcBorders>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投标人名称</w:t>
            </w:r>
          </w:p>
        </w:tc>
        <w:tc>
          <w:tcPr>
            <w:tcW w:w="7697" w:type="dxa"/>
            <w:gridSpan w:val="8"/>
            <w:tcBorders>
              <w:top w:val="single" w:color="000000" w:sz="12" w:space="0"/>
            </w:tcBorders>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注册地址</w:t>
            </w:r>
          </w:p>
        </w:tc>
        <w:tc>
          <w:tcPr>
            <w:tcW w:w="3846" w:type="dxa"/>
            <w:gridSpan w:val="4"/>
            <w:vAlign w:val="center"/>
          </w:tcPr>
          <w:p>
            <w:pPr>
              <w:adjustRightInd w:val="0"/>
              <w:jc w:val="center"/>
              <w:rPr>
                <w:rFonts w:asciiTheme="minorEastAsia" w:hAnsiTheme="minorEastAsia" w:eastAsiaTheme="minorEastAsia"/>
                <w:color w:val="auto"/>
                <w:szCs w:val="21"/>
                <w:highlight w:val="none"/>
              </w:rPr>
            </w:pPr>
          </w:p>
        </w:tc>
        <w:tc>
          <w:tcPr>
            <w:tcW w:w="121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邮政编码</w:t>
            </w:r>
          </w:p>
        </w:tc>
        <w:tc>
          <w:tcPr>
            <w:tcW w:w="2639" w:type="dxa"/>
            <w:gridSpan w:val="3"/>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Merge w:val="restart"/>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联系方式</w:t>
            </w:r>
          </w:p>
        </w:tc>
        <w:tc>
          <w:tcPr>
            <w:tcW w:w="1010"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联系人</w:t>
            </w:r>
          </w:p>
        </w:tc>
        <w:tc>
          <w:tcPr>
            <w:tcW w:w="2836" w:type="dxa"/>
            <w:gridSpan w:val="3"/>
            <w:vAlign w:val="center"/>
          </w:tcPr>
          <w:p>
            <w:pPr>
              <w:adjustRightInd w:val="0"/>
              <w:jc w:val="center"/>
              <w:rPr>
                <w:rFonts w:asciiTheme="minorEastAsia" w:hAnsiTheme="minorEastAsia" w:eastAsiaTheme="minorEastAsia"/>
                <w:color w:val="auto"/>
                <w:szCs w:val="21"/>
                <w:highlight w:val="none"/>
              </w:rPr>
            </w:pPr>
          </w:p>
        </w:tc>
        <w:tc>
          <w:tcPr>
            <w:tcW w:w="121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电话</w:t>
            </w:r>
          </w:p>
        </w:tc>
        <w:tc>
          <w:tcPr>
            <w:tcW w:w="2639" w:type="dxa"/>
            <w:gridSpan w:val="3"/>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Merge w:val="continue"/>
            <w:vAlign w:val="center"/>
          </w:tcPr>
          <w:p>
            <w:pPr>
              <w:adjustRightInd w:val="0"/>
              <w:jc w:val="center"/>
              <w:rPr>
                <w:rFonts w:asciiTheme="minorEastAsia" w:hAnsiTheme="minorEastAsia" w:eastAsiaTheme="minorEastAsia"/>
                <w:color w:val="auto"/>
                <w:szCs w:val="21"/>
                <w:highlight w:val="none"/>
              </w:rPr>
            </w:pPr>
          </w:p>
        </w:tc>
        <w:tc>
          <w:tcPr>
            <w:tcW w:w="1010" w:type="dxa"/>
            <w:vAlign w:val="center"/>
          </w:tcPr>
          <w:p>
            <w:pPr>
              <w:tabs>
                <w:tab w:val="left" w:pos="540"/>
              </w:tabs>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传真</w:t>
            </w:r>
          </w:p>
        </w:tc>
        <w:tc>
          <w:tcPr>
            <w:tcW w:w="2836" w:type="dxa"/>
            <w:gridSpan w:val="3"/>
            <w:vAlign w:val="center"/>
          </w:tcPr>
          <w:p>
            <w:pPr>
              <w:adjustRightInd w:val="0"/>
              <w:jc w:val="center"/>
              <w:rPr>
                <w:rFonts w:asciiTheme="minorEastAsia" w:hAnsiTheme="minorEastAsia" w:eastAsiaTheme="minorEastAsia"/>
                <w:color w:val="auto"/>
                <w:szCs w:val="21"/>
                <w:highlight w:val="none"/>
              </w:rPr>
            </w:pPr>
          </w:p>
        </w:tc>
        <w:tc>
          <w:tcPr>
            <w:tcW w:w="121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电子邮件</w:t>
            </w:r>
          </w:p>
        </w:tc>
        <w:tc>
          <w:tcPr>
            <w:tcW w:w="2639" w:type="dxa"/>
            <w:gridSpan w:val="3"/>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法定代表人</w:t>
            </w:r>
          </w:p>
        </w:tc>
        <w:tc>
          <w:tcPr>
            <w:tcW w:w="1010"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姓名</w:t>
            </w:r>
          </w:p>
        </w:tc>
        <w:tc>
          <w:tcPr>
            <w:tcW w:w="1070" w:type="dxa"/>
            <w:vAlign w:val="center"/>
          </w:tcPr>
          <w:p>
            <w:pPr>
              <w:adjustRightInd w:val="0"/>
              <w:jc w:val="center"/>
              <w:rPr>
                <w:rFonts w:asciiTheme="minorEastAsia" w:hAnsiTheme="minorEastAsia" w:eastAsiaTheme="minorEastAsia"/>
                <w:color w:val="auto"/>
                <w:szCs w:val="21"/>
                <w:highlight w:val="none"/>
              </w:rPr>
            </w:pPr>
          </w:p>
        </w:tc>
        <w:tc>
          <w:tcPr>
            <w:tcW w:w="1416"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技术职称</w:t>
            </w:r>
          </w:p>
        </w:tc>
        <w:tc>
          <w:tcPr>
            <w:tcW w:w="2119" w:type="dxa"/>
            <w:gridSpan w:val="3"/>
            <w:vAlign w:val="center"/>
          </w:tcPr>
          <w:p>
            <w:pPr>
              <w:adjustRightInd w:val="0"/>
              <w:jc w:val="center"/>
              <w:rPr>
                <w:rFonts w:asciiTheme="minorEastAsia" w:hAnsiTheme="minorEastAsia" w:eastAsiaTheme="minorEastAsia"/>
                <w:color w:val="auto"/>
                <w:szCs w:val="21"/>
                <w:highlight w:val="none"/>
              </w:rPr>
            </w:pPr>
          </w:p>
        </w:tc>
        <w:tc>
          <w:tcPr>
            <w:tcW w:w="966"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电话</w:t>
            </w:r>
          </w:p>
        </w:tc>
        <w:tc>
          <w:tcPr>
            <w:tcW w:w="1116" w:type="dxa"/>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技术负责人</w:t>
            </w:r>
          </w:p>
        </w:tc>
        <w:tc>
          <w:tcPr>
            <w:tcW w:w="1010"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姓名</w:t>
            </w:r>
          </w:p>
        </w:tc>
        <w:tc>
          <w:tcPr>
            <w:tcW w:w="1070" w:type="dxa"/>
            <w:vAlign w:val="center"/>
          </w:tcPr>
          <w:p>
            <w:pPr>
              <w:adjustRightInd w:val="0"/>
              <w:jc w:val="center"/>
              <w:rPr>
                <w:rFonts w:asciiTheme="minorEastAsia" w:hAnsiTheme="minorEastAsia" w:eastAsiaTheme="minorEastAsia"/>
                <w:color w:val="auto"/>
                <w:szCs w:val="21"/>
                <w:highlight w:val="none"/>
              </w:rPr>
            </w:pPr>
          </w:p>
        </w:tc>
        <w:tc>
          <w:tcPr>
            <w:tcW w:w="1416"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技术职称</w:t>
            </w:r>
          </w:p>
        </w:tc>
        <w:tc>
          <w:tcPr>
            <w:tcW w:w="2119" w:type="dxa"/>
            <w:gridSpan w:val="3"/>
            <w:vAlign w:val="center"/>
          </w:tcPr>
          <w:p>
            <w:pPr>
              <w:adjustRightInd w:val="0"/>
              <w:jc w:val="center"/>
              <w:rPr>
                <w:rFonts w:asciiTheme="minorEastAsia" w:hAnsiTheme="minorEastAsia" w:eastAsiaTheme="minorEastAsia"/>
                <w:color w:val="auto"/>
                <w:szCs w:val="21"/>
                <w:highlight w:val="none"/>
              </w:rPr>
            </w:pPr>
          </w:p>
        </w:tc>
        <w:tc>
          <w:tcPr>
            <w:tcW w:w="966"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电话</w:t>
            </w:r>
          </w:p>
        </w:tc>
        <w:tc>
          <w:tcPr>
            <w:tcW w:w="1116" w:type="dxa"/>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成立时间</w:t>
            </w:r>
          </w:p>
        </w:tc>
        <w:tc>
          <w:tcPr>
            <w:tcW w:w="2080" w:type="dxa"/>
            <w:gridSpan w:val="2"/>
            <w:vAlign w:val="center"/>
          </w:tcPr>
          <w:p>
            <w:pPr>
              <w:adjustRightInd w:val="0"/>
              <w:jc w:val="center"/>
              <w:rPr>
                <w:rFonts w:asciiTheme="minorEastAsia" w:hAnsiTheme="minorEastAsia" w:eastAsiaTheme="minorEastAsia"/>
                <w:color w:val="auto"/>
                <w:szCs w:val="21"/>
                <w:highlight w:val="none"/>
              </w:rPr>
            </w:pPr>
          </w:p>
        </w:tc>
        <w:tc>
          <w:tcPr>
            <w:tcW w:w="5617" w:type="dxa"/>
            <w:gridSpan w:val="6"/>
            <w:vAlign w:val="center"/>
          </w:tcPr>
          <w:p>
            <w:pPr>
              <w:adjustRightInd w:val="0"/>
              <w:ind w:left="110" w:leftChars="50"/>
              <w:jc w:val="center"/>
              <w:rPr>
                <w:rFonts w:asciiTheme="minorEastAsia" w:hAnsiTheme="minorEastAsia" w:eastAsiaTheme="minorEastAsia"/>
                <w:color w:val="auto"/>
                <w:szCs w:val="21"/>
                <w:highlight w:val="none"/>
                <w:u w:val="single"/>
              </w:rPr>
            </w:pPr>
            <w:r>
              <w:rPr>
                <w:rFonts w:hint="eastAsia" w:cs="MingLiUfalt" w:asciiTheme="minorEastAsia" w:hAnsiTheme="minorEastAsia" w:eastAsiaTheme="minorEastAsia"/>
                <w:color w:val="auto"/>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企业资质等级</w:t>
            </w:r>
          </w:p>
        </w:tc>
        <w:tc>
          <w:tcPr>
            <w:tcW w:w="2080" w:type="dxa"/>
            <w:gridSpan w:val="2"/>
            <w:vAlign w:val="center"/>
          </w:tcPr>
          <w:p>
            <w:pPr>
              <w:adjustRightInd w:val="0"/>
              <w:jc w:val="center"/>
              <w:rPr>
                <w:rFonts w:asciiTheme="minorEastAsia" w:hAnsiTheme="minorEastAsia" w:eastAsiaTheme="minorEastAsia"/>
                <w:color w:val="auto"/>
                <w:szCs w:val="21"/>
                <w:highlight w:val="none"/>
              </w:rPr>
            </w:pPr>
          </w:p>
        </w:tc>
        <w:tc>
          <w:tcPr>
            <w:tcW w:w="1416" w:type="dxa"/>
            <w:vMerge w:val="restart"/>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其中</w:t>
            </w:r>
          </w:p>
        </w:tc>
        <w:tc>
          <w:tcPr>
            <w:tcW w:w="2119" w:type="dxa"/>
            <w:gridSpan w:val="3"/>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项目经理</w:t>
            </w:r>
          </w:p>
        </w:tc>
        <w:tc>
          <w:tcPr>
            <w:tcW w:w="2082" w:type="dxa"/>
            <w:gridSpan w:val="2"/>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营业执照号</w:t>
            </w:r>
          </w:p>
        </w:tc>
        <w:tc>
          <w:tcPr>
            <w:tcW w:w="2080" w:type="dxa"/>
            <w:gridSpan w:val="2"/>
            <w:vAlign w:val="center"/>
          </w:tcPr>
          <w:p>
            <w:pPr>
              <w:adjustRightInd w:val="0"/>
              <w:jc w:val="center"/>
              <w:rPr>
                <w:rFonts w:asciiTheme="minorEastAsia" w:hAnsiTheme="minorEastAsia" w:eastAsiaTheme="minorEastAsia"/>
                <w:color w:val="auto"/>
                <w:szCs w:val="21"/>
                <w:highlight w:val="none"/>
              </w:rPr>
            </w:pPr>
          </w:p>
        </w:tc>
        <w:tc>
          <w:tcPr>
            <w:tcW w:w="1416" w:type="dxa"/>
            <w:vMerge w:val="continue"/>
            <w:vAlign w:val="center"/>
          </w:tcPr>
          <w:p>
            <w:pPr>
              <w:adjustRightInd w:val="0"/>
              <w:jc w:val="center"/>
              <w:rPr>
                <w:rFonts w:asciiTheme="minorEastAsia" w:hAnsiTheme="minorEastAsia" w:eastAsiaTheme="minorEastAsia"/>
                <w:color w:val="auto"/>
                <w:szCs w:val="21"/>
                <w:highlight w:val="none"/>
              </w:rPr>
            </w:pPr>
          </w:p>
        </w:tc>
        <w:tc>
          <w:tcPr>
            <w:tcW w:w="2119" w:type="dxa"/>
            <w:gridSpan w:val="3"/>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高级职称人员</w:t>
            </w:r>
          </w:p>
        </w:tc>
        <w:tc>
          <w:tcPr>
            <w:tcW w:w="2082" w:type="dxa"/>
            <w:gridSpan w:val="2"/>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注册资金</w:t>
            </w:r>
          </w:p>
        </w:tc>
        <w:tc>
          <w:tcPr>
            <w:tcW w:w="2080" w:type="dxa"/>
            <w:gridSpan w:val="2"/>
            <w:vAlign w:val="center"/>
          </w:tcPr>
          <w:p>
            <w:pPr>
              <w:adjustRightInd w:val="0"/>
              <w:jc w:val="center"/>
              <w:rPr>
                <w:rFonts w:asciiTheme="minorEastAsia" w:hAnsiTheme="minorEastAsia" w:eastAsiaTheme="minorEastAsia"/>
                <w:color w:val="auto"/>
                <w:szCs w:val="21"/>
                <w:highlight w:val="none"/>
              </w:rPr>
            </w:pPr>
          </w:p>
        </w:tc>
        <w:tc>
          <w:tcPr>
            <w:tcW w:w="1416" w:type="dxa"/>
            <w:vMerge w:val="continue"/>
            <w:vAlign w:val="center"/>
          </w:tcPr>
          <w:p>
            <w:pPr>
              <w:adjustRightInd w:val="0"/>
              <w:jc w:val="center"/>
              <w:rPr>
                <w:rFonts w:asciiTheme="minorEastAsia" w:hAnsiTheme="minorEastAsia" w:eastAsiaTheme="minorEastAsia"/>
                <w:color w:val="auto"/>
                <w:szCs w:val="21"/>
                <w:highlight w:val="none"/>
              </w:rPr>
            </w:pPr>
          </w:p>
        </w:tc>
        <w:tc>
          <w:tcPr>
            <w:tcW w:w="2119" w:type="dxa"/>
            <w:gridSpan w:val="3"/>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中级职称人员</w:t>
            </w:r>
          </w:p>
        </w:tc>
        <w:tc>
          <w:tcPr>
            <w:tcW w:w="2082" w:type="dxa"/>
            <w:gridSpan w:val="2"/>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基本账户开户银行</w:t>
            </w:r>
          </w:p>
        </w:tc>
        <w:tc>
          <w:tcPr>
            <w:tcW w:w="2080" w:type="dxa"/>
            <w:gridSpan w:val="2"/>
            <w:vAlign w:val="center"/>
          </w:tcPr>
          <w:p>
            <w:pPr>
              <w:adjustRightInd w:val="0"/>
              <w:jc w:val="center"/>
              <w:rPr>
                <w:rFonts w:asciiTheme="minorEastAsia" w:hAnsiTheme="minorEastAsia" w:eastAsiaTheme="minorEastAsia"/>
                <w:color w:val="auto"/>
                <w:szCs w:val="21"/>
                <w:highlight w:val="none"/>
              </w:rPr>
            </w:pPr>
          </w:p>
        </w:tc>
        <w:tc>
          <w:tcPr>
            <w:tcW w:w="1416" w:type="dxa"/>
            <w:vMerge w:val="continue"/>
            <w:vAlign w:val="center"/>
          </w:tcPr>
          <w:p>
            <w:pPr>
              <w:adjustRightInd w:val="0"/>
              <w:jc w:val="center"/>
              <w:rPr>
                <w:rFonts w:asciiTheme="minorEastAsia" w:hAnsiTheme="minorEastAsia" w:eastAsiaTheme="minorEastAsia"/>
                <w:color w:val="auto"/>
                <w:szCs w:val="21"/>
                <w:highlight w:val="none"/>
              </w:rPr>
            </w:pPr>
          </w:p>
        </w:tc>
        <w:tc>
          <w:tcPr>
            <w:tcW w:w="2119" w:type="dxa"/>
            <w:gridSpan w:val="3"/>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初级职称人员</w:t>
            </w:r>
          </w:p>
        </w:tc>
        <w:tc>
          <w:tcPr>
            <w:tcW w:w="2082" w:type="dxa"/>
            <w:gridSpan w:val="2"/>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基本账户账号</w:t>
            </w:r>
          </w:p>
        </w:tc>
        <w:tc>
          <w:tcPr>
            <w:tcW w:w="2080" w:type="dxa"/>
            <w:gridSpan w:val="2"/>
            <w:vAlign w:val="center"/>
          </w:tcPr>
          <w:p>
            <w:pPr>
              <w:adjustRightInd w:val="0"/>
              <w:jc w:val="center"/>
              <w:rPr>
                <w:rFonts w:asciiTheme="minorEastAsia" w:hAnsiTheme="minorEastAsia" w:eastAsiaTheme="minorEastAsia"/>
                <w:color w:val="auto"/>
                <w:szCs w:val="21"/>
                <w:highlight w:val="none"/>
              </w:rPr>
            </w:pPr>
          </w:p>
        </w:tc>
        <w:tc>
          <w:tcPr>
            <w:tcW w:w="1416" w:type="dxa"/>
            <w:vMerge w:val="continue"/>
            <w:vAlign w:val="center"/>
          </w:tcPr>
          <w:p>
            <w:pPr>
              <w:adjustRightInd w:val="0"/>
              <w:jc w:val="center"/>
              <w:rPr>
                <w:rFonts w:asciiTheme="minorEastAsia" w:hAnsiTheme="minorEastAsia" w:eastAsiaTheme="minorEastAsia"/>
                <w:color w:val="auto"/>
                <w:szCs w:val="21"/>
                <w:highlight w:val="none"/>
              </w:rPr>
            </w:pPr>
          </w:p>
        </w:tc>
        <w:tc>
          <w:tcPr>
            <w:tcW w:w="2119" w:type="dxa"/>
            <w:gridSpan w:val="3"/>
            <w:vAlign w:val="center"/>
          </w:tcPr>
          <w:p>
            <w:pPr>
              <w:tabs>
                <w:tab w:val="left" w:pos="1240"/>
              </w:tabs>
              <w:adjustRightInd w:val="0"/>
              <w:spacing w:before="98"/>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技工</w:t>
            </w:r>
          </w:p>
        </w:tc>
        <w:tc>
          <w:tcPr>
            <w:tcW w:w="2082" w:type="dxa"/>
            <w:gridSpan w:val="2"/>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29" w:hRule="exact"/>
          <w:jc w:val="center"/>
        </w:trPr>
        <w:tc>
          <w:tcPr>
            <w:tcW w:w="1942" w:type="dxa"/>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经营范围</w:t>
            </w:r>
          </w:p>
        </w:tc>
        <w:tc>
          <w:tcPr>
            <w:tcW w:w="7697" w:type="dxa"/>
            <w:gridSpan w:val="8"/>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4" w:hRule="exact"/>
          <w:jc w:val="center"/>
        </w:trPr>
        <w:tc>
          <w:tcPr>
            <w:tcW w:w="1942" w:type="dxa"/>
            <w:vAlign w:val="center"/>
          </w:tcPr>
          <w:p>
            <w:pPr>
              <w:adjustRightInd w:val="0"/>
              <w:jc w:val="center"/>
              <w:rPr>
                <w:rFonts w:cs="MingLiUfalt"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资产构成情况及申请人投资参股的关联企业情况</w:t>
            </w:r>
          </w:p>
        </w:tc>
        <w:tc>
          <w:tcPr>
            <w:tcW w:w="7697" w:type="dxa"/>
            <w:gridSpan w:val="8"/>
            <w:vAlign w:val="center"/>
          </w:tcPr>
          <w:p>
            <w:pPr>
              <w:adjustRightInd w:val="0"/>
              <w:jc w:val="center"/>
              <w:rPr>
                <w:rFonts w:asciiTheme="minorEastAsia" w:hAnsiTheme="minorEastAsia" w:eastAsiaTheme="minorEastAsia"/>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tcBorders>
              <w:bottom w:val="single" w:color="000000" w:sz="12" w:space="0"/>
            </w:tcBorders>
            <w:vAlign w:val="center"/>
          </w:tcPr>
          <w:p>
            <w:pPr>
              <w:adjustRightInd w:val="0"/>
              <w:jc w:val="center"/>
              <w:rPr>
                <w:rFonts w:asciiTheme="minorEastAsia" w:hAnsiTheme="minorEastAsia" w:eastAsiaTheme="minorEastAsia"/>
                <w:color w:val="auto"/>
                <w:szCs w:val="21"/>
                <w:highlight w:val="none"/>
              </w:rPr>
            </w:pPr>
            <w:r>
              <w:rPr>
                <w:rFonts w:hint="eastAsia" w:cs="MingLiUfalt" w:asciiTheme="minorEastAsia" w:hAnsiTheme="minorEastAsia" w:eastAsiaTheme="minorEastAsia"/>
                <w:color w:val="auto"/>
                <w:szCs w:val="21"/>
                <w:highlight w:val="none"/>
              </w:rPr>
              <w:t>备注</w:t>
            </w:r>
          </w:p>
        </w:tc>
        <w:tc>
          <w:tcPr>
            <w:tcW w:w="7697" w:type="dxa"/>
            <w:gridSpan w:val="8"/>
            <w:tcBorders>
              <w:bottom w:val="single" w:color="000000" w:sz="12" w:space="0"/>
            </w:tcBorders>
            <w:vAlign w:val="center"/>
          </w:tcPr>
          <w:p>
            <w:pPr>
              <w:adjustRightInd w:val="0"/>
              <w:jc w:val="center"/>
              <w:rPr>
                <w:rFonts w:asciiTheme="minorEastAsia" w:hAnsiTheme="minorEastAsia" w:eastAsiaTheme="minorEastAsia"/>
                <w:color w:val="auto"/>
                <w:szCs w:val="21"/>
                <w:highlight w:val="none"/>
              </w:rPr>
            </w:pPr>
          </w:p>
        </w:tc>
      </w:tr>
    </w:tbl>
    <w:p>
      <w:pPr>
        <w:spacing w:before="126"/>
        <w:ind w:right="81"/>
        <w:jc w:val="center"/>
        <w:rPr>
          <w:color w:val="auto"/>
          <w:sz w:val="21"/>
          <w:highlight w:val="none"/>
        </w:rPr>
      </w:pPr>
      <w:r>
        <w:rPr>
          <w:color w:val="auto"/>
          <w:sz w:val="21"/>
          <w:highlight w:val="none"/>
        </w:rPr>
        <w:t>注：</w:t>
      </w:r>
      <w:r>
        <w:rPr>
          <w:rFonts w:ascii="Times New Roman" w:hAnsi="Times New Roman" w:eastAsia="Times New Roman"/>
          <w:color w:val="auto"/>
          <w:sz w:val="21"/>
          <w:highlight w:val="none"/>
        </w:rPr>
        <w:t>1.</w:t>
      </w:r>
      <w:r>
        <w:rPr>
          <w:color w:val="auto"/>
          <w:sz w:val="21"/>
          <w:highlight w:val="none"/>
        </w:rPr>
        <w:t>投标人应根据招标文件第二章“投标人须知”第</w:t>
      </w:r>
      <w:r>
        <w:rPr>
          <w:rFonts w:ascii="Times New Roman" w:hAnsi="Times New Roman" w:eastAsia="Times New Roman"/>
          <w:color w:val="auto"/>
          <w:sz w:val="21"/>
          <w:highlight w:val="none"/>
        </w:rPr>
        <w:t>3.5.1</w:t>
      </w:r>
      <w:r>
        <w:rPr>
          <w:color w:val="auto"/>
          <w:sz w:val="21"/>
          <w:highlight w:val="none"/>
        </w:rPr>
        <w:t>项的要求在本表后附相关证明材料。</w:t>
      </w:r>
    </w:p>
    <w:p>
      <w:pPr>
        <w:rPr>
          <w:color w:val="auto"/>
          <w:sz w:val="21"/>
          <w:highlight w:val="none"/>
        </w:rPr>
        <w:sectPr>
          <w:pgSz w:w="11907" w:h="16840"/>
          <w:pgMar w:top="1418" w:right="1191" w:bottom="1418" w:left="1191" w:header="873" w:footer="851" w:gutter="0"/>
          <w:cols w:space="720" w:num="1"/>
        </w:sectPr>
      </w:pPr>
    </w:p>
    <w:p>
      <w:pPr>
        <w:pStyle w:val="20"/>
        <w:spacing w:before="108"/>
        <w:ind w:left="2921"/>
        <w:outlineLvl w:val="2"/>
        <w:rPr>
          <w:rFonts w:ascii="黑体" w:eastAsia="黑体"/>
          <w:color w:val="auto"/>
          <w:highlight w:val="none"/>
        </w:rPr>
      </w:pPr>
      <w:bookmarkStart w:id="4435" w:name="_bookmark312"/>
      <w:bookmarkEnd w:id="4435"/>
      <w:bookmarkStart w:id="4436" w:name="_Toc8703"/>
      <w:bookmarkStart w:id="4437" w:name="_Toc4339"/>
      <w:r>
        <w:rPr>
          <w:rFonts w:hint="eastAsia" w:ascii="黑体" w:eastAsia="黑体"/>
          <w:color w:val="auto"/>
          <w:highlight w:val="none"/>
        </w:rPr>
        <w:t>（二）投标人企业组织机构框图</w:t>
      </w:r>
      <w:bookmarkEnd w:id="4436"/>
      <w:bookmarkEnd w:id="4437"/>
    </w:p>
    <w:p>
      <w:pPr>
        <w:pStyle w:val="20"/>
        <w:spacing w:before="6"/>
        <w:rPr>
          <w:rFonts w:ascii="黑体"/>
          <w:color w:val="auto"/>
          <w:sz w:val="22"/>
          <w:highlight w:val="none"/>
        </w:rPr>
      </w:pPr>
    </w:p>
    <w:tbl>
      <w:tblPr>
        <w:tblStyle w:val="47"/>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76" w:hRule="atLeast"/>
          <w:jc w:val="center"/>
        </w:trPr>
        <w:tc>
          <w:tcPr>
            <w:tcW w:w="9639" w:type="dxa"/>
            <w:tcBorders>
              <w:top w:val="single" w:color="auto" w:sz="12" w:space="0"/>
            </w:tcBorders>
          </w:tcPr>
          <w:p>
            <w:pPr>
              <w:rPr>
                <w:rFonts w:asciiTheme="minorEastAsia" w:hAnsiTheme="minorEastAsia" w:eastAsiaTheme="minorEastAsia"/>
                <w:color w:val="auto"/>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szCs w:val="21"/>
                <w:highlight w:val="none"/>
              </w:rPr>
              <w:t>以框图方式表示。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3" w:hRule="atLeast"/>
          <w:jc w:val="center"/>
        </w:trPr>
        <w:tc>
          <w:tcPr>
            <w:tcW w:w="9639" w:type="dxa"/>
            <w:tcBorders>
              <w:bottom w:val="single" w:color="auto" w:sz="12" w:space="0"/>
            </w:tcBorders>
          </w:tcPr>
          <w:p>
            <w:pPr>
              <w:rPr>
                <w:rFonts w:asciiTheme="minorEastAsia" w:hAnsiTheme="minorEastAsia" w:eastAsiaTheme="minorEastAsia"/>
                <w:color w:val="auto"/>
                <w:sz w:val="24"/>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bl>
    <w:p>
      <w:pPr>
        <w:rPr>
          <w:color w:val="auto"/>
          <w:sz w:val="21"/>
          <w:highlight w:val="none"/>
        </w:rPr>
        <w:sectPr>
          <w:pgSz w:w="11907" w:h="16840"/>
          <w:pgMar w:top="1418" w:right="1191" w:bottom="1418" w:left="1191" w:header="873" w:footer="851" w:gutter="0"/>
          <w:cols w:space="720" w:num="1"/>
        </w:sectPr>
      </w:pPr>
    </w:p>
    <w:p>
      <w:pPr>
        <w:pStyle w:val="20"/>
        <w:spacing w:before="108" w:line="624" w:lineRule="auto"/>
        <w:ind w:left="4092" w:right="3702" w:hanging="572"/>
        <w:outlineLvl w:val="2"/>
        <w:rPr>
          <w:rFonts w:ascii="黑体" w:eastAsia="黑体"/>
          <w:color w:val="auto"/>
          <w:highlight w:val="none"/>
        </w:rPr>
      </w:pPr>
      <w:bookmarkStart w:id="4438" w:name="_Toc10170"/>
      <w:bookmarkStart w:id="4439" w:name="_Toc22236"/>
      <w:r>
        <w:rPr>
          <w:color w:val="auto"/>
          <w:highlight w:val="none"/>
        </w:rPr>
        <w:pict>
          <v:shape id="_x0000_s1032" o:spid="_x0000_s1032" o:spt="202" type="#_x0000_t202" style="position:absolute;left:0pt;margin-left:76.6pt;margin-top:76.9pt;height:518.4pt;width:447.45pt;mso-position-horizontal-relative:page;z-index:251685888;mso-width-relative:page;mso-height-relative:page;" filled="f" stroked="f" coordsize="21600,21600">
            <v:path/>
            <v:fill on="f" focussize="0,0"/>
            <v:stroke on="f" joinstyle="miter"/>
            <v:imagedata o:title=""/>
            <o:lock v:ext="edit"/>
            <v:textbox inset="0mm,0mm,0mm,0mm">
              <w:txbxContent>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552"/>
                    <w:gridCol w:w="1142"/>
                    <w:gridCol w:w="1706"/>
                    <w:gridCol w:w="1706"/>
                    <w:gridCol w:w="17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jc w:val="center"/>
                          <w:rPr>
                            <w:szCs w:val="21"/>
                          </w:rPr>
                        </w:pPr>
                        <w:r>
                          <w:rPr>
                            <w:rFonts w:hint="eastAsia"/>
                            <w:szCs w:val="21"/>
                          </w:rPr>
                          <w:t>项目或指标</w:t>
                        </w:r>
                      </w:p>
                    </w:tc>
                    <w:tc>
                      <w:tcPr>
                        <w:tcW w:w="1142" w:type="dxa"/>
                        <w:vAlign w:val="center"/>
                      </w:tcPr>
                      <w:p>
                        <w:pPr>
                          <w:spacing w:line="380" w:lineRule="exact"/>
                          <w:jc w:val="center"/>
                          <w:rPr>
                            <w:szCs w:val="21"/>
                          </w:rPr>
                        </w:pPr>
                        <w:r>
                          <w:rPr>
                            <w:rFonts w:hint="eastAsia"/>
                            <w:szCs w:val="21"/>
                          </w:rPr>
                          <w:t>单位</w:t>
                        </w:r>
                      </w:p>
                    </w:tc>
                    <w:tc>
                      <w:tcPr>
                        <w:tcW w:w="1706" w:type="dxa"/>
                        <w:vAlign w:val="center"/>
                      </w:tcPr>
                      <w:p>
                        <w:pPr>
                          <w:spacing w:line="380" w:lineRule="exact"/>
                          <w:jc w:val="center"/>
                          <w:rPr>
                            <w:szCs w:val="21"/>
                          </w:rPr>
                        </w:pPr>
                        <w:r>
                          <w:rPr>
                            <w:rFonts w:hint="eastAsia"/>
                            <w:sz w:val="24"/>
                            <w:u w:val="single"/>
                          </w:rPr>
                          <w:t xml:space="preserve">    </w:t>
                        </w:r>
                        <w:r>
                          <w:rPr>
                            <w:rFonts w:hint="eastAsia"/>
                            <w:szCs w:val="21"/>
                          </w:rPr>
                          <w:t>年</w:t>
                        </w:r>
                      </w:p>
                    </w:tc>
                    <w:tc>
                      <w:tcPr>
                        <w:tcW w:w="1706" w:type="dxa"/>
                        <w:vAlign w:val="center"/>
                      </w:tcPr>
                      <w:p>
                        <w:pPr>
                          <w:spacing w:line="380" w:lineRule="exact"/>
                          <w:jc w:val="center"/>
                          <w:rPr>
                            <w:szCs w:val="21"/>
                          </w:rPr>
                        </w:pPr>
                        <w:r>
                          <w:rPr>
                            <w:rFonts w:hint="eastAsia"/>
                            <w:sz w:val="24"/>
                            <w:u w:val="single"/>
                          </w:rPr>
                          <w:t xml:space="preserve">    </w:t>
                        </w:r>
                        <w:r>
                          <w:rPr>
                            <w:rFonts w:hint="eastAsia"/>
                            <w:szCs w:val="21"/>
                          </w:rPr>
                          <w:t>年</w:t>
                        </w:r>
                      </w:p>
                    </w:tc>
                    <w:tc>
                      <w:tcPr>
                        <w:tcW w:w="1706" w:type="dxa"/>
                        <w:vAlign w:val="center"/>
                      </w:tcPr>
                      <w:p>
                        <w:pPr>
                          <w:spacing w:line="380" w:lineRule="exact"/>
                          <w:jc w:val="center"/>
                          <w:rPr>
                            <w:szCs w:val="21"/>
                          </w:rPr>
                        </w:pPr>
                        <w:r>
                          <w:rPr>
                            <w:rFonts w:hint="eastAsia"/>
                            <w:sz w:val="24"/>
                            <w:u w:val="single"/>
                          </w:rPr>
                          <w:t xml:space="preserve">    </w:t>
                        </w:r>
                        <w:r>
                          <w:rPr>
                            <w:rFonts w:hint="eastAsia"/>
                            <w:szCs w:val="21"/>
                          </w:rPr>
                          <w:t>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一、注册资金</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二、净资产</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三、总资产</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四、固定资产</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五、流动资产</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六、流动负债</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七、负债合计</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八、营业收入</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九、净利润</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十、现金流量净额</w:t>
                        </w:r>
                      </w:p>
                    </w:tc>
                    <w:tc>
                      <w:tcPr>
                        <w:tcW w:w="1142" w:type="dxa"/>
                        <w:vAlign w:val="center"/>
                      </w:tcPr>
                      <w:p>
                        <w:pPr>
                          <w:spacing w:line="380" w:lineRule="exact"/>
                          <w:jc w:val="center"/>
                          <w:rPr>
                            <w:szCs w:val="21"/>
                          </w:rPr>
                        </w:pPr>
                        <w:r>
                          <w:rPr>
                            <w:rFonts w:hint="eastAsia"/>
                            <w:szCs w:val="21"/>
                          </w:rPr>
                          <w:t>万元</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rPr>
                            <w:szCs w:val="21"/>
                          </w:rPr>
                        </w:pPr>
                        <w:r>
                          <w:rPr>
                            <w:rFonts w:hint="eastAsia"/>
                            <w:szCs w:val="21"/>
                          </w:rPr>
                          <w:t>十一、主要财务指标</w:t>
                        </w:r>
                      </w:p>
                    </w:tc>
                    <w:tc>
                      <w:tcPr>
                        <w:tcW w:w="1142"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ind w:firstLine="187" w:firstLineChars="85"/>
                          <w:rPr>
                            <w:szCs w:val="21"/>
                          </w:rPr>
                        </w:pPr>
                        <w:r>
                          <w:rPr>
                            <w:rFonts w:hint="eastAsia"/>
                            <w:szCs w:val="21"/>
                          </w:rPr>
                          <w:t>1.净资产收益率</w:t>
                        </w:r>
                      </w:p>
                    </w:tc>
                    <w:tc>
                      <w:tcPr>
                        <w:tcW w:w="1142" w:type="dxa"/>
                        <w:vAlign w:val="center"/>
                      </w:tcPr>
                      <w:p>
                        <w:pPr>
                          <w:spacing w:line="380" w:lineRule="exact"/>
                          <w:jc w:val="center"/>
                          <w:rPr>
                            <w:szCs w:val="21"/>
                          </w:rPr>
                        </w:pPr>
                        <w:r>
                          <w:rPr>
                            <w:rFonts w:hint="eastAsia"/>
                            <w:szCs w:val="21"/>
                          </w:rPr>
                          <w:t>%</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ind w:firstLine="187" w:firstLineChars="85"/>
                          <w:rPr>
                            <w:szCs w:val="21"/>
                          </w:rPr>
                        </w:pPr>
                        <w:r>
                          <w:rPr>
                            <w:rFonts w:hint="eastAsia"/>
                            <w:szCs w:val="21"/>
                          </w:rPr>
                          <w:t>2.总资产报酬率</w:t>
                        </w:r>
                      </w:p>
                    </w:tc>
                    <w:tc>
                      <w:tcPr>
                        <w:tcW w:w="1142" w:type="dxa"/>
                        <w:vAlign w:val="center"/>
                      </w:tcPr>
                      <w:p>
                        <w:pPr>
                          <w:spacing w:line="380" w:lineRule="exact"/>
                          <w:jc w:val="center"/>
                          <w:rPr>
                            <w:szCs w:val="21"/>
                          </w:rPr>
                        </w:pPr>
                        <w:r>
                          <w:rPr>
                            <w:rFonts w:hint="eastAsia"/>
                            <w:szCs w:val="21"/>
                          </w:rPr>
                          <w:t>%</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ind w:firstLine="187" w:firstLineChars="85"/>
                          <w:rPr>
                            <w:szCs w:val="21"/>
                          </w:rPr>
                        </w:pPr>
                        <w:r>
                          <w:rPr>
                            <w:rFonts w:hint="eastAsia"/>
                            <w:szCs w:val="21"/>
                          </w:rPr>
                          <w:t>3.主营业务利润率</w:t>
                        </w:r>
                      </w:p>
                    </w:tc>
                    <w:tc>
                      <w:tcPr>
                        <w:tcW w:w="1142" w:type="dxa"/>
                        <w:vAlign w:val="center"/>
                      </w:tcPr>
                      <w:p>
                        <w:pPr>
                          <w:spacing w:line="380" w:lineRule="exact"/>
                          <w:jc w:val="center"/>
                          <w:rPr>
                            <w:szCs w:val="21"/>
                          </w:rPr>
                        </w:pPr>
                        <w:r>
                          <w:rPr>
                            <w:rFonts w:hint="eastAsia"/>
                            <w:szCs w:val="21"/>
                          </w:rPr>
                          <w:t>%</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ind w:firstLine="187" w:firstLineChars="85"/>
                          <w:rPr>
                            <w:szCs w:val="21"/>
                          </w:rPr>
                        </w:pPr>
                        <w:r>
                          <w:rPr>
                            <w:rFonts w:hint="eastAsia"/>
                            <w:szCs w:val="21"/>
                          </w:rPr>
                          <w:t>4.资产负债率</w:t>
                        </w:r>
                      </w:p>
                    </w:tc>
                    <w:tc>
                      <w:tcPr>
                        <w:tcW w:w="1142" w:type="dxa"/>
                        <w:vAlign w:val="center"/>
                      </w:tcPr>
                      <w:p>
                        <w:pPr>
                          <w:spacing w:line="380" w:lineRule="exact"/>
                          <w:jc w:val="center"/>
                          <w:rPr>
                            <w:szCs w:val="21"/>
                          </w:rPr>
                        </w:pPr>
                        <w:r>
                          <w:rPr>
                            <w:rFonts w:hint="eastAsia"/>
                            <w:szCs w:val="21"/>
                          </w:rPr>
                          <w:t>%</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ind w:firstLine="187" w:firstLineChars="85"/>
                          <w:rPr>
                            <w:szCs w:val="21"/>
                          </w:rPr>
                        </w:pPr>
                        <w:r>
                          <w:rPr>
                            <w:rFonts w:hint="eastAsia"/>
                            <w:szCs w:val="21"/>
                          </w:rPr>
                          <w:t>5.流动比率</w:t>
                        </w:r>
                      </w:p>
                    </w:tc>
                    <w:tc>
                      <w:tcPr>
                        <w:tcW w:w="1142" w:type="dxa"/>
                        <w:vAlign w:val="center"/>
                      </w:tcPr>
                      <w:p>
                        <w:pPr>
                          <w:spacing w:line="380" w:lineRule="exact"/>
                          <w:jc w:val="center"/>
                          <w:rPr>
                            <w:szCs w:val="21"/>
                          </w:rPr>
                        </w:pPr>
                        <w:r>
                          <w:rPr>
                            <w:rFonts w:hint="eastAsia"/>
                            <w:szCs w:val="21"/>
                          </w:rPr>
                          <w:t>%</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552" w:type="dxa"/>
                        <w:vAlign w:val="center"/>
                      </w:tcPr>
                      <w:p>
                        <w:pPr>
                          <w:spacing w:line="380" w:lineRule="exact"/>
                          <w:ind w:firstLine="187" w:firstLineChars="85"/>
                          <w:rPr>
                            <w:szCs w:val="21"/>
                          </w:rPr>
                        </w:pPr>
                        <w:r>
                          <w:rPr>
                            <w:rFonts w:hint="eastAsia"/>
                            <w:szCs w:val="21"/>
                          </w:rPr>
                          <w:t>6.速动比率</w:t>
                        </w:r>
                      </w:p>
                    </w:tc>
                    <w:tc>
                      <w:tcPr>
                        <w:tcW w:w="1142" w:type="dxa"/>
                        <w:vAlign w:val="center"/>
                      </w:tcPr>
                      <w:p>
                        <w:pPr>
                          <w:spacing w:line="380" w:lineRule="exact"/>
                          <w:jc w:val="center"/>
                          <w:rPr>
                            <w:szCs w:val="21"/>
                          </w:rPr>
                        </w:pPr>
                        <w:r>
                          <w:rPr>
                            <w:rFonts w:hint="eastAsia"/>
                            <w:szCs w:val="21"/>
                          </w:rPr>
                          <w:t>%</w:t>
                        </w: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c>
                      <w:tcPr>
                        <w:tcW w:w="1706" w:type="dxa"/>
                        <w:vAlign w:val="center"/>
                      </w:tcPr>
                      <w:p>
                        <w:pPr>
                          <w:spacing w:line="380" w:lineRule="exact"/>
                          <w:jc w:val="center"/>
                          <w:rPr>
                            <w:szCs w:val="21"/>
                          </w:rPr>
                        </w:pPr>
                      </w:p>
                    </w:tc>
                  </w:tr>
                </w:tbl>
                <w:p>
                  <w:pPr>
                    <w:pStyle w:val="20"/>
                  </w:pPr>
                </w:p>
              </w:txbxContent>
            </v:textbox>
          </v:shape>
        </w:pict>
      </w:r>
      <w:bookmarkStart w:id="4440" w:name="_bookmark313"/>
      <w:bookmarkEnd w:id="4440"/>
      <w:r>
        <w:rPr>
          <w:rFonts w:hint="eastAsia" w:ascii="黑体" w:eastAsia="黑体"/>
          <w:color w:val="auto"/>
          <w:highlight w:val="none"/>
        </w:rPr>
        <w:t>（三）近年财务状况财务状况表</w:t>
      </w:r>
      <w:bookmarkEnd w:id="4438"/>
      <w:bookmarkEnd w:id="4439"/>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pStyle w:val="20"/>
        <w:rPr>
          <w:rFonts w:ascii="黑体"/>
          <w:color w:val="auto"/>
          <w:highlight w:val="none"/>
        </w:rPr>
      </w:pPr>
    </w:p>
    <w:p>
      <w:pPr>
        <w:spacing w:before="179"/>
        <w:ind w:left="264"/>
        <w:rPr>
          <w:color w:val="auto"/>
          <w:sz w:val="21"/>
          <w:highlight w:val="none"/>
        </w:rPr>
      </w:pPr>
      <w:r>
        <w:rPr>
          <w:color w:val="auto"/>
          <w:sz w:val="21"/>
          <w:highlight w:val="none"/>
        </w:rPr>
        <w:t>注：</w:t>
      </w:r>
      <w:r>
        <w:rPr>
          <w:rFonts w:ascii="Times New Roman" w:hAnsi="Times New Roman" w:eastAsia="Times New Roman"/>
          <w:color w:val="auto"/>
          <w:sz w:val="21"/>
          <w:highlight w:val="none"/>
        </w:rPr>
        <w:t>1.</w:t>
      </w:r>
      <w:r>
        <w:rPr>
          <w:color w:val="auto"/>
          <w:sz w:val="21"/>
          <w:highlight w:val="none"/>
        </w:rPr>
        <w:t xml:space="preserve">投标人应根据招标文件第二章“投标人须知”第 </w:t>
      </w:r>
      <w:r>
        <w:rPr>
          <w:rFonts w:ascii="Times New Roman" w:hAnsi="Times New Roman" w:eastAsia="Times New Roman"/>
          <w:color w:val="auto"/>
          <w:sz w:val="21"/>
          <w:highlight w:val="none"/>
        </w:rPr>
        <w:t xml:space="preserve">3.5.2 </w:t>
      </w:r>
      <w:r>
        <w:rPr>
          <w:color w:val="auto"/>
          <w:sz w:val="21"/>
          <w:highlight w:val="none"/>
        </w:rPr>
        <w:t>项的要求在本表后附相关证明材料。</w:t>
      </w:r>
    </w:p>
    <w:p>
      <w:pPr>
        <w:spacing w:before="132"/>
        <w:ind w:left="684"/>
        <w:rPr>
          <w:color w:val="auto"/>
          <w:sz w:val="21"/>
          <w:highlight w:val="none"/>
        </w:rPr>
      </w:pPr>
      <w:r>
        <w:rPr>
          <w:rFonts w:ascii="Times New Roman" w:eastAsia="Times New Roman"/>
          <w:color w:val="auto"/>
          <w:sz w:val="21"/>
          <w:highlight w:val="none"/>
        </w:rPr>
        <w:t>2.</w:t>
      </w:r>
      <w:r>
        <w:rPr>
          <w:color w:val="auto"/>
          <w:sz w:val="21"/>
          <w:highlight w:val="none"/>
        </w:rPr>
        <w:t>本表所列数据必须与本表各附件中的数据相一致。</w:t>
      </w:r>
    </w:p>
    <w:p>
      <w:pPr>
        <w:pStyle w:val="20"/>
        <w:spacing w:before="8"/>
        <w:rPr>
          <w:color w:val="auto"/>
          <w:sz w:val="13"/>
          <w:highlight w:val="none"/>
        </w:rPr>
        <w:sectPr>
          <w:footerReference r:id="rId55" w:type="default"/>
          <w:footerReference r:id="rId56" w:type="even"/>
          <w:pgSz w:w="11907" w:h="16840"/>
          <w:pgMar w:top="1418" w:right="1191" w:bottom="1418" w:left="1191" w:header="873" w:footer="851" w:gutter="0"/>
          <w:cols w:space="720" w:num="1"/>
        </w:sectPr>
      </w:pPr>
    </w:p>
    <w:p>
      <w:pPr>
        <w:spacing w:line="360" w:lineRule="auto"/>
        <w:jc w:val="center"/>
        <w:rPr>
          <w:rFonts w:ascii="黑体" w:eastAsia="黑体"/>
          <w:color w:val="auto"/>
          <w:sz w:val="24"/>
          <w:szCs w:val="24"/>
          <w:highlight w:val="none"/>
        </w:rPr>
      </w:pPr>
      <w:r>
        <w:rPr>
          <w:rFonts w:hint="eastAsia" w:ascii="黑体" w:eastAsia="黑体"/>
          <w:color w:val="auto"/>
          <w:sz w:val="24"/>
          <w:szCs w:val="24"/>
          <w:highlight w:val="none"/>
        </w:rPr>
        <w:t>银行信贷证明（如有）</w:t>
      </w:r>
    </w:p>
    <w:p>
      <w:pPr>
        <w:spacing w:line="360" w:lineRule="auto"/>
        <w:ind w:firstLine="540" w:firstLineChars="224"/>
        <w:jc w:val="center"/>
        <w:rPr>
          <w:b/>
          <w:color w:val="auto"/>
          <w:sz w:val="24"/>
          <w:highlight w:val="none"/>
        </w:rPr>
      </w:pPr>
    </w:p>
    <w:p>
      <w:pPr>
        <w:spacing w:line="360" w:lineRule="auto"/>
        <w:rPr>
          <w:color w:val="auto"/>
          <w:sz w:val="24"/>
          <w:highlight w:val="none"/>
        </w:rPr>
      </w:pPr>
      <w:r>
        <w:rPr>
          <w:rFonts w:hint="eastAsia"/>
          <w:color w:val="auto"/>
          <w:sz w:val="24"/>
          <w:highlight w:val="none"/>
        </w:rPr>
        <w:t>银行名称：</w:t>
      </w:r>
      <w:r>
        <w:rPr>
          <w:rFonts w:hint="eastAsia"/>
          <w:color w:val="auto"/>
          <w:sz w:val="24"/>
          <w:highlight w:val="none"/>
          <w:u w:val="single"/>
        </w:rPr>
        <w:t xml:space="preserve">               </w:t>
      </w:r>
    </w:p>
    <w:p>
      <w:pPr>
        <w:spacing w:line="360" w:lineRule="auto"/>
        <w:rPr>
          <w:color w:val="auto"/>
          <w:sz w:val="24"/>
          <w:highlight w:val="none"/>
        </w:rPr>
      </w:pPr>
      <w:r>
        <w:rPr>
          <w:rFonts w:hint="eastAsia"/>
          <w:color w:val="auto"/>
          <w:sz w:val="24"/>
          <w:highlight w:val="none"/>
        </w:rPr>
        <w:t>地    址：</w:t>
      </w:r>
      <w:r>
        <w:rPr>
          <w:rFonts w:hint="eastAsia"/>
          <w:color w:val="auto"/>
          <w:sz w:val="24"/>
          <w:highlight w:val="none"/>
          <w:u w:val="single"/>
        </w:rPr>
        <w:t xml:space="preserve">               </w:t>
      </w:r>
    </w:p>
    <w:p>
      <w:pPr>
        <w:spacing w:line="360" w:lineRule="auto"/>
        <w:ind w:firstLine="6120" w:firstLineChars="2550"/>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p>
    <w:p>
      <w:pPr>
        <w:spacing w:line="360" w:lineRule="auto"/>
        <w:rPr>
          <w:color w:val="auto"/>
          <w:sz w:val="24"/>
          <w:highlight w:val="none"/>
        </w:rPr>
      </w:pPr>
    </w:p>
    <w:p>
      <w:pPr>
        <w:spacing w:afterLines="100" w:line="360" w:lineRule="auto"/>
        <w:rPr>
          <w:color w:val="auto"/>
          <w:sz w:val="24"/>
          <w:highlight w:val="none"/>
          <w:u w:val="single"/>
        </w:rPr>
      </w:pPr>
      <w:r>
        <w:rPr>
          <w:rFonts w:hint="eastAsia"/>
          <w:color w:val="auto"/>
          <w:sz w:val="24"/>
          <w:highlight w:val="none"/>
        </w:rPr>
        <w:t>致：</w:t>
      </w:r>
      <w:r>
        <w:rPr>
          <w:rFonts w:hint="eastAsia"/>
          <w:color w:val="auto"/>
          <w:sz w:val="24"/>
          <w:highlight w:val="none"/>
          <w:u w:val="single"/>
        </w:rPr>
        <w:t>（招标人全称）</w:t>
      </w:r>
    </w:p>
    <w:p>
      <w:pPr>
        <w:spacing w:line="360" w:lineRule="auto"/>
        <w:ind w:firstLine="537" w:firstLineChars="224"/>
        <w:rPr>
          <w:color w:val="auto"/>
          <w:sz w:val="24"/>
          <w:highlight w:val="none"/>
        </w:rPr>
      </w:pPr>
      <w:r>
        <w:rPr>
          <w:rFonts w:hint="eastAsia"/>
          <w:color w:val="auto"/>
          <w:sz w:val="24"/>
          <w:highlight w:val="none"/>
        </w:rPr>
        <w:t>兹开具最高限额为人民币</w:t>
      </w:r>
      <w:r>
        <w:rPr>
          <w:rFonts w:hint="eastAsia"/>
          <w:color w:val="auto"/>
          <w:sz w:val="24"/>
          <w:highlight w:val="none"/>
          <w:u w:val="single"/>
        </w:rPr>
        <w:t xml:space="preserve">      </w:t>
      </w:r>
      <w:r>
        <w:rPr>
          <w:rFonts w:hint="eastAsia"/>
          <w:color w:val="auto"/>
          <w:sz w:val="24"/>
          <w:highlight w:val="none"/>
        </w:rPr>
        <w:t>万元的银行信贷，供</w:t>
      </w:r>
      <w:r>
        <w:rPr>
          <w:rFonts w:hint="eastAsia"/>
          <w:color w:val="auto"/>
          <w:sz w:val="24"/>
          <w:highlight w:val="none"/>
          <w:u w:val="single"/>
        </w:rPr>
        <w:t xml:space="preserve">               </w:t>
      </w:r>
      <w:r>
        <w:rPr>
          <w:rFonts w:hint="eastAsia"/>
          <w:color w:val="auto"/>
          <w:sz w:val="24"/>
          <w:highlight w:val="none"/>
        </w:rPr>
        <w:t>（投标人注册地点）</w:t>
      </w:r>
      <w:r>
        <w:rPr>
          <w:rFonts w:hint="eastAsia"/>
          <w:color w:val="auto"/>
          <w:sz w:val="24"/>
          <w:highlight w:val="none"/>
          <w:u w:val="single"/>
        </w:rPr>
        <w:t xml:space="preserve">               </w:t>
      </w:r>
      <w:r>
        <w:rPr>
          <w:rFonts w:hint="eastAsia"/>
          <w:color w:val="auto"/>
          <w:sz w:val="24"/>
          <w:highlight w:val="none"/>
        </w:rPr>
        <w:t>（投标人名称）于</w:t>
      </w:r>
      <w:r>
        <w:rPr>
          <w:rFonts w:hint="eastAsia"/>
          <w:color w:val="auto"/>
          <w:sz w:val="24"/>
          <w:highlight w:val="none"/>
          <w:u w:val="singl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日之前，在</w:t>
      </w:r>
      <w:r>
        <w:rPr>
          <w:rFonts w:hint="eastAsia"/>
          <w:color w:val="auto"/>
          <w:sz w:val="24"/>
          <w:highlight w:val="none"/>
          <w:u w:val="single"/>
        </w:rPr>
        <w:t xml:space="preserve">               </w:t>
      </w:r>
      <w:r>
        <w:rPr>
          <w:rFonts w:hint="eastAsia"/>
          <w:color w:val="auto"/>
          <w:sz w:val="24"/>
          <w:highlight w:val="none"/>
        </w:rPr>
        <w:t>（项目名称）需要时使用。我行保证由</w:t>
      </w:r>
      <w:r>
        <w:rPr>
          <w:rFonts w:hint="eastAsia"/>
          <w:color w:val="auto"/>
          <w:sz w:val="24"/>
          <w:highlight w:val="none"/>
          <w:u w:val="single"/>
        </w:rPr>
        <w:t xml:space="preserve">               </w:t>
      </w:r>
      <w:r>
        <w:rPr>
          <w:rFonts w:hint="eastAsia"/>
          <w:color w:val="auto"/>
          <w:sz w:val="24"/>
          <w:highlight w:val="none"/>
        </w:rPr>
        <w:t>（投标人名称）提供的财务报表中所开列的作为流动资产的各项无一项包含在上述提到的银行信贷中。</w:t>
      </w:r>
    </w:p>
    <w:p>
      <w:pPr>
        <w:spacing w:line="360" w:lineRule="auto"/>
        <w:ind w:firstLine="537" w:firstLineChars="224"/>
        <w:rPr>
          <w:color w:val="auto"/>
          <w:sz w:val="24"/>
          <w:highlight w:val="none"/>
        </w:rPr>
      </w:pPr>
      <w:r>
        <w:rPr>
          <w:rFonts w:hint="eastAsia"/>
          <w:color w:val="auto"/>
          <w:sz w:val="24"/>
          <w:highlight w:val="none"/>
        </w:rPr>
        <w:t>此项目若未中标，该信贷证明自动失效，无需退回我行。</w:t>
      </w:r>
    </w:p>
    <w:p>
      <w:pPr>
        <w:spacing w:line="360" w:lineRule="auto"/>
        <w:ind w:firstLine="537" w:firstLineChars="224"/>
        <w:rPr>
          <w:color w:val="auto"/>
          <w:sz w:val="24"/>
          <w:highlight w:val="none"/>
        </w:rPr>
      </w:pPr>
    </w:p>
    <w:p>
      <w:pPr>
        <w:spacing w:line="360" w:lineRule="auto"/>
        <w:ind w:firstLine="537" w:firstLineChars="224"/>
        <w:rPr>
          <w:color w:val="auto"/>
          <w:sz w:val="24"/>
          <w:highlight w:val="none"/>
        </w:rPr>
      </w:pPr>
    </w:p>
    <w:p>
      <w:pPr>
        <w:spacing w:line="360" w:lineRule="auto"/>
        <w:ind w:firstLine="3820" w:firstLineChars="1592"/>
        <w:rPr>
          <w:color w:val="auto"/>
          <w:sz w:val="24"/>
          <w:highlight w:val="none"/>
        </w:rPr>
      </w:pPr>
      <w:r>
        <w:rPr>
          <w:rFonts w:hint="eastAsia"/>
          <w:color w:val="auto"/>
          <w:sz w:val="24"/>
          <w:highlight w:val="none"/>
        </w:rPr>
        <w:t>银      行（盖单位章）：</w:t>
      </w:r>
      <w:r>
        <w:rPr>
          <w:rFonts w:hint="eastAsia"/>
          <w:color w:val="auto"/>
          <w:sz w:val="24"/>
          <w:highlight w:val="none"/>
          <w:u w:val="single"/>
        </w:rPr>
        <w:t xml:space="preserve">               </w:t>
      </w:r>
    </w:p>
    <w:p>
      <w:pPr>
        <w:spacing w:line="360" w:lineRule="auto"/>
        <w:ind w:firstLine="3820" w:firstLineChars="1592"/>
        <w:rPr>
          <w:color w:val="auto"/>
          <w:sz w:val="24"/>
          <w:highlight w:val="none"/>
        </w:rPr>
      </w:pPr>
      <w:r>
        <w:rPr>
          <w:rFonts w:hint="eastAsia"/>
          <w:color w:val="auto"/>
          <w:sz w:val="24"/>
          <w:highlight w:val="none"/>
        </w:rPr>
        <w:t>银行主要负责人（签字）：</w:t>
      </w:r>
      <w:r>
        <w:rPr>
          <w:rFonts w:hint="eastAsia"/>
          <w:color w:val="auto"/>
          <w:sz w:val="24"/>
          <w:highlight w:val="none"/>
          <w:u w:val="single"/>
        </w:rPr>
        <w:t xml:space="preserve">               </w:t>
      </w:r>
    </w:p>
    <w:p>
      <w:pPr>
        <w:wordWrap w:val="0"/>
        <w:spacing w:line="360" w:lineRule="auto"/>
        <w:ind w:right="360" w:firstLine="3820" w:firstLineChars="1592"/>
        <w:jc w:val="right"/>
        <w:rPr>
          <w:color w:val="auto"/>
          <w:sz w:val="24"/>
          <w:highlight w:val="none"/>
          <w:u w:val="single"/>
        </w:rPr>
      </w:pPr>
      <w:r>
        <w:rPr>
          <w:rFonts w:hint="eastAsia"/>
          <w:color w:val="auto"/>
          <w:sz w:val="24"/>
          <w:highlight w:val="none"/>
        </w:rPr>
        <w:t>银行主要负责人的姓名、职务：</w:t>
      </w:r>
      <w:r>
        <w:rPr>
          <w:rFonts w:hint="eastAsia"/>
          <w:color w:val="auto"/>
          <w:sz w:val="24"/>
          <w:highlight w:val="none"/>
          <w:u w:val="single"/>
        </w:rPr>
        <w:t xml:space="preserve">（打印）   </w:t>
      </w:r>
    </w:p>
    <w:p>
      <w:pPr>
        <w:spacing w:line="360" w:lineRule="auto"/>
        <w:ind w:firstLine="3820" w:firstLineChars="1592"/>
        <w:rPr>
          <w:color w:val="auto"/>
          <w:sz w:val="24"/>
          <w:highlight w:val="none"/>
        </w:rPr>
      </w:pPr>
      <w:r>
        <w:rPr>
          <w:rFonts w:hint="eastAsia"/>
          <w:color w:val="auto"/>
          <w:sz w:val="24"/>
          <w:highlight w:val="none"/>
        </w:rPr>
        <w:t>银     行    电    话：</w:t>
      </w:r>
      <w:r>
        <w:rPr>
          <w:rFonts w:hint="eastAsia"/>
          <w:color w:val="auto"/>
          <w:sz w:val="24"/>
          <w:highlight w:val="none"/>
          <w:u w:val="single"/>
        </w:rPr>
        <w:t xml:space="preserve">               </w:t>
      </w:r>
    </w:p>
    <w:p>
      <w:pPr>
        <w:spacing w:line="360" w:lineRule="auto"/>
        <w:ind w:firstLine="3820" w:firstLineChars="1592"/>
        <w:rPr>
          <w:color w:val="auto"/>
          <w:sz w:val="24"/>
          <w:highlight w:val="none"/>
        </w:rPr>
      </w:pPr>
      <w:r>
        <w:rPr>
          <w:rFonts w:hint="eastAsia"/>
          <w:color w:val="auto"/>
          <w:sz w:val="24"/>
          <w:highlight w:val="none"/>
        </w:rPr>
        <w:t>银     行    传    真：</w:t>
      </w:r>
      <w:r>
        <w:rPr>
          <w:rFonts w:hint="eastAsia"/>
          <w:color w:val="auto"/>
          <w:sz w:val="24"/>
          <w:highlight w:val="none"/>
          <w:u w:val="single"/>
        </w:rPr>
        <w:t xml:space="preserve">               </w:t>
      </w:r>
    </w:p>
    <w:p>
      <w:pPr>
        <w:spacing w:line="360" w:lineRule="auto"/>
        <w:ind w:firstLine="537" w:firstLineChars="224"/>
        <w:rPr>
          <w:color w:val="auto"/>
          <w:sz w:val="24"/>
          <w:highlight w:val="none"/>
        </w:rPr>
      </w:pPr>
    </w:p>
    <w:p>
      <w:pPr>
        <w:spacing w:line="360" w:lineRule="auto"/>
        <w:ind w:firstLine="537" w:firstLineChars="224"/>
        <w:rPr>
          <w:color w:val="auto"/>
          <w:sz w:val="24"/>
          <w:highlight w:val="none"/>
        </w:rPr>
      </w:pPr>
    </w:p>
    <w:p>
      <w:pPr>
        <w:spacing w:line="360" w:lineRule="auto"/>
        <w:ind w:firstLine="537" w:firstLineChars="224"/>
        <w:rPr>
          <w:color w:val="auto"/>
          <w:sz w:val="24"/>
          <w:highlight w:val="none"/>
        </w:rPr>
      </w:pPr>
    </w:p>
    <w:p>
      <w:pPr>
        <w:spacing w:line="360" w:lineRule="auto"/>
        <w:ind w:firstLine="537" w:firstLineChars="224"/>
        <w:rPr>
          <w:color w:val="auto"/>
          <w:sz w:val="24"/>
          <w:highlight w:val="none"/>
        </w:rPr>
      </w:pPr>
    </w:p>
    <w:p>
      <w:pPr>
        <w:spacing w:line="360" w:lineRule="auto"/>
        <w:rPr>
          <w:color w:val="auto"/>
          <w:szCs w:val="21"/>
          <w:highlight w:val="none"/>
        </w:rPr>
      </w:pPr>
    </w:p>
    <w:p>
      <w:pPr>
        <w:spacing w:line="360" w:lineRule="auto"/>
        <w:ind w:firstLine="376" w:firstLineChars="171"/>
        <w:rPr>
          <w:color w:val="auto"/>
          <w:szCs w:val="21"/>
          <w:highlight w:val="none"/>
        </w:rPr>
      </w:pPr>
      <w:r>
        <w:rPr>
          <w:rFonts w:hint="eastAsia"/>
          <w:color w:val="auto"/>
          <w:szCs w:val="21"/>
          <w:highlight w:val="none"/>
        </w:rPr>
        <w:t>注：1.允许投标人实际开具的银行信贷证明的格式与《公路工程标准施工招标文件》提供的格式有所不同，但不得更改《公路工程标准施工招标文件》提供的银行信贷证明格式中的实质性内容。</w:t>
      </w:r>
    </w:p>
    <w:p>
      <w:pPr>
        <w:pStyle w:val="20"/>
        <w:spacing w:before="8"/>
        <w:ind w:firstLine="960" w:firstLineChars="400"/>
        <w:rPr>
          <w:color w:val="auto"/>
          <w:sz w:val="13"/>
          <w:highlight w:val="none"/>
        </w:rPr>
        <w:sectPr>
          <w:pgSz w:w="11907" w:h="16840"/>
          <w:pgMar w:top="1418" w:right="1191" w:bottom="1418" w:left="1191" w:header="873" w:footer="851" w:gutter="0"/>
          <w:cols w:space="720" w:num="1"/>
        </w:sectPr>
      </w:pPr>
      <w:r>
        <w:rPr>
          <w:rFonts w:hint="eastAsia"/>
          <w:color w:val="auto"/>
          <w:szCs w:val="21"/>
          <w:highlight w:val="none"/>
        </w:rPr>
        <w:t>2.</w:t>
      </w:r>
      <w:r>
        <w:rPr>
          <w:rFonts w:hint="eastAsia"/>
          <w:color w:val="auto"/>
          <w:spacing w:val="-2"/>
          <w:szCs w:val="21"/>
          <w:highlight w:val="none"/>
        </w:rPr>
        <w:t>银行主要负责人应亲笔签名，不得使用印章、签名章或其他电子制版签名，否则，视为无效。</w:t>
      </w:r>
    </w:p>
    <w:p>
      <w:pPr>
        <w:pStyle w:val="20"/>
        <w:spacing w:before="108"/>
        <w:ind w:left="2801"/>
        <w:outlineLvl w:val="2"/>
        <w:rPr>
          <w:rFonts w:ascii="黑体" w:eastAsia="黑体"/>
          <w:color w:val="auto"/>
          <w:highlight w:val="none"/>
        </w:rPr>
      </w:pPr>
      <w:bookmarkStart w:id="4441" w:name="_bookmark314"/>
      <w:bookmarkEnd w:id="4441"/>
      <w:bookmarkStart w:id="4442" w:name="_Toc25076"/>
      <w:bookmarkStart w:id="4443" w:name="_Toc2724"/>
      <w:r>
        <w:rPr>
          <w:rFonts w:hint="eastAsia" w:ascii="黑体" w:eastAsia="黑体"/>
          <w:color w:val="auto"/>
          <w:highlight w:val="none"/>
        </w:rPr>
        <w:t>（四）近年完成的类似项目情况表</w:t>
      </w:r>
      <w:bookmarkEnd w:id="4442"/>
      <w:bookmarkEnd w:id="4443"/>
    </w:p>
    <w:p>
      <w:pPr>
        <w:pStyle w:val="20"/>
        <w:rPr>
          <w:rFonts w:ascii="黑体"/>
          <w:color w:val="auto"/>
          <w:sz w:val="20"/>
          <w:highlight w:val="none"/>
        </w:rPr>
      </w:pPr>
    </w:p>
    <w:p>
      <w:pPr>
        <w:pStyle w:val="20"/>
        <w:spacing w:before="5"/>
        <w:rPr>
          <w:rFonts w:ascii="黑体"/>
          <w:color w:val="auto"/>
          <w:sz w:val="14"/>
          <w:highlight w:val="none"/>
        </w:rPr>
      </w:pPr>
    </w:p>
    <w:tbl>
      <w:tblPr>
        <w:tblStyle w:val="47"/>
        <w:tblW w:w="8894"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7"/>
        <w:gridCol w:w="6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1"/>
              <w:rPr>
                <w:rFonts w:ascii="黑体"/>
                <w:color w:val="auto"/>
                <w:sz w:val="20"/>
                <w:highlight w:val="none"/>
              </w:rPr>
            </w:pPr>
          </w:p>
          <w:p>
            <w:pPr>
              <w:pStyle w:val="87"/>
              <w:tabs>
                <w:tab w:val="left" w:pos="642"/>
              </w:tabs>
              <w:ind w:left="11"/>
              <w:jc w:val="center"/>
              <w:rPr>
                <w:color w:val="auto"/>
                <w:sz w:val="21"/>
                <w:highlight w:val="none"/>
              </w:rPr>
            </w:pPr>
            <w:r>
              <w:rPr>
                <w:color w:val="auto"/>
                <w:sz w:val="21"/>
                <w:highlight w:val="none"/>
              </w:rPr>
              <w:t>序</w:t>
            </w:r>
            <w:r>
              <w:rPr>
                <w:color w:val="auto"/>
                <w:sz w:val="21"/>
                <w:highlight w:val="none"/>
              </w:rPr>
              <w:tab/>
            </w:r>
            <w:r>
              <w:rPr>
                <w:color w:val="auto"/>
                <w:sz w:val="21"/>
                <w:highlight w:val="none"/>
              </w:rPr>
              <w:t>号</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11"/>
              <w:rPr>
                <w:rFonts w:ascii="黑体"/>
                <w:color w:val="auto"/>
                <w:sz w:val="20"/>
                <w:highlight w:val="none"/>
              </w:rPr>
            </w:pPr>
          </w:p>
          <w:p>
            <w:pPr>
              <w:pStyle w:val="87"/>
              <w:ind w:left="4"/>
              <w:jc w:val="center"/>
              <w:rPr>
                <w:color w:val="auto"/>
                <w:sz w:val="20"/>
                <w:highlight w:val="none"/>
              </w:rPr>
            </w:pPr>
            <w:r>
              <w:rPr>
                <w:color w:val="auto"/>
                <w:sz w:val="20"/>
                <w:highlight w:val="none"/>
              </w:rPr>
              <w:t>项目名称</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5"/>
              <w:rPr>
                <w:rFonts w:ascii="黑体"/>
                <w:color w:val="auto"/>
                <w:sz w:val="18"/>
                <w:highlight w:val="none"/>
              </w:rPr>
            </w:pPr>
          </w:p>
          <w:p>
            <w:pPr>
              <w:pStyle w:val="87"/>
              <w:spacing w:before="1"/>
              <w:ind w:left="3"/>
              <w:jc w:val="center"/>
              <w:rPr>
                <w:color w:val="auto"/>
                <w:sz w:val="20"/>
                <w:highlight w:val="none"/>
              </w:rPr>
            </w:pPr>
            <w:r>
              <w:rPr>
                <w:color w:val="auto"/>
                <w:sz w:val="20"/>
                <w:highlight w:val="none"/>
              </w:rPr>
              <w:t>项目所在地</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8"/>
              <w:rPr>
                <w:rFonts w:ascii="黑体"/>
                <w:color w:val="auto"/>
                <w:sz w:val="18"/>
                <w:highlight w:val="none"/>
              </w:rPr>
            </w:pPr>
          </w:p>
          <w:p>
            <w:pPr>
              <w:pStyle w:val="87"/>
              <w:spacing w:before="1"/>
              <w:ind w:left="3"/>
              <w:jc w:val="center"/>
              <w:rPr>
                <w:color w:val="auto"/>
                <w:sz w:val="20"/>
                <w:highlight w:val="none"/>
              </w:rPr>
            </w:pPr>
            <w:r>
              <w:rPr>
                <w:color w:val="auto"/>
                <w:sz w:val="20"/>
                <w:highlight w:val="none"/>
              </w:rPr>
              <w:t>发包人名称</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5"/>
              <w:rPr>
                <w:rFonts w:ascii="黑体"/>
                <w:color w:val="auto"/>
                <w:sz w:val="18"/>
                <w:highlight w:val="none"/>
              </w:rPr>
            </w:pPr>
          </w:p>
          <w:p>
            <w:pPr>
              <w:pStyle w:val="87"/>
              <w:spacing w:before="1"/>
              <w:ind w:left="3"/>
              <w:jc w:val="center"/>
              <w:rPr>
                <w:color w:val="auto"/>
                <w:sz w:val="20"/>
                <w:highlight w:val="none"/>
              </w:rPr>
            </w:pPr>
            <w:r>
              <w:rPr>
                <w:color w:val="auto"/>
                <w:sz w:val="20"/>
                <w:highlight w:val="none"/>
              </w:rPr>
              <w:t>发包人地址</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10"/>
              <w:rPr>
                <w:rFonts w:ascii="黑体"/>
                <w:color w:val="auto"/>
                <w:sz w:val="18"/>
                <w:highlight w:val="none"/>
              </w:rPr>
            </w:pPr>
          </w:p>
          <w:p>
            <w:pPr>
              <w:pStyle w:val="87"/>
              <w:ind w:left="3"/>
              <w:jc w:val="center"/>
              <w:rPr>
                <w:color w:val="auto"/>
                <w:sz w:val="20"/>
                <w:highlight w:val="none"/>
              </w:rPr>
            </w:pPr>
            <w:r>
              <w:rPr>
                <w:color w:val="auto"/>
                <w:sz w:val="20"/>
                <w:highlight w:val="none"/>
              </w:rPr>
              <w:t>发包人电话</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8"/>
              <w:rPr>
                <w:rFonts w:ascii="黑体"/>
                <w:color w:val="auto"/>
                <w:sz w:val="18"/>
                <w:highlight w:val="none"/>
              </w:rPr>
            </w:pPr>
          </w:p>
          <w:p>
            <w:pPr>
              <w:pStyle w:val="87"/>
              <w:ind w:left="4"/>
              <w:jc w:val="center"/>
              <w:rPr>
                <w:color w:val="auto"/>
                <w:sz w:val="20"/>
                <w:highlight w:val="none"/>
              </w:rPr>
            </w:pPr>
            <w:r>
              <w:rPr>
                <w:color w:val="auto"/>
                <w:sz w:val="20"/>
                <w:highlight w:val="none"/>
              </w:rPr>
              <w:t>合同价格</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5"/>
              <w:rPr>
                <w:rFonts w:ascii="黑体"/>
                <w:color w:val="auto"/>
                <w:sz w:val="18"/>
                <w:highlight w:val="none"/>
              </w:rPr>
            </w:pPr>
          </w:p>
          <w:p>
            <w:pPr>
              <w:pStyle w:val="87"/>
              <w:spacing w:before="1"/>
              <w:ind w:left="4"/>
              <w:jc w:val="center"/>
              <w:rPr>
                <w:color w:val="auto"/>
                <w:sz w:val="20"/>
                <w:highlight w:val="none"/>
              </w:rPr>
            </w:pPr>
            <w:r>
              <w:rPr>
                <w:color w:val="auto"/>
                <w:sz w:val="20"/>
                <w:highlight w:val="none"/>
              </w:rPr>
              <w:t>开工日期</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3"/>
              <w:rPr>
                <w:rFonts w:ascii="黑体"/>
                <w:color w:val="auto"/>
                <w:sz w:val="19"/>
                <w:highlight w:val="none"/>
              </w:rPr>
            </w:pPr>
          </w:p>
          <w:p>
            <w:pPr>
              <w:pStyle w:val="87"/>
              <w:ind w:left="4"/>
              <w:jc w:val="center"/>
              <w:rPr>
                <w:color w:val="auto"/>
                <w:sz w:val="20"/>
                <w:highlight w:val="none"/>
              </w:rPr>
            </w:pPr>
            <w:r>
              <w:rPr>
                <w:color w:val="auto"/>
                <w:sz w:val="20"/>
                <w:highlight w:val="none"/>
              </w:rPr>
              <w:t>交工日期</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5"/>
              <w:rPr>
                <w:rFonts w:ascii="黑体"/>
                <w:color w:val="auto"/>
                <w:sz w:val="18"/>
                <w:highlight w:val="none"/>
              </w:rPr>
            </w:pPr>
          </w:p>
          <w:p>
            <w:pPr>
              <w:pStyle w:val="87"/>
              <w:spacing w:before="1"/>
              <w:ind w:left="3"/>
              <w:jc w:val="center"/>
              <w:rPr>
                <w:color w:val="auto"/>
                <w:sz w:val="20"/>
                <w:highlight w:val="none"/>
              </w:rPr>
            </w:pPr>
            <w:r>
              <w:rPr>
                <w:color w:val="auto"/>
                <w:sz w:val="20"/>
                <w:highlight w:val="none"/>
              </w:rPr>
              <w:t>承担的工作</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8"/>
              <w:rPr>
                <w:rFonts w:ascii="黑体"/>
                <w:color w:val="auto"/>
                <w:sz w:val="18"/>
                <w:highlight w:val="none"/>
              </w:rPr>
            </w:pPr>
          </w:p>
          <w:p>
            <w:pPr>
              <w:pStyle w:val="87"/>
              <w:ind w:left="4"/>
              <w:jc w:val="center"/>
              <w:rPr>
                <w:color w:val="auto"/>
                <w:sz w:val="20"/>
                <w:highlight w:val="none"/>
              </w:rPr>
            </w:pPr>
            <w:r>
              <w:rPr>
                <w:color w:val="auto"/>
                <w:sz w:val="20"/>
                <w:highlight w:val="none"/>
              </w:rPr>
              <w:t>工程质量</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367" w:type="dxa"/>
          </w:tcPr>
          <w:p>
            <w:pPr>
              <w:pStyle w:val="87"/>
              <w:spacing w:before="5"/>
              <w:rPr>
                <w:rFonts w:ascii="黑体"/>
                <w:color w:val="auto"/>
                <w:sz w:val="18"/>
                <w:highlight w:val="none"/>
              </w:rPr>
            </w:pPr>
          </w:p>
          <w:p>
            <w:pPr>
              <w:pStyle w:val="87"/>
              <w:spacing w:before="1"/>
              <w:ind w:left="4"/>
              <w:jc w:val="center"/>
              <w:rPr>
                <w:color w:val="auto"/>
                <w:sz w:val="20"/>
                <w:highlight w:val="none"/>
              </w:rPr>
            </w:pPr>
            <w:r>
              <w:rPr>
                <w:color w:val="auto"/>
                <w:sz w:val="20"/>
                <w:highlight w:val="none"/>
              </w:rPr>
              <w:t>项目经理</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10"/>
              <w:rPr>
                <w:rFonts w:ascii="黑体"/>
                <w:color w:val="auto"/>
                <w:sz w:val="18"/>
                <w:highlight w:val="none"/>
              </w:rPr>
            </w:pPr>
          </w:p>
          <w:p>
            <w:pPr>
              <w:pStyle w:val="87"/>
              <w:ind w:left="4"/>
              <w:jc w:val="center"/>
              <w:rPr>
                <w:color w:val="auto"/>
                <w:sz w:val="20"/>
                <w:highlight w:val="none"/>
              </w:rPr>
            </w:pPr>
            <w:r>
              <w:rPr>
                <w:color w:val="auto"/>
                <w:sz w:val="20"/>
                <w:highlight w:val="none"/>
              </w:rPr>
              <w:t>项目总工</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67" w:type="dxa"/>
          </w:tcPr>
          <w:p>
            <w:pPr>
              <w:pStyle w:val="87"/>
              <w:spacing w:before="8"/>
              <w:rPr>
                <w:rFonts w:ascii="黑体"/>
                <w:color w:val="auto"/>
                <w:sz w:val="18"/>
                <w:highlight w:val="none"/>
              </w:rPr>
            </w:pPr>
          </w:p>
          <w:p>
            <w:pPr>
              <w:pStyle w:val="87"/>
              <w:spacing w:before="1"/>
              <w:ind w:left="6"/>
              <w:jc w:val="center"/>
              <w:rPr>
                <w:color w:val="auto"/>
                <w:sz w:val="20"/>
                <w:highlight w:val="none"/>
              </w:rPr>
            </w:pPr>
            <w:r>
              <w:rPr>
                <w:color w:val="auto"/>
                <w:sz w:val="20"/>
                <w:highlight w:val="none"/>
              </w:rPr>
              <w:t>总监理工程师及电话</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trPr>
        <w:tc>
          <w:tcPr>
            <w:tcW w:w="2367" w:type="dxa"/>
          </w:tcPr>
          <w:p>
            <w:pPr>
              <w:pStyle w:val="87"/>
              <w:rPr>
                <w:rFonts w:ascii="黑体"/>
                <w:color w:val="auto"/>
                <w:sz w:val="20"/>
                <w:highlight w:val="none"/>
              </w:rPr>
            </w:pPr>
          </w:p>
          <w:p>
            <w:pPr>
              <w:pStyle w:val="87"/>
              <w:spacing w:before="2"/>
              <w:rPr>
                <w:rFonts w:ascii="黑体"/>
                <w:color w:val="auto"/>
                <w:sz w:val="26"/>
                <w:highlight w:val="none"/>
              </w:rPr>
            </w:pPr>
          </w:p>
          <w:p>
            <w:pPr>
              <w:pStyle w:val="87"/>
              <w:ind w:left="4"/>
              <w:jc w:val="center"/>
              <w:rPr>
                <w:color w:val="auto"/>
                <w:sz w:val="20"/>
                <w:highlight w:val="none"/>
              </w:rPr>
            </w:pPr>
            <w:r>
              <w:rPr>
                <w:color w:val="auto"/>
                <w:sz w:val="20"/>
                <w:highlight w:val="none"/>
              </w:rPr>
              <w:t>项目描述</w:t>
            </w:r>
          </w:p>
        </w:tc>
        <w:tc>
          <w:tcPr>
            <w:tcW w:w="6527"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367" w:type="dxa"/>
          </w:tcPr>
          <w:p>
            <w:pPr>
              <w:pStyle w:val="87"/>
              <w:spacing w:before="3"/>
              <w:rPr>
                <w:rFonts w:ascii="黑体"/>
                <w:color w:val="auto"/>
                <w:sz w:val="18"/>
                <w:highlight w:val="none"/>
              </w:rPr>
            </w:pPr>
          </w:p>
          <w:p>
            <w:pPr>
              <w:pStyle w:val="87"/>
              <w:ind w:left="4"/>
              <w:jc w:val="center"/>
              <w:rPr>
                <w:color w:val="auto"/>
                <w:sz w:val="20"/>
                <w:highlight w:val="none"/>
              </w:rPr>
            </w:pPr>
            <w:r>
              <w:rPr>
                <w:color w:val="auto"/>
                <w:sz w:val="20"/>
                <w:highlight w:val="none"/>
              </w:rPr>
              <w:t>备注</w:t>
            </w:r>
          </w:p>
        </w:tc>
        <w:tc>
          <w:tcPr>
            <w:tcW w:w="6527" w:type="dxa"/>
          </w:tcPr>
          <w:p>
            <w:pPr>
              <w:pStyle w:val="87"/>
              <w:rPr>
                <w:rFonts w:ascii="Times New Roman"/>
                <w:color w:val="auto"/>
                <w:sz w:val="20"/>
                <w:highlight w:val="none"/>
              </w:rPr>
            </w:pPr>
          </w:p>
        </w:tc>
      </w:tr>
    </w:tbl>
    <w:p>
      <w:pPr>
        <w:keepNext w:val="0"/>
        <w:keepLines w:val="0"/>
        <w:pageBreakBefore w:val="0"/>
        <w:widowControl w:val="0"/>
        <w:kinsoku/>
        <w:wordWrap/>
        <w:overflowPunct/>
        <w:topLinePunct w:val="0"/>
        <w:autoSpaceDE w:val="0"/>
        <w:autoSpaceDN w:val="0"/>
        <w:bidi w:val="0"/>
        <w:adjustRightInd/>
        <w:snapToGrid/>
        <w:spacing w:line="300" w:lineRule="auto"/>
        <w:ind w:left="264"/>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注：1.每张表格只填写一个项目，并标明序号。</w:t>
      </w:r>
    </w:p>
    <w:p>
      <w:pPr>
        <w:keepNext w:val="0"/>
        <w:keepLines w:val="0"/>
        <w:pageBreakBefore w:val="0"/>
        <w:widowControl w:val="0"/>
        <w:kinsoku/>
        <w:wordWrap/>
        <w:overflowPunct/>
        <w:topLinePunct w:val="0"/>
        <w:autoSpaceDE w:val="0"/>
        <w:autoSpaceDN w:val="0"/>
        <w:bidi w:val="0"/>
        <w:adjustRightInd/>
        <w:snapToGrid/>
        <w:spacing w:line="300" w:lineRule="auto"/>
        <w:ind w:left="209" w:leftChars="9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highlight w:val="none"/>
        </w:rPr>
        <w:t>2.投标人应根据招标文件第二章“投标人须知”第 3.5.3 项的要求在本表后附相关证明材料。</w:t>
      </w:r>
      <w:r>
        <w:rPr>
          <w:rFonts w:hint="eastAsia" w:ascii="宋体" w:hAnsi="宋体" w:eastAsia="宋体" w:cs="宋体"/>
          <w:color w:val="auto"/>
          <w:szCs w:val="21"/>
          <w:highlight w:val="none"/>
        </w:rPr>
        <w:t>如投标人是列入交通运输部或省级交通运输主管部门主办的“公路建设市场信用信息管理系统”中的从业单位，则企业业绩及其考核指标均以“公路建设市场信用信息管理系统”中录入并通过审核的信息为准，其余企业业绩证明材料体现的但系统网站中未载明的企业业绩信息在评审时均不予采信；对于提供的所有证明材料均不能体现考核指标的业绩将不予认定。</w:t>
      </w:r>
    </w:p>
    <w:p>
      <w:pPr>
        <w:keepNext w:val="0"/>
        <w:keepLines w:val="0"/>
        <w:pageBreakBefore w:val="0"/>
        <w:widowControl w:val="0"/>
        <w:kinsoku/>
        <w:wordWrap/>
        <w:overflowPunct/>
        <w:topLinePunct w:val="0"/>
        <w:autoSpaceDE w:val="0"/>
        <w:autoSpaceDN w:val="0"/>
        <w:bidi w:val="0"/>
        <w:adjustRightInd/>
        <w:snapToGrid/>
        <w:spacing w:line="300" w:lineRule="auto"/>
        <w:ind w:left="209" w:leftChars="95" w:right="442" w:firstLine="420" w:firstLineChars="200"/>
        <w:textAlignment w:val="auto"/>
        <w:rPr>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pacing w:val="-10"/>
          <w:sz w:val="21"/>
          <w:highlight w:val="none"/>
        </w:rPr>
        <w:t>如近年来，投标人法人机构发生合法变更或重组或法人名称变更时，应提供相关部门的合</w:t>
      </w:r>
      <w:r>
        <w:rPr>
          <w:rFonts w:hint="eastAsia" w:ascii="宋体" w:hAnsi="宋体" w:eastAsia="宋体" w:cs="宋体"/>
          <w:color w:val="auto"/>
          <w:spacing w:val="-5"/>
          <w:sz w:val="21"/>
          <w:highlight w:val="none"/>
        </w:rPr>
        <w:t>法批件或其他相关证明材料来证明其所附业绩的继承性。</w:t>
      </w:r>
    </w:p>
    <w:p>
      <w:pPr>
        <w:spacing w:line="266" w:lineRule="exact"/>
        <w:rPr>
          <w:rFonts w:hint="eastAsia" w:eastAsia="宋体"/>
          <w:color w:val="auto"/>
          <w:sz w:val="21"/>
          <w:highlight w:val="none"/>
          <w:lang w:val="en-US" w:eastAsia="zh-CN"/>
        </w:rPr>
        <w:sectPr>
          <w:footerReference r:id="rId57" w:type="default"/>
          <w:footerReference r:id="rId58" w:type="even"/>
          <w:pgSz w:w="11907" w:h="16840"/>
          <w:pgMar w:top="1418" w:right="1191" w:bottom="1418" w:left="1191" w:header="873" w:footer="851" w:gutter="0"/>
          <w:cols w:space="720" w:num="1"/>
        </w:sectPr>
      </w:pPr>
      <w:r>
        <w:rPr>
          <w:rFonts w:hint="eastAsia"/>
          <w:color w:val="auto"/>
          <w:sz w:val="21"/>
          <w:highlight w:val="none"/>
          <w:lang w:val="en-US" w:eastAsia="zh-CN"/>
        </w:rPr>
        <w:t xml:space="preserve"> </w:t>
      </w:r>
    </w:p>
    <w:p>
      <w:pPr>
        <w:pStyle w:val="20"/>
        <w:spacing w:before="12"/>
        <w:rPr>
          <w:color w:val="auto"/>
          <w:highlight w:val="none"/>
        </w:rPr>
      </w:pPr>
    </w:p>
    <w:p>
      <w:pPr>
        <w:pStyle w:val="20"/>
        <w:spacing w:before="66"/>
        <w:ind w:right="180"/>
        <w:jc w:val="center"/>
        <w:outlineLvl w:val="2"/>
        <w:rPr>
          <w:rFonts w:ascii="黑体" w:eastAsia="黑体"/>
          <w:color w:val="auto"/>
          <w:highlight w:val="none"/>
        </w:rPr>
      </w:pPr>
      <w:bookmarkStart w:id="4444" w:name="_bookmark315"/>
      <w:bookmarkEnd w:id="4444"/>
      <w:bookmarkStart w:id="4445" w:name="_Toc2"/>
      <w:bookmarkStart w:id="4446" w:name="_Toc486"/>
      <w:r>
        <w:rPr>
          <w:rFonts w:hint="eastAsia" w:ascii="黑体" w:eastAsia="黑体"/>
          <w:color w:val="auto"/>
          <w:highlight w:val="none"/>
        </w:rPr>
        <w:t>（五）投标人的信誉情况表</w:t>
      </w:r>
      <w:bookmarkEnd w:id="4445"/>
      <w:bookmarkEnd w:id="4446"/>
    </w:p>
    <w:p>
      <w:pPr>
        <w:pStyle w:val="20"/>
        <w:rPr>
          <w:rFonts w:ascii="黑体"/>
          <w:color w:val="auto"/>
          <w:sz w:val="20"/>
          <w:highlight w:val="none"/>
        </w:rPr>
      </w:pPr>
    </w:p>
    <w:p>
      <w:pPr>
        <w:pStyle w:val="20"/>
        <w:spacing w:before="6"/>
        <w:rPr>
          <w:rFonts w:ascii="黑体"/>
          <w:color w:val="auto"/>
          <w:sz w:val="11"/>
          <w:highlight w:val="none"/>
        </w:rPr>
      </w:pPr>
    </w:p>
    <w:tbl>
      <w:tblPr>
        <w:tblStyle w:val="47"/>
        <w:tblW w:w="8525"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4261" w:type="dxa"/>
            <w:tcBorders>
              <w:tl2br w:val="nil"/>
              <w:tr2bl w:val="nil"/>
            </w:tcBorders>
            <w:vAlign w:val="center"/>
          </w:tcPr>
          <w:p>
            <w:pPr>
              <w:pStyle w:val="87"/>
              <w:ind w:right="1838"/>
              <w:jc w:val="center"/>
              <w:rPr>
                <w:color w:val="auto"/>
                <w:sz w:val="21"/>
                <w:highlight w:val="none"/>
              </w:rPr>
            </w:pPr>
            <w:r>
              <w:rPr>
                <w:color w:val="auto"/>
                <w:sz w:val="21"/>
                <w:highlight w:val="none"/>
              </w:rPr>
              <w:t>项 目</w:t>
            </w:r>
          </w:p>
        </w:tc>
        <w:tc>
          <w:tcPr>
            <w:tcW w:w="4264" w:type="dxa"/>
            <w:tcBorders>
              <w:tl2br w:val="nil"/>
              <w:tr2bl w:val="nil"/>
            </w:tcBorders>
          </w:tcPr>
          <w:p>
            <w:pPr>
              <w:pStyle w:val="87"/>
              <w:rPr>
                <w:rFonts w:ascii="黑体"/>
                <w:color w:val="auto"/>
                <w:sz w:val="20"/>
                <w:highlight w:val="none"/>
              </w:rPr>
            </w:pPr>
          </w:p>
          <w:p>
            <w:pPr>
              <w:pStyle w:val="87"/>
              <w:spacing w:before="8"/>
              <w:rPr>
                <w:rFonts w:ascii="黑体"/>
                <w:color w:val="auto"/>
                <w:sz w:val="15"/>
                <w:highlight w:val="none"/>
              </w:rPr>
            </w:pPr>
          </w:p>
          <w:p>
            <w:pPr>
              <w:pStyle w:val="87"/>
              <w:ind w:left="1394"/>
              <w:rPr>
                <w:color w:val="auto"/>
                <w:sz w:val="21"/>
                <w:highlight w:val="none"/>
              </w:rPr>
            </w:pPr>
            <w:r>
              <w:rPr>
                <w:color w:val="auto"/>
                <w:sz w:val="21"/>
                <w:highlight w:val="none"/>
              </w:rPr>
              <w:t>投标人情况说明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61" w:type="dxa"/>
            <w:tcBorders>
              <w:tl2br w:val="nil"/>
              <w:tr2bl w:val="nil"/>
            </w:tcBorders>
          </w:tcPr>
          <w:p>
            <w:pPr>
              <w:spacing w:line="360" w:lineRule="auto"/>
              <w:rPr>
                <w:rFonts w:ascii="Times New Roman"/>
                <w:color w:val="auto"/>
                <w:sz w:val="20"/>
                <w:highlight w:val="none"/>
              </w:rPr>
            </w:pPr>
            <w:r>
              <w:rPr>
                <w:rFonts w:hint="eastAsia"/>
                <w:color w:val="auto"/>
                <w:sz w:val="21"/>
                <w:szCs w:val="21"/>
                <w:highlight w:val="none"/>
              </w:rPr>
              <w:t>（1）未被省级及以上交通运输主管部门取消招标项目所在地的投标资格且处于有效期内的</w:t>
            </w:r>
          </w:p>
        </w:tc>
        <w:tc>
          <w:tcPr>
            <w:tcW w:w="4264" w:type="dxa"/>
            <w:tcBorders>
              <w:tl2br w:val="nil"/>
              <w:tr2bl w:val="nil"/>
            </w:tcBorders>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61" w:type="dxa"/>
            <w:tcBorders>
              <w:tl2br w:val="nil"/>
              <w:tr2bl w:val="nil"/>
            </w:tcBorders>
          </w:tcPr>
          <w:p>
            <w:pPr>
              <w:spacing w:line="360" w:lineRule="auto"/>
              <w:rPr>
                <w:rFonts w:ascii="Times New Roman"/>
                <w:color w:val="auto"/>
                <w:sz w:val="20"/>
                <w:highlight w:val="none"/>
              </w:rPr>
            </w:pPr>
            <w:r>
              <w:rPr>
                <w:rFonts w:hint="eastAsia"/>
                <w:color w:val="auto"/>
                <w:sz w:val="21"/>
                <w:szCs w:val="21"/>
                <w:highlight w:val="none"/>
              </w:rPr>
              <w:t>（2）未被责令停业的，暂扣或吊销执照，或吊销资质证书</w:t>
            </w:r>
          </w:p>
        </w:tc>
        <w:tc>
          <w:tcPr>
            <w:tcW w:w="4264" w:type="dxa"/>
            <w:tcBorders>
              <w:tl2br w:val="nil"/>
              <w:tr2bl w:val="nil"/>
            </w:tcBorders>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61" w:type="dxa"/>
            <w:tcBorders>
              <w:tl2br w:val="nil"/>
              <w:tr2bl w:val="nil"/>
            </w:tcBorders>
          </w:tcPr>
          <w:p>
            <w:pPr>
              <w:spacing w:line="360" w:lineRule="auto"/>
              <w:rPr>
                <w:color w:val="auto"/>
                <w:sz w:val="21"/>
                <w:szCs w:val="21"/>
                <w:highlight w:val="none"/>
              </w:rPr>
            </w:pPr>
            <w:r>
              <w:rPr>
                <w:rFonts w:hint="eastAsia"/>
                <w:color w:val="auto"/>
                <w:sz w:val="21"/>
                <w:szCs w:val="21"/>
                <w:highlight w:val="none"/>
              </w:rPr>
              <w:t>（3）未在国家企业信用信息公示系统（http:/www.gsxt.gov.cn/）中被列入严重违法失信企业名单</w:t>
            </w:r>
          </w:p>
          <w:p>
            <w:pPr>
              <w:pStyle w:val="87"/>
              <w:spacing w:line="360" w:lineRule="auto"/>
              <w:rPr>
                <w:rFonts w:ascii="Times New Roman"/>
                <w:color w:val="auto"/>
                <w:sz w:val="20"/>
                <w:highlight w:val="none"/>
              </w:rPr>
            </w:pPr>
          </w:p>
        </w:tc>
        <w:tc>
          <w:tcPr>
            <w:tcW w:w="4264" w:type="dxa"/>
            <w:tcBorders>
              <w:tl2br w:val="nil"/>
              <w:tr2bl w:val="nil"/>
            </w:tcBorders>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61" w:type="dxa"/>
            <w:tcBorders>
              <w:tl2br w:val="nil"/>
              <w:tr2bl w:val="nil"/>
            </w:tcBorders>
          </w:tcPr>
          <w:p>
            <w:pPr>
              <w:spacing w:line="360" w:lineRule="auto"/>
              <w:rPr>
                <w:color w:val="auto"/>
                <w:sz w:val="21"/>
                <w:szCs w:val="21"/>
                <w:highlight w:val="none"/>
              </w:rPr>
            </w:pPr>
            <w:r>
              <w:rPr>
                <w:rFonts w:hint="eastAsia"/>
                <w:color w:val="auto"/>
                <w:sz w:val="21"/>
                <w:szCs w:val="21"/>
                <w:highlight w:val="none"/>
              </w:rPr>
              <w:t>（4）未在“信用中国”网站（www.creditchina.gov.cn）中被列入失信被执行人名单的</w:t>
            </w:r>
          </w:p>
          <w:p>
            <w:pPr>
              <w:pStyle w:val="87"/>
              <w:spacing w:line="360" w:lineRule="auto"/>
              <w:rPr>
                <w:rFonts w:ascii="Times New Roman"/>
                <w:color w:val="auto"/>
                <w:sz w:val="20"/>
                <w:highlight w:val="none"/>
              </w:rPr>
            </w:pPr>
          </w:p>
        </w:tc>
        <w:tc>
          <w:tcPr>
            <w:tcW w:w="4264" w:type="dxa"/>
            <w:tcBorders>
              <w:tl2br w:val="nil"/>
              <w:tr2bl w:val="nil"/>
            </w:tcBorders>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61" w:type="dxa"/>
            <w:tcBorders>
              <w:tl2br w:val="nil"/>
              <w:tr2bl w:val="nil"/>
            </w:tcBorders>
          </w:tcPr>
          <w:p>
            <w:pPr>
              <w:pStyle w:val="87"/>
              <w:spacing w:line="360" w:lineRule="auto"/>
              <w:rPr>
                <w:rFonts w:ascii="Times New Roman"/>
                <w:color w:val="auto"/>
                <w:sz w:val="20"/>
                <w:highlight w:val="none"/>
              </w:rPr>
            </w:pPr>
            <w:r>
              <w:rPr>
                <w:rFonts w:hint="eastAsia"/>
                <w:color w:val="auto"/>
                <w:sz w:val="21"/>
                <w:szCs w:val="21"/>
                <w:highlight w:val="none"/>
              </w:rPr>
              <w:t>（5）投标单位须</w:t>
            </w:r>
            <w:r>
              <w:rPr>
                <w:rFonts w:hint="eastAsia"/>
                <w:color w:val="auto"/>
                <w:sz w:val="21"/>
                <w:szCs w:val="21"/>
                <w:highlight w:val="none"/>
                <w:lang w:val="en-US"/>
              </w:rPr>
              <w:t>具有</w:t>
            </w:r>
            <w:r>
              <w:rPr>
                <w:color w:val="auto"/>
                <w:sz w:val="21"/>
                <w:szCs w:val="21"/>
                <w:highlight w:val="none"/>
              </w:rPr>
              <w:t>BBB</w:t>
            </w:r>
            <w:r>
              <w:rPr>
                <w:rFonts w:hint="eastAsia"/>
                <w:color w:val="auto"/>
                <w:sz w:val="21"/>
                <w:szCs w:val="21"/>
                <w:highlight w:val="none"/>
              </w:rPr>
              <w:t>级（含）以上的企业信用</w:t>
            </w:r>
            <w:r>
              <w:rPr>
                <w:rFonts w:hint="eastAsia"/>
                <w:color w:val="auto"/>
                <w:sz w:val="21"/>
                <w:szCs w:val="21"/>
                <w:highlight w:val="none"/>
                <w:lang w:val="en-US"/>
              </w:rPr>
              <w:t>等级</w:t>
            </w:r>
            <w:r>
              <w:rPr>
                <w:rFonts w:hint="eastAsia"/>
                <w:color w:val="auto"/>
                <w:sz w:val="21"/>
                <w:szCs w:val="21"/>
                <w:highlight w:val="none"/>
              </w:rPr>
              <w:t>（有效期内）</w:t>
            </w:r>
          </w:p>
        </w:tc>
        <w:tc>
          <w:tcPr>
            <w:tcW w:w="4264" w:type="dxa"/>
            <w:tcBorders>
              <w:tl2br w:val="nil"/>
              <w:tr2bl w:val="nil"/>
            </w:tcBorders>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61" w:type="dxa"/>
            <w:tcBorders>
              <w:tl2br w:val="nil"/>
              <w:tr2bl w:val="nil"/>
            </w:tcBorders>
          </w:tcPr>
          <w:p>
            <w:pPr>
              <w:pStyle w:val="87"/>
              <w:rPr>
                <w:rFonts w:ascii="Times New Roman"/>
                <w:color w:val="auto"/>
                <w:sz w:val="20"/>
                <w:highlight w:val="none"/>
              </w:rPr>
            </w:pPr>
          </w:p>
        </w:tc>
        <w:tc>
          <w:tcPr>
            <w:tcW w:w="4264" w:type="dxa"/>
            <w:tcBorders>
              <w:tl2br w:val="nil"/>
              <w:tr2bl w:val="nil"/>
            </w:tcBorders>
          </w:tcPr>
          <w:p>
            <w:pPr>
              <w:pStyle w:val="87"/>
              <w:rPr>
                <w:rFonts w:ascii="Times New Roman"/>
                <w:color w:val="auto"/>
                <w:sz w:val="20"/>
                <w:highlight w:val="none"/>
              </w:rPr>
            </w:pPr>
          </w:p>
        </w:tc>
      </w:tr>
    </w:tbl>
    <w:p>
      <w:pPr>
        <w:spacing w:before="128" w:line="357" w:lineRule="auto"/>
        <w:ind w:left="684" w:right="380" w:hanging="420"/>
        <w:rPr>
          <w:color w:val="auto"/>
          <w:sz w:val="21"/>
          <w:highlight w:val="none"/>
        </w:rPr>
      </w:pPr>
      <w:r>
        <w:rPr>
          <w:color w:val="auto"/>
          <w:sz w:val="21"/>
          <w:highlight w:val="none"/>
        </w:rPr>
        <w:t>注：</w:t>
      </w:r>
      <w:r>
        <w:rPr>
          <w:rFonts w:ascii="Times New Roman" w:hAnsi="Times New Roman" w:eastAsia="Times New Roman"/>
          <w:color w:val="auto"/>
          <w:sz w:val="21"/>
          <w:highlight w:val="none"/>
        </w:rPr>
        <w:t>1.</w:t>
      </w:r>
      <w:r>
        <w:rPr>
          <w:color w:val="auto"/>
          <w:sz w:val="21"/>
          <w:highlight w:val="none"/>
        </w:rPr>
        <w:t>投标人应按照招标文件第二章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color w:val="auto"/>
          <w:sz w:val="21"/>
          <w:highlight w:val="none"/>
        </w:rPr>
        <w:t xml:space="preserve">前附表附录 </w:t>
      </w:r>
      <w:r>
        <w:rPr>
          <w:rFonts w:ascii="Times New Roman" w:hAnsi="Times New Roman" w:eastAsia="Times New Roman"/>
          <w:color w:val="auto"/>
          <w:sz w:val="21"/>
          <w:highlight w:val="none"/>
        </w:rPr>
        <w:t xml:space="preserve">4 </w:t>
      </w:r>
      <w:r>
        <w:rPr>
          <w:color w:val="auto"/>
          <w:sz w:val="21"/>
          <w:highlight w:val="none"/>
        </w:rPr>
        <w:t>和</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color w:val="auto"/>
          <w:sz w:val="21"/>
          <w:highlight w:val="none"/>
        </w:rPr>
        <w:t xml:space="preserve">正文第 </w:t>
      </w:r>
      <w:r>
        <w:rPr>
          <w:rFonts w:ascii="Times New Roman" w:hAnsi="Times New Roman" w:eastAsia="Times New Roman"/>
          <w:color w:val="auto"/>
          <w:sz w:val="21"/>
          <w:highlight w:val="none"/>
        </w:rPr>
        <w:t xml:space="preserve">1.4.4 </w:t>
      </w:r>
      <w:r>
        <w:rPr>
          <w:color w:val="auto"/>
          <w:sz w:val="21"/>
          <w:highlight w:val="none"/>
        </w:rPr>
        <w:t>项规定，逐条说明其信誉情况。</w:t>
      </w:r>
    </w:p>
    <w:p>
      <w:pPr>
        <w:spacing w:line="267" w:lineRule="exact"/>
        <w:ind w:left="684"/>
        <w:rPr>
          <w:color w:val="auto"/>
          <w:sz w:val="21"/>
          <w:highlight w:val="none"/>
        </w:rPr>
      </w:pPr>
      <w:r>
        <w:rPr>
          <w:rFonts w:ascii="Times New Roman" w:hAnsi="Times New Roman" w:eastAsia="Times New Roman"/>
          <w:color w:val="auto"/>
          <w:sz w:val="21"/>
          <w:highlight w:val="none"/>
        </w:rPr>
        <w:t>2.</w:t>
      </w:r>
      <w:r>
        <w:rPr>
          <w:color w:val="auto"/>
          <w:sz w:val="21"/>
          <w:highlight w:val="none"/>
        </w:rPr>
        <w:t xml:space="preserve">投标人应根据招标文件第二章“投标人须知”第 </w:t>
      </w:r>
      <w:r>
        <w:rPr>
          <w:rFonts w:ascii="Times New Roman" w:hAnsi="Times New Roman" w:eastAsia="Times New Roman"/>
          <w:color w:val="auto"/>
          <w:sz w:val="21"/>
          <w:highlight w:val="none"/>
        </w:rPr>
        <w:t xml:space="preserve">3.5.4 </w:t>
      </w:r>
      <w:r>
        <w:rPr>
          <w:color w:val="auto"/>
          <w:sz w:val="21"/>
          <w:highlight w:val="none"/>
        </w:rPr>
        <w:t>项的要求在本表后附相关证明材料。</w:t>
      </w:r>
    </w:p>
    <w:p>
      <w:pPr>
        <w:spacing w:before="132"/>
        <w:ind w:left="684"/>
        <w:rPr>
          <w:color w:val="auto"/>
          <w:sz w:val="21"/>
          <w:highlight w:val="none"/>
        </w:rPr>
      </w:pPr>
    </w:p>
    <w:p>
      <w:pPr>
        <w:rPr>
          <w:color w:val="auto"/>
          <w:sz w:val="21"/>
          <w:highlight w:val="none"/>
        </w:rPr>
        <w:sectPr>
          <w:pgSz w:w="11907" w:h="16840"/>
          <w:pgMar w:top="1418" w:right="1191" w:bottom="1418" w:left="1191" w:header="873" w:footer="851" w:gutter="0"/>
          <w:cols w:space="720" w:num="1"/>
        </w:sectPr>
      </w:pPr>
    </w:p>
    <w:p>
      <w:pPr>
        <w:pStyle w:val="20"/>
        <w:spacing w:before="108"/>
        <w:ind w:left="2321"/>
        <w:outlineLvl w:val="2"/>
        <w:rPr>
          <w:rFonts w:ascii="黑体" w:eastAsia="黑体"/>
          <w:color w:val="auto"/>
          <w:highlight w:val="none"/>
        </w:rPr>
      </w:pPr>
      <w:bookmarkStart w:id="4447" w:name="_bookmark316"/>
      <w:bookmarkEnd w:id="4447"/>
      <w:bookmarkStart w:id="4448" w:name="_Toc5699"/>
      <w:bookmarkStart w:id="4449" w:name="_Toc5970"/>
      <w:r>
        <w:rPr>
          <w:rFonts w:hint="eastAsia" w:ascii="黑体" w:eastAsia="黑体"/>
          <w:color w:val="auto"/>
          <w:highlight w:val="none"/>
        </w:rPr>
        <w:t>（六）拟委任的项目经理和项目总工资历表</w:t>
      </w:r>
      <w:bookmarkEnd w:id="4448"/>
      <w:bookmarkEnd w:id="4449"/>
    </w:p>
    <w:p>
      <w:pPr>
        <w:pStyle w:val="20"/>
        <w:spacing w:before="5"/>
        <w:rPr>
          <w:rFonts w:ascii="黑体"/>
          <w:color w:val="auto"/>
          <w:sz w:val="11"/>
          <w:highlight w:val="none"/>
        </w:rPr>
      </w:pPr>
    </w:p>
    <w:tbl>
      <w:tblPr>
        <w:tblStyle w:val="47"/>
        <w:tblW w:w="8737"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1"/>
        <w:gridCol w:w="1377"/>
        <w:gridCol w:w="103"/>
        <w:gridCol w:w="1061"/>
        <w:gridCol w:w="1381"/>
        <w:gridCol w:w="339"/>
        <w:gridCol w:w="1544"/>
        <w:gridCol w:w="388"/>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261" w:type="dxa"/>
            <w:vAlign w:val="center"/>
          </w:tcPr>
          <w:p>
            <w:pPr>
              <w:pStyle w:val="87"/>
              <w:tabs>
                <w:tab w:val="left" w:pos="631"/>
              </w:tabs>
              <w:ind w:right="13"/>
              <w:jc w:val="center"/>
              <w:rPr>
                <w:color w:val="auto"/>
                <w:sz w:val="21"/>
                <w:highlight w:val="none"/>
              </w:rPr>
            </w:pPr>
            <w:r>
              <w:rPr>
                <w:color w:val="auto"/>
                <w:sz w:val="21"/>
                <w:highlight w:val="none"/>
              </w:rPr>
              <w:t>姓</w:t>
            </w:r>
            <w:r>
              <w:rPr>
                <w:color w:val="auto"/>
                <w:sz w:val="21"/>
                <w:highlight w:val="none"/>
              </w:rPr>
              <w:tab/>
            </w:r>
            <w:r>
              <w:rPr>
                <w:color w:val="auto"/>
                <w:sz w:val="21"/>
                <w:highlight w:val="none"/>
              </w:rPr>
              <w:t>名</w:t>
            </w:r>
          </w:p>
        </w:tc>
        <w:tc>
          <w:tcPr>
            <w:tcW w:w="1480" w:type="dxa"/>
            <w:gridSpan w:val="2"/>
            <w:vAlign w:val="center"/>
          </w:tcPr>
          <w:p>
            <w:pPr>
              <w:pStyle w:val="87"/>
              <w:jc w:val="center"/>
              <w:rPr>
                <w:rFonts w:ascii="Times New Roman"/>
                <w:color w:val="auto"/>
                <w:sz w:val="20"/>
                <w:highlight w:val="none"/>
              </w:rPr>
            </w:pPr>
          </w:p>
        </w:tc>
        <w:tc>
          <w:tcPr>
            <w:tcW w:w="1061" w:type="dxa"/>
            <w:vAlign w:val="center"/>
          </w:tcPr>
          <w:p>
            <w:pPr>
              <w:pStyle w:val="87"/>
              <w:tabs>
                <w:tab w:val="left" w:pos="643"/>
              </w:tabs>
              <w:ind w:left="12"/>
              <w:jc w:val="center"/>
              <w:rPr>
                <w:color w:val="auto"/>
                <w:sz w:val="21"/>
                <w:highlight w:val="none"/>
              </w:rPr>
            </w:pPr>
            <w:r>
              <w:rPr>
                <w:color w:val="auto"/>
                <w:sz w:val="21"/>
                <w:highlight w:val="none"/>
              </w:rPr>
              <w:t>年龄</w:t>
            </w:r>
          </w:p>
        </w:tc>
        <w:tc>
          <w:tcPr>
            <w:tcW w:w="1381" w:type="dxa"/>
            <w:vAlign w:val="center"/>
          </w:tcPr>
          <w:p>
            <w:pPr>
              <w:pStyle w:val="87"/>
              <w:jc w:val="center"/>
              <w:rPr>
                <w:rFonts w:ascii="Times New Roman"/>
                <w:color w:val="auto"/>
                <w:sz w:val="20"/>
                <w:highlight w:val="none"/>
              </w:rPr>
            </w:pPr>
          </w:p>
        </w:tc>
        <w:tc>
          <w:tcPr>
            <w:tcW w:w="1883" w:type="dxa"/>
            <w:gridSpan w:val="2"/>
            <w:vAlign w:val="center"/>
          </w:tcPr>
          <w:p>
            <w:pPr>
              <w:pStyle w:val="87"/>
              <w:tabs>
                <w:tab w:val="left" w:pos="1151"/>
              </w:tabs>
              <w:ind w:left="520"/>
              <w:jc w:val="center"/>
              <w:rPr>
                <w:color w:val="auto"/>
                <w:sz w:val="21"/>
                <w:highlight w:val="none"/>
              </w:rPr>
            </w:pPr>
            <w:r>
              <w:rPr>
                <w:color w:val="auto"/>
                <w:sz w:val="21"/>
                <w:highlight w:val="none"/>
              </w:rPr>
              <w:t>专</w:t>
            </w:r>
            <w:r>
              <w:rPr>
                <w:color w:val="auto"/>
                <w:sz w:val="21"/>
                <w:highlight w:val="none"/>
              </w:rPr>
              <w:tab/>
            </w:r>
            <w:r>
              <w:rPr>
                <w:color w:val="auto"/>
                <w:sz w:val="21"/>
                <w:highlight w:val="none"/>
              </w:rPr>
              <w:t>业</w:t>
            </w:r>
          </w:p>
        </w:tc>
        <w:tc>
          <w:tcPr>
            <w:tcW w:w="1671" w:type="dxa"/>
            <w:gridSpan w:val="2"/>
            <w:vAlign w:val="center"/>
          </w:tcPr>
          <w:p>
            <w:pPr>
              <w:pStyle w:val="87"/>
              <w:jc w:val="center"/>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1261" w:type="dxa"/>
            <w:vAlign w:val="center"/>
          </w:tcPr>
          <w:p>
            <w:pPr>
              <w:pStyle w:val="87"/>
              <w:spacing w:before="160"/>
              <w:ind w:right="15"/>
              <w:jc w:val="center"/>
              <w:rPr>
                <w:color w:val="auto"/>
                <w:sz w:val="21"/>
                <w:highlight w:val="none"/>
              </w:rPr>
            </w:pPr>
            <w:r>
              <w:rPr>
                <w:color w:val="auto"/>
                <w:sz w:val="21"/>
                <w:highlight w:val="none"/>
              </w:rPr>
              <w:t>技术职称</w:t>
            </w:r>
          </w:p>
        </w:tc>
        <w:tc>
          <w:tcPr>
            <w:tcW w:w="1480" w:type="dxa"/>
            <w:gridSpan w:val="2"/>
            <w:vAlign w:val="center"/>
          </w:tcPr>
          <w:p>
            <w:pPr>
              <w:pStyle w:val="87"/>
              <w:jc w:val="center"/>
              <w:rPr>
                <w:rFonts w:ascii="Times New Roman"/>
                <w:color w:val="auto"/>
                <w:sz w:val="20"/>
                <w:highlight w:val="none"/>
              </w:rPr>
            </w:pPr>
          </w:p>
        </w:tc>
        <w:tc>
          <w:tcPr>
            <w:tcW w:w="1061" w:type="dxa"/>
            <w:vAlign w:val="center"/>
          </w:tcPr>
          <w:p>
            <w:pPr>
              <w:pStyle w:val="87"/>
              <w:tabs>
                <w:tab w:val="left" w:pos="643"/>
              </w:tabs>
              <w:spacing w:before="160"/>
              <w:ind w:left="12"/>
              <w:jc w:val="center"/>
              <w:rPr>
                <w:color w:val="auto"/>
                <w:sz w:val="21"/>
                <w:highlight w:val="none"/>
              </w:rPr>
            </w:pPr>
            <w:r>
              <w:rPr>
                <w:color w:val="auto"/>
                <w:sz w:val="21"/>
                <w:highlight w:val="none"/>
              </w:rPr>
              <w:t>学历</w:t>
            </w:r>
          </w:p>
        </w:tc>
        <w:tc>
          <w:tcPr>
            <w:tcW w:w="1381" w:type="dxa"/>
            <w:vAlign w:val="center"/>
          </w:tcPr>
          <w:p>
            <w:pPr>
              <w:pStyle w:val="87"/>
              <w:jc w:val="center"/>
              <w:rPr>
                <w:rFonts w:ascii="Times New Roman"/>
                <w:color w:val="auto"/>
                <w:sz w:val="20"/>
                <w:highlight w:val="none"/>
              </w:rPr>
            </w:pPr>
          </w:p>
        </w:tc>
        <w:tc>
          <w:tcPr>
            <w:tcW w:w="1883" w:type="dxa"/>
            <w:gridSpan w:val="2"/>
            <w:vAlign w:val="center"/>
          </w:tcPr>
          <w:p>
            <w:pPr>
              <w:pStyle w:val="87"/>
              <w:adjustRightInd w:val="0"/>
              <w:snapToGrid w:val="0"/>
              <w:spacing w:line="458" w:lineRule="exact"/>
              <w:rPr>
                <w:color w:val="auto"/>
                <w:sz w:val="21"/>
                <w:highlight w:val="none"/>
              </w:rPr>
            </w:pPr>
            <w:r>
              <w:rPr>
                <w:color w:val="auto"/>
                <w:sz w:val="21"/>
                <w:highlight w:val="none"/>
              </w:rPr>
              <w:t>拟在本标段工程任职</w:t>
            </w:r>
          </w:p>
        </w:tc>
        <w:tc>
          <w:tcPr>
            <w:tcW w:w="1671" w:type="dxa"/>
            <w:gridSpan w:val="2"/>
            <w:vAlign w:val="center"/>
          </w:tcPr>
          <w:p>
            <w:pPr>
              <w:pStyle w:val="87"/>
              <w:jc w:val="center"/>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vAlign w:val="center"/>
          </w:tcPr>
          <w:p>
            <w:pPr>
              <w:pStyle w:val="87"/>
              <w:ind w:right="15"/>
              <w:jc w:val="center"/>
              <w:rPr>
                <w:color w:val="auto"/>
                <w:sz w:val="21"/>
                <w:highlight w:val="none"/>
              </w:rPr>
            </w:pPr>
            <w:r>
              <w:rPr>
                <w:color w:val="auto"/>
                <w:sz w:val="21"/>
                <w:highlight w:val="none"/>
              </w:rPr>
              <w:t>工作年限</w:t>
            </w:r>
          </w:p>
        </w:tc>
        <w:tc>
          <w:tcPr>
            <w:tcW w:w="3922" w:type="dxa"/>
            <w:gridSpan w:val="4"/>
            <w:vAlign w:val="center"/>
          </w:tcPr>
          <w:p>
            <w:pPr>
              <w:pStyle w:val="87"/>
              <w:jc w:val="both"/>
              <w:rPr>
                <w:rFonts w:ascii="Times New Roman"/>
                <w:color w:val="auto"/>
                <w:sz w:val="20"/>
                <w:highlight w:val="none"/>
              </w:rPr>
            </w:pPr>
          </w:p>
        </w:tc>
        <w:tc>
          <w:tcPr>
            <w:tcW w:w="1883" w:type="dxa"/>
            <w:gridSpan w:val="2"/>
            <w:vAlign w:val="center"/>
          </w:tcPr>
          <w:p>
            <w:pPr>
              <w:pStyle w:val="87"/>
              <w:ind w:left="100"/>
              <w:jc w:val="both"/>
              <w:rPr>
                <w:color w:val="auto"/>
                <w:sz w:val="21"/>
                <w:highlight w:val="none"/>
              </w:rPr>
            </w:pPr>
            <w:r>
              <w:rPr>
                <w:color w:val="auto"/>
                <w:sz w:val="21"/>
                <w:highlight w:val="none"/>
              </w:rPr>
              <w:t>类似施工经验年限</w:t>
            </w:r>
          </w:p>
        </w:tc>
        <w:tc>
          <w:tcPr>
            <w:tcW w:w="1671" w:type="dxa"/>
            <w:gridSpan w:val="2"/>
            <w:vAlign w:val="center"/>
          </w:tcPr>
          <w:p>
            <w:pPr>
              <w:pStyle w:val="87"/>
              <w:jc w:val="both"/>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spacing w:before="7"/>
              <w:rPr>
                <w:rFonts w:ascii="黑体"/>
                <w:color w:val="auto"/>
                <w:sz w:val="14"/>
                <w:highlight w:val="none"/>
              </w:rPr>
            </w:pPr>
          </w:p>
          <w:p>
            <w:pPr>
              <w:pStyle w:val="87"/>
              <w:ind w:right="13"/>
              <w:jc w:val="center"/>
              <w:rPr>
                <w:color w:val="auto"/>
                <w:sz w:val="21"/>
                <w:highlight w:val="none"/>
              </w:rPr>
            </w:pPr>
            <w:r>
              <w:rPr>
                <w:color w:val="auto"/>
                <w:sz w:val="21"/>
                <w:highlight w:val="none"/>
              </w:rPr>
              <w:t>毕业学校</w:t>
            </w:r>
          </w:p>
        </w:tc>
        <w:tc>
          <w:tcPr>
            <w:tcW w:w="7476" w:type="dxa"/>
            <w:gridSpan w:val="8"/>
          </w:tcPr>
          <w:p>
            <w:pPr>
              <w:pStyle w:val="87"/>
              <w:tabs>
                <w:tab w:val="left" w:pos="531"/>
                <w:tab w:val="left" w:pos="1057"/>
                <w:tab w:val="left" w:pos="3892"/>
                <w:tab w:val="left" w:pos="5466"/>
                <w:tab w:val="left" w:pos="7145"/>
              </w:tabs>
              <w:spacing w:before="186"/>
              <w:ind w:left="5"/>
              <w:rPr>
                <w:color w:val="auto"/>
                <w:sz w:val="21"/>
                <w:highlight w:val="none"/>
              </w:rPr>
            </w:pPr>
            <w:r>
              <w:rPr>
                <w:rFonts w:ascii="Times New Roman" w:eastAsia="Times New Roman"/>
                <w:color w:val="auto"/>
                <w:sz w:val="21"/>
                <w:highlight w:val="none"/>
                <w:u w:val="single"/>
              </w:rPr>
              <w:tab/>
            </w:r>
            <w:r>
              <w:rPr>
                <w:color w:val="auto"/>
                <w:sz w:val="21"/>
                <w:highlight w:val="none"/>
              </w:rPr>
              <w:t>年</w:t>
            </w:r>
            <w:r>
              <w:rPr>
                <w:color w:val="auto"/>
                <w:sz w:val="21"/>
                <w:highlight w:val="none"/>
                <w:u w:val="single"/>
              </w:rPr>
              <w:tab/>
            </w:r>
            <w:r>
              <w:rPr>
                <w:color w:val="auto"/>
                <w:spacing w:val="-3"/>
                <w:sz w:val="21"/>
                <w:highlight w:val="none"/>
              </w:rPr>
              <w:t>月</w:t>
            </w:r>
            <w:r>
              <w:rPr>
                <w:color w:val="auto"/>
                <w:sz w:val="21"/>
                <w:highlight w:val="none"/>
              </w:rPr>
              <w:t>毕</w:t>
            </w:r>
            <w:r>
              <w:rPr>
                <w:color w:val="auto"/>
                <w:spacing w:val="-3"/>
                <w:sz w:val="21"/>
                <w:highlight w:val="none"/>
              </w:rPr>
              <w:t>业</w:t>
            </w:r>
            <w:r>
              <w:rPr>
                <w:color w:val="auto"/>
                <w:sz w:val="21"/>
                <w:highlight w:val="none"/>
              </w:rPr>
              <w:t>于</w:t>
            </w:r>
            <w:r>
              <w:rPr>
                <w:color w:val="auto"/>
                <w:sz w:val="21"/>
                <w:highlight w:val="none"/>
                <w:u w:val="single"/>
              </w:rPr>
              <w:tab/>
            </w:r>
            <w:r>
              <w:rPr>
                <w:color w:val="auto"/>
                <w:spacing w:val="-3"/>
                <w:sz w:val="21"/>
                <w:highlight w:val="none"/>
              </w:rPr>
              <w:t>学</w:t>
            </w:r>
            <w:r>
              <w:rPr>
                <w:color w:val="auto"/>
                <w:sz w:val="21"/>
                <w:highlight w:val="none"/>
              </w:rPr>
              <w:t>校</w:t>
            </w:r>
            <w:r>
              <w:rPr>
                <w:color w:val="auto"/>
                <w:sz w:val="21"/>
                <w:highlight w:val="none"/>
                <w:u w:val="single"/>
              </w:rPr>
              <w:tab/>
            </w:r>
            <w:r>
              <w:rPr>
                <w:color w:val="auto"/>
                <w:spacing w:val="-3"/>
                <w:sz w:val="21"/>
                <w:highlight w:val="none"/>
              </w:rPr>
              <w:t>专</w:t>
            </w:r>
            <w:r>
              <w:rPr>
                <w:color w:val="auto"/>
                <w:sz w:val="21"/>
                <w:highlight w:val="none"/>
              </w:rPr>
              <w:t>业</w:t>
            </w:r>
            <w:r>
              <w:rPr>
                <w:color w:val="auto"/>
                <w:spacing w:val="-3"/>
                <w:sz w:val="21"/>
                <w:highlight w:val="none"/>
              </w:rPr>
              <w:t>，</w:t>
            </w:r>
            <w:r>
              <w:rPr>
                <w:color w:val="auto"/>
                <w:sz w:val="21"/>
                <w:highlight w:val="none"/>
              </w:rPr>
              <w:t>学制</w:t>
            </w:r>
            <w:r>
              <w:rPr>
                <w:rFonts w:hint="eastAsia"/>
                <w:color w:val="auto"/>
                <w:sz w:val="21"/>
                <w:highlight w:val="none"/>
                <w:u w:val="single"/>
              </w:rPr>
              <w:t xml:space="preserve">     </w:t>
            </w:r>
            <w:r>
              <w:rPr>
                <w:color w:val="auto"/>
                <w:sz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8737" w:type="dxa"/>
            <w:gridSpan w:val="9"/>
          </w:tcPr>
          <w:p>
            <w:pPr>
              <w:pStyle w:val="87"/>
              <w:spacing w:before="6"/>
              <w:rPr>
                <w:rFonts w:ascii="黑体"/>
                <w:color w:val="auto"/>
                <w:sz w:val="14"/>
                <w:highlight w:val="none"/>
              </w:rPr>
            </w:pPr>
          </w:p>
          <w:p>
            <w:pPr>
              <w:pStyle w:val="87"/>
              <w:tabs>
                <w:tab w:val="left" w:pos="1167"/>
              </w:tabs>
              <w:ind w:left="10"/>
              <w:jc w:val="center"/>
              <w:rPr>
                <w:color w:val="auto"/>
                <w:sz w:val="21"/>
                <w:highlight w:val="none"/>
              </w:rPr>
            </w:pPr>
            <w:r>
              <w:rPr>
                <w:color w:val="auto"/>
                <w:sz w:val="21"/>
                <w:highlight w:val="none"/>
              </w:rPr>
              <w:t>经</w:t>
            </w:r>
            <w:r>
              <w:rPr>
                <w:color w:val="auto"/>
                <w:sz w:val="21"/>
                <w:highlight w:val="none"/>
              </w:rPr>
              <w:tab/>
            </w:r>
            <w:r>
              <w:rPr>
                <w:color w:val="auto"/>
                <w:sz w:val="21"/>
                <w:highlight w:val="none"/>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1261" w:type="dxa"/>
          </w:tcPr>
          <w:p>
            <w:pPr>
              <w:pStyle w:val="87"/>
              <w:rPr>
                <w:rFonts w:ascii="黑体"/>
                <w:color w:val="auto"/>
                <w:sz w:val="20"/>
                <w:highlight w:val="none"/>
              </w:rPr>
            </w:pPr>
          </w:p>
          <w:p>
            <w:pPr>
              <w:pStyle w:val="87"/>
              <w:tabs>
                <w:tab w:val="left" w:pos="457"/>
              </w:tabs>
              <w:spacing w:before="131"/>
              <w:ind w:left="34"/>
              <w:jc w:val="center"/>
              <w:rPr>
                <w:color w:val="auto"/>
                <w:sz w:val="21"/>
                <w:highlight w:val="none"/>
              </w:rPr>
            </w:pPr>
            <w:r>
              <w:rPr>
                <w:color w:val="auto"/>
                <w:sz w:val="21"/>
                <w:highlight w:val="none"/>
              </w:rPr>
              <w:t>时</w:t>
            </w:r>
            <w:r>
              <w:rPr>
                <w:color w:val="auto"/>
                <w:sz w:val="21"/>
                <w:highlight w:val="none"/>
              </w:rPr>
              <w:tab/>
            </w:r>
            <w:r>
              <w:rPr>
                <w:color w:val="auto"/>
                <w:sz w:val="21"/>
                <w:highlight w:val="none"/>
              </w:rPr>
              <w:t>间</w:t>
            </w:r>
          </w:p>
        </w:tc>
        <w:tc>
          <w:tcPr>
            <w:tcW w:w="4261" w:type="dxa"/>
            <w:gridSpan w:val="5"/>
          </w:tcPr>
          <w:p>
            <w:pPr>
              <w:pStyle w:val="87"/>
              <w:rPr>
                <w:rFonts w:ascii="黑体"/>
                <w:color w:val="auto"/>
                <w:sz w:val="20"/>
                <w:highlight w:val="none"/>
              </w:rPr>
            </w:pPr>
          </w:p>
          <w:p>
            <w:pPr>
              <w:pStyle w:val="87"/>
              <w:spacing w:before="131"/>
              <w:ind w:left="877"/>
              <w:rPr>
                <w:color w:val="auto"/>
                <w:sz w:val="21"/>
                <w:highlight w:val="none"/>
              </w:rPr>
            </w:pPr>
            <w:r>
              <w:rPr>
                <w:color w:val="auto"/>
                <w:sz w:val="21"/>
                <w:highlight w:val="none"/>
              </w:rPr>
              <w:t>参加过的类似工程项目名称</w:t>
            </w:r>
          </w:p>
        </w:tc>
        <w:tc>
          <w:tcPr>
            <w:tcW w:w="1932" w:type="dxa"/>
            <w:gridSpan w:val="2"/>
          </w:tcPr>
          <w:p>
            <w:pPr>
              <w:pStyle w:val="87"/>
              <w:rPr>
                <w:rFonts w:ascii="黑体"/>
                <w:color w:val="auto"/>
                <w:sz w:val="20"/>
                <w:highlight w:val="none"/>
              </w:rPr>
            </w:pPr>
          </w:p>
          <w:p>
            <w:pPr>
              <w:pStyle w:val="87"/>
              <w:spacing w:before="131"/>
              <w:ind w:left="541"/>
              <w:rPr>
                <w:color w:val="auto"/>
                <w:sz w:val="21"/>
                <w:highlight w:val="none"/>
              </w:rPr>
            </w:pPr>
            <w:r>
              <w:rPr>
                <w:color w:val="auto"/>
                <w:sz w:val="21"/>
                <w:highlight w:val="none"/>
              </w:rPr>
              <w:t>担任职务</w:t>
            </w:r>
          </w:p>
        </w:tc>
        <w:tc>
          <w:tcPr>
            <w:tcW w:w="1283" w:type="dxa"/>
          </w:tcPr>
          <w:p>
            <w:pPr>
              <w:pStyle w:val="87"/>
              <w:spacing w:before="57" w:line="400" w:lineRule="atLeast"/>
              <w:ind w:left="320" w:right="107" w:hanging="212"/>
              <w:rPr>
                <w:color w:val="auto"/>
                <w:sz w:val="21"/>
                <w:highlight w:val="none"/>
              </w:rPr>
            </w:pPr>
            <w:r>
              <w:rPr>
                <w:color w:val="auto"/>
                <w:sz w:val="21"/>
                <w:highlight w:val="none"/>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261" w:type="dxa"/>
          </w:tcPr>
          <w:p>
            <w:pPr>
              <w:pStyle w:val="87"/>
              <w:rPr>
                <w:rFonts w:ascii="Times New Roman"/>
                <w:color w:val="auto"/>
                <w:sz w:val="20"/>
                <w:highlight w:val="none"/>
              </w:rPr>
            </w:pPr>
          </w:p>
        </w:tc>
        <w:tc>
          <w:tcPr>
            <w:tcW w:w="4261" w:type="dxa"/>
            <w:gridSpan w:val="5"/>
          </w:tcPr>
          <w:p>
            <w:pPr>
              <w:pStyle w:val="87"/>
              <w:rPr>
                <w:rFonts w:ascii="Times New Roman"/>
                <w:color w:val="auto"/>
                <w:sz w:val="20"/>
                <w:highlight w:val="none"/>
              </w:rPr>
            </w:pPr>
          </w:p>
        </w:tc>
        <w:tc>
          <w:tcPr>
            <w:tcW w:w="1932" w:type="dxa"/>
            <w:gridSpan w:val="2"/>
          </w:tcPr>
          <w:p>
            <w:pPr>
              <w:pStyle w:val="87"/>
              <w:rPr>
                <w:rFonts w:ascii="Times New Roman"/>
                <w:color w:val="auto"/>
                <w:sz w:val="20"/>
                <w:highlight w:val="none"/>
              </w:rPr>
            </w:pPr>
          </w:p>
        </w:tc>
        <w:tc>
          <w:tcPr>
            <w:tcW w:w="1283" w:type="dxa"/>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638" w:type="dxa"/>
            <w:gridSpan w:val="2"/>
          </w:tcPr>
          <w:p>
            <w:pPr>
              <w:pStyle w:val="87"/>
              <w:spacing w:before="8"/>
              <w:rPr>
                <w:rFonts w:ascii="黑体"/>
                <w:color w:val="auto"/>
                <w:sz w:val="14"/>
                <w:highlight w:val="none"/>
              </w:rPr>
            </w:pPr>
          </w:p>
          <w:p>
            <w:pPr>
              <w:pStyle w:val="87"/>
              <w:spacing w:before="1"/>
              <w:ind w:left="878" w:right="869"/>
              <w:jc w:val="center"/>
              <w:rPr>
                <w:color w:val="auto"/>
                <w:sz w:val="21"/>
                <w:highlight w:val="none"/>
              </w:rPr>
            </w:pPr>
            <w:r>
              <w:rPr>
                <w:color w:val="auto"/>
                <w:sz w:val="21"/>
                <w:highlight w:val="none"/>
              </w:rPr>
              <w:t>获奖情况</w:t>
            </w:r>
          </w:p>
        </w:tc>
        <w:tc>
          <w:tcPr>
            <w:tcW w:w="6099" w:type="dxa"/>
            <w:gridSpan w:val="7"/>
          </w:tcPr>
          <w:p>
            <w:pPr>
              <w:pStyle w:val="87"/>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2638" w:type="dxa"/>
            <w:gridSpan w:val="2"/>
          </w:tcPr>
          <w:p>
            <w:pPr>
              <w:pStyle w:val="87"/>
              <w:rPr>
                <w:rFonts w:ascii="黑体"/>
                <w:color w:val="auto"/>
                <w:sz w:val="20"/>
                <w:highlight w:val="none"/>
              </w:rPr>
            </w:pPr>
          </w:p>
          <w:p>
            <w:pPr>
              <w:pStyle w:val="87"/>
              <w:spacing w:before="7"/>
              <w:rPr>
                <w:rFonts w:ascii="黑体"/>
                <w:color w:val="auto"/>
                <w:sz w:val="19"/>
                <w:highlight w:val="none"/>
              </w:rPr>
            </w:pPr>
          </w:p>
          <w:p>
            <w:pPr>
              <w:pStyle w:val="87"/>
              <w:ind w:left="688"/>
              <w:rPr>
                <w:color w:val="auto"/>
                <w:sz w:val="21"/>
                <w:highlight w:val="none"/>
              </w:rPr>
            </w:pPr>
            <w:r>
              <w:rPr>
                <w:color w:val="auto"/>
                <w:sz w:val="21"/>
                <w:highlight w:val="none"/>
              </w:rPr>
              <w:t>说明在岗情况</w:t>
            </w:r>
          </w:p>
        </w:tc>
        <w:tc>
          <w:tcPr>
            <w:tcW w:w="6099" w:type="dxa"/>
            <w:gridSpan w:val="7"/>
          </w:tcPr>
          <w:p>
            <w:pPr>
              <w:pStyle w:val="87"/>
              <w:tabs>
                <w:tab w:val="left" w:pos="5780"/>
              </w:tabs>
              <w:spacing w:before="90"/>
              <w:ind w:left="107"/>
              <w:rPr>
                <w:color w:val="auto"/>
                <w:sz w:val="21"/>
                <w:highlight w:val="none"/>
              </w:rPr>
            </w:pPr>
            <w:r>
              <w:rPr>
                <w:color w:val="auto"/>
                <w:sz w:val="21"/>
                <w:highlight w:val="none"/>
              </w:rPr>
              <w:t>□目</w:t>
            </w:r>
            <w:r>
              <w:rPr>
                <w:color w:val="auto"/>
                <w:spacing w:val="-3"/>
                <w:sz w:val="21"/>
                <w:highlight w:val="none"/>
              </w:rPr>
              <w:t>前</w:t>
            </w:r>
            <w:r>
              <w:rPr>
                <w:color w:val="auto"/>
                <w:sz w:val="21"/>
                <w:highlight w:val="none"/>
              </w:rPr>
              <w:t>未</w:t>
            </w:r>
            <w:r>
              <w:rPr>
                <w:color w:val="auto"/>
                <w:spacing w:val="-3"/>
                <w:sz w:val="21"/>
                <w:highlight w:val="none"/>
              </w:rPr>
              <w:t>在</w:t>
            </w:r>
            <w:r>
              <w:rPr>
                <w:color w:val="auto"/>
                <w:sz w:val="21"/>
                <w:highlight w:val="none"/>
              </w:rPr>
              <w:t>其</w:t>
            </w:r>
            <w:r>
              <w:rPr>
                <w:color w:val="auto"/>
                <w:spacing w:val="-3"/>
                <w:sz w:val="21"/>
                <w:highlight w:val="none"/>
              </w:rPr>
              <w:t>他</w:t>
            </w:r>
            <w:r>
              <w:rPr>
                <w:color w:val="auto"/>
                <w:sz w:val="21"/>
                <w:highlight w:val="none"/>
              </w:rPr>
              <w:t>项</w:t>
            </w:r>
            <w:r>
              <w:rPr>
                <w:color w:val="auto"/>
                <w:spacing w:val="-3"/>
                <w:sz w:val="21"/>
                <w:highlight w:val="none"/>
              </w:rPr>
              <w:t>目</w:t>
            </w:r>
            <w:r>
              <w:rPr>
                <w:color w:val="auto"/>
                <w:sz w:val="21"/>
                <w:highlight w:val="none"/>
              </w:rPr>
              <w:t>上</w:t>
            </w:r>
            <w:r>
              <w:rPr>
                <w:color w:val="auto"/>
                <w:spacing w:val="-3"/>
                <w:sz w:val="21"/>
                <w:highlight w:val="none"/>
              </w:rPr>
              <w:t>任</w:t>
            </w:r>
            <w:r>
              <w:rPr>
                <w:color w:val="auto"/>
                <w:sz w:val="21"/>
                <w:highlight w:val="none"/>
              </w:rPr>
              <w:t>职，</w:t>
            </w:r>
            <w:r>
              <w:rPr>
                <w:color w:val="auto"/>
                <w:spacing w:val="-3"/>
                <w:sz w:val="21"/>
                <w:highlight w:val="none"/>
              </w:rPr>
              <w:t>现</w:t>
            </w:r>
            <w:r>
              <w:rPr>
                <w:color w:val="auto"/>
                <w:sz w:val="21"/>
                <w:highlight w:val="none"/>
              </w:rPr>
              <w:t>从</w:t>
            </w:r>
            <w:r>
              <w:rPr>
                <w:color w:val="auto"/>
                <w:spacing w:val="-3"/>
                <w:sz w:val="21"/>
                <w:highlight w:val="none"/>
              </w:rPr>
              <w:t>事</w:t>
            </w:r>
            <w:r>
              <w:rPr>
                <w:color w:val="auto"/>
                <w:sz w:val="21"/>
                <w:highlight w:val="none"/>
              </w:rPr>
              <w:t>工</w:t>
            </w:r>
            <w:r>
              <w:rPr>
                <w:color w:val="auto"/>
                <w:spacing w:val="-3"/>
                <w:sz w:val="21"/>
                <w:highlight w:val="none"/>
              </w:rPr>
              <w:t>作</w:t>
            </w:r>
            <w:r>
              <w:rPr>
                <w:color w:val="auto"/>
                <w:sz w:val="21"/>
                <w:highlight w:val="none"/>
              </w:rPr>
              <w:t>为</w:t>
            </w:r>
            <w:r>
              <w:rPr>
                <w:color w:val="auto"/>
                <w:spacing w:val="-3"/>
                <w:sz w:val="21"/>
                <w:highlight w:val="none"/>
              </w:rPr>
              <w:t>：</w:t>
            </w:r>
            <w:r>
              <w:rPr>
                <w:rFonts w:hint="eastAsia"/>
                <w:color w:val="auto"/>
                <w:spacing w:val="-3"/>
                <w:sz w:val="21"/>
                <w:highlight w:val="none"/>
                <w:u w:val="single"/>
              </w:rPr>
              <w:t xml:space="preserve">            </w:t>
            </w:r>
            <w:r>
              <w:rPr>
                <w:color w:val="auto"/>
                <w:sz w:val="21"/>
                <w:highlight w:val="none"/>
              </w:rPr>
              <w:t>。</w:t>
            </w:r>
          </w:p>
          <w:p>
            <w:pPr>
              <w:pStyle w:val="87"/>
              <w:tabs>
                <w:tab w:val="left" w:pos="3626"/>
                <w:tab w:val="left" w:pos="5883"/>
              </w:tabs>
              <w:spacing w:before="16" w:line="400" w:lineRule="exact"/>
              <w:ind w:left="107" w:right="-15"/>
              <w:rPr>
                <w:color w:val="auto"/>
                <w:sz w:val="21"/>
                <w:highlight w:val="none"/>
              </w:rPr>
            </w:pPr>
            <w:r>
              <w:rPr>
                <w:color w:val="auto"/>
                <w:spacing w:val="5"/>
                <w:sz w:val="21"/>
                <w:highlight w:val="none"/>
              </w:rPr>
              <w:t>□目前虽在其他项</w:t>
            </w:r>
            <w:r>
              <w:rPr>
                <w:color w:val="auto"/>
                <w:spacing w:val="2"/>
                <w:sz w:val="21"/>
                <w:highlight w:val="none"/>
              </w:rPr>
              <w:t>目</w:t>
            </w:r>
            <w:r>
              <w:rPr>
                <w:color w:val="auto"/>
                <w:spacing w:val="5"/>
                <w:sz w:val="21"/>
                <w:highlight w:val="none"/>
              </w:rPr>
              <w:t>上</w:t>
            </w:r>
            <w:r>
              <w:rPr>
                <w:color w:val="auto"/>
                <w:spacing w:val="2"/>
                <w:sz w:val="21"/>
                <w:highlight w:val="none"/>
              </w:rPr>
              <w:t>任</w:t>
            </w:r>
            <w:r>
              <w:rPr>
                <w:color w:val="auto"/>
                <w:spacing w:val="5"/>
                <w:sz w:val="21"/>
                <w:highlight w:val="none"/>
              </w:rPr>
              <w:t>职，但本项目中标</w:t>
            </w:r>
            <w:r>
              <w:rPr>
                <w:color w:val="auto"/>
                <w:spacing w:val="2"/>
                <w:sz w:val="21"/>
                <w:highlight w:val="none"/>
              </w:rPr>
              <w:t>后</w:t>
            </w:r>
            <w:r>
              <w:rPr>
                <w:color w:val="auto"/>
                <w:spacing w:val="5"/>
                <w:sz w:val="21"/>
                <w:highlight w:val="none"/>
              </w:rPr>
              <w:t>能</w:t>
            </w:r>
            <w:r>
              <w:rPr>
                <w:color w:val="auto"/>
                <w:spacing w:val="2"/>
                <w:sz w:val="21"/>
                <w:highlight w:val="none"/>
              </w:rPr>
              <w:t>够</w:t>
            </w:r>
            <w:r>
              <w:rPr>
                <w:color w:val="auto"/>
                <w:spacing w:val="5"/>
                <w:sz w:val="21"/>
                <w:highlight w:val="none"/>
              </w:rPr>
              <w:t>从该</w:t>
            </w:r>
            <w:r>
              <w:rPr>
                <w:color w:val="auto"/>
                <w:spacing w:val="10"/>
                <w:sz w:val="21"/>
                <w:highlight w:val="none"/>
              </w:rPr>
              <w:t>项</w:t>
            </w:r>
            <w:r>
              <w:rPr>
                <w:color w:val="auto"/>
                <w:spacing w:val="5"/>
                <w:sz w:val="21"/>
                <w:highlight w:val="none"/>
              </w:rPr>
              <w:t>目撤</w:t>
            </w:r>
            <w:r>
              <w:rPr>
                <w:color w:val="auto"/>
                <w:sz w:val="21"/>
                <w:highlight w:val="none"/>
              </w:rPr>
              <w:t>离</w:t>
            </w:r>
            <w:r>
              <w:rPr>
                <w:color w:val="auto"/>
                <w:spacing w:val="-82"/>
                <w:sz w:val="21"/>
                <w:highlight w:val="none"/>
              </w:rPr>
              <w:t>，</w:t>
            </w:r>
            <w:r>
              <w:rPr>
                <w:color w:val="auto"/>
                <w:sz w:val="21"/>
                <w:highlight w:val="none"/>
              </w:rPr>
              <w:t>目前</w:t>
            </w:r>
            <w:r>
              <w:rPr>
                <w:color w:val="auto"/>
                <w:spacing w:val="-3"/>
                <w:sz w:val="21"/>
                <w:highlight w:val="none"/>
              </w:rPr>
              <w:t>任</w:t>
            </w:r>
            <w:r>
              <w:rPr>
                <w:color w:val="auto"/>
                <w:sz w:val="21"/>
                <w:highlight w:val="none"/>
              </w:rPr>
              <w:t>职</w:t>
            </w:r>
            <w:r>
              <w:rPr>
                <w:color w:val="auto"/>
                <w:spacing w:val="-3"/>
                <w:sz w:val="21"/>
                <w:highlight w:val="none"/>
              </w:rPr>
              <w:t>项</w:t>
            </w:r>
            <w:r>
              <w:rPr>
                <w:color w:val="auto"/>
                <w:sz w:val="21"/>
                <w:highlight w:val="none"/>
              </w:rPr>
              <w:t>目</w:t>
            </w:r>
            <w:r>
              <w:rPr>
                <w:color w:val="auto"/>
                <w:sz w:val="21"/>
                <w:highlight w:val="none"/>
                <w:u w:val="single"/>
              </w:rPr>
              <w:t>：</w:t>
            </w:r>
            <w:r>
              <w:rPr>
                <w:color w:val="auto"/>
                <w:sz w:val="21"/>
                <w:highlight w:val="none"/>
                <w:u w:val="single"/>
              </w:rPr>
              <w:tab/>
            </w:r>
            <w:r>
              <w:rPr>
                <w:color w:val="auto"/>
                <w:spacing w:val="-82"/>
                <w:sz w:val="21"/>
                <w:highlight w:val="none"/>
              </w:rPr>
              <w:t>，</w:t>
            </w:r>
            <w:r>
              <w:rPr>
                <w:color w:val="auto"/>
                <w:sz w:val="21"/>
                <w:highlight w:val="none"/>
              </w:rPr>
              <w:t>担</w:t>
            </w:r>
            <w:r>
              <w:rPr>
                <w:color w:val="auto"/>
                <w:spacing w:val="-3"/>
                <w:sz w:val="21"/>
                <w:highlight w:val="none"/>
              </w:rPr>
              <w:t>任</w:t>
            </w:r>
            <w:r>
              <w:rPr>
                <w:color w:val="auto"/>
                <w:sz w:val="21"/>
                <w:highlight w:val="none"/>
              </w:rPr>
              <w:t>职</w:t>
            </w:r>
            <w:r>
              <w:rPr>
                <w:color w:val="auto"/>
                <w:spacing w:val="-3"/>
                <w:sz w:val="21"/>
                <w:highlight w:val="none"/>
              </w:rPr>
              <w:t>位</w:t>
            </w:r>
            <w:r>
              <w:rPr>
                <w:color w:val="auto"/>
                <w:sz w:val="21"/>
                <w:highlight w:val="none"/>
              </w:rPr>
              <w:t>：</w:t>
            </w:r>
            <w:r>
              <w:rPr>
                <w:rFonts w:hint="eastAsia"/>
                <w:color w:val="auto"/>
                <w:sz w:val="21"/>
                <w:highlight w:val="none"/>
                <w:u w:val="single"/>
              </w:rPr>
              <w:t xml:space="preserve">        </w:t>
            </w:r>
            <w:r>
              <w:rPr>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2638" w:type="dxa"/>
            <w:gridSpan w:val="2"/>
          </w:tcPr>
          <w:p>
            <w:pPr>
              <w:pStyle w:val="87"/>
              <w:rPr>
                <w:rFonts w:ascii="黑体"/>
                <w:color w:val="auto"/>
                <w:sz w:val="20"/>
                <w:highlight w:val="none"/>
              </w:rPr>
            </w:pPr>
          </w:p>
          <w:p>
            <w:pPr>
              <w:pStyle w:val="87"/>
              <w:spacing w:before="5"/>
              <w:rPr>
                <w:rFonts w:ascii="黑体"/>
                <w:color w:val="auto"/>
                <w:sz w:val="17"/>
                <w:highlight w:val="none"/>
              </w:rPr>
            </w:pPr>
          </w:p>
          <w:p>
            <w:pPr>
              <w:pStyle w:val="87"/>
              <w:tabs>
                <w:tab w:val="left" w:pos="1581"/>
              </w:tabs>
              <w:ind w:left="844"/>
              <w:rPr>
                <w:color w:val="auto"/>
                <w:sz w:val="21"/>
                <w:highlight w:val="none"/>
              </w:rPr>
            </w:pPr>
            <w:r>
              <w:rPr>
                <w:color w:val="auto"/>
                <w:sz w:val="21"/>
                <w:highlight w:val="none"/>
              </w:rPr>
              <w:t>备</w:t>
            </w:r>
            <w:r>
              <w:rPr>
                <w:color w:val="auto"/>
                <w:sz w:val="21"/>
                <w:highlight w:val="none"/>
              </w:rPr>
              <w:tab/>
            </w:r>
            <w:r>
              <w:rPr>
                <w:color w:val="auto"/>
                <w:sz w:val="21"/>
                <w:highlight w:val="none"/>
              </w:rPr>
              <w:t>注</w:t>
            </w:r>
          </w:p>
        </w:tc>
        <w:tc>
          <w:tcPr>
            <w:tcW w:w="6099" w:type="dxa"/>
            <w:gridSpan w:val="7"/>
          </w:tcPr>
          <w:p>
            <w:pPr>
              <w:pStyle w:val="87"/>
              <w:rPr>
                <w:rFonts w:ascii="Times New Roman"/>
                <w:color w:val="auto"/>
                <w:sz w:val="20"/>
                <w:highlight w:val="none"/>
              </w:rPr>
            </w:pPr>
          </w:p>
        </w:tc>
      </w:tr>
    </w:tbl>
    <w:p>
      <w:pPr>
        <w:spacing w:before="128"/>
        <w:ind w:left="264"/>
        <w:rPr>
          <w:color w:val="auto"/>
          <w:sz w:val="21"/>
          <w:highlight w:val="none"/>
        </w:rPr>
      </w:pPr>
      <w:r>
        <w:rPr>
          <w:color w:val="auto"/>
          <w:sz w:val="21"/>
          <w:highlight w:val="none"/>
        </w:rPr>
        <w:t>注：</w:t>
      </w:r>
      <w:r>
        <w:rPr>
          <w:rFonts w:ascii="Times New Roman" w:eastAsia="Times New Roman"/>
          <w:color w:val="auto"/>
          <w:sz w:val="21"/>
          <w:highlight w:val="none"/>
        </w:rPr>
        <w:t>1.</w:t>
      </w:r>
      <w:r>
        <w:rPr>
          <w:color w:val="auto"/>
          <w:sz w:val="21"/>
          <w:highlight w:val="none"/>
        </w:rPr>
        <w:t>本表应填写项目经理和项目总工相关情况。</w:t>
      </w:r>
    </w:p>
    <w:p>
      <w:pPr>
        <w:spacing w:before="129"/>
        <w:ind w:left="684"/>
        <w:rPr>
          <w:color w:val="auto"/>
          <w:sz w:val="21"/>
          <w:highlight w:val="none"/>
        </w:rPr>
      </w:pPr>
      <w:r>
        <w:rPr>
          <w:rFonts w:ascii="Times New Roman" w:hAnsi="Times New Roman" w:eastAsia="Times New Roman"/>
          <w:color w:val="auto"/>
          <w:sz w:val="21"/>
          <w:highlight w:val="none"/>
        </w:rPr>
        <w:t>2.</w:t>
      </w:r>
      <w:r>
        <w:rPr>
          <w:color w:val="auto"/>
          <w:sz w:val="21"/>
          <w:highlight w:val="none"/>
        </w:rPr>
        <w:t xml:space="preserve">投标人应根据招标文件第二章“投标人须知”第 </w:t>
      </w:r>
      <w:r>
        <w:rPr>
          <w:rFonts w:ascii="Times New Roman" w:hAnsi="Times New Roman" w:eastAsia="Times New Roman"/>
          <w:color w:val="auto"/>
          <w:sz w:val="21"/>
          <w:highlight w:val="none"/>
        </w:rPr>
        <w:t xml:space="preserve">3.5.5 </w:t>
      </w:r>
      <w:r>
        <w:rPr>
          <w:color w:val="auto"/>
          <w:sz w:val="21"/>
          <w:highlight w:val="none"/>
        </w:rPr>
        <w:t>项的要求在本表后附相关证明材料。</w:t>
      </w:r>
    </w:p>
    <w:p>
      <w:pPr>
        <w:rPr>
          <w:color w:val="auto"/>
          <w:sz w:val="21"/>
          <w:highlight w:val="none"/>
        </w:rPr>
        <w:sectPr>
          <w:pgSz w:w="11907" w:h="16840"/>
          <w:pgMar w:top="1418" w:right="1191" w:bottom="1418" w:left="1191" w:header="873" w:footer="851" w:gutter="0"/>
          <w:cols w:space="720" w:num="1"/>
        </w:sectPr>
      </w:pPr>
    </w:p>
    <w:p>
      <w:pPr>
        <w:pStyle w:val="4"/>
        <w:ind w:left="0"/>
        <w:jc w:val="center"/>
        <w:rPr>
          <w:rFonts w:hAnsi="宋体" w:cs="宋体"/>
          <w:color w:val="auto"/>
          <w:sz w:val="28"/>
          <w:szCs w:val="22"/>
          <w:highlight w:val="none"/>
        </w:rPr>
      </w:pPr>
      <w:bookmarkStart w:id="4450" w:name="_bookmark317"/>
      <w:bookmarkEnd w:id="4450"/>
      <w:bookmarkStart w:id="4451" w:name="_bookmark321"/>
      <w:bookmarkEnd w:id="4451"/>
      <w:bookmarkStart w:id="4452" w:name="_Toc3187"/>
      <w:bookmarkStart w:id="4453" w:name="_Toc38375660"/>
      <w:bookmarkStart w:id="4454" w:name="_Toc11514"/>
      <w:r>
        <w:rPr>
          <w:rFonts w:hint="eastAsia" w:hAnsi="宋体" w:cs="宋体"/>
          <w:color w:val="auto"/>
          <w:sz w:val="28"/>
          <w:szCs w:val="22"/>
          <w:highlight w:val="none"/>
        </w:rPr>
        <w:t>九、中标人不转包不违规分包承诺书</w:t>
      </w:r>
      <w:bookmarkEnd w:id="4452"/>
      <w:bookmarkEnd w:id="4453"/>
    </w:p>
    <w:p>
      <w:pPr>
        <w:widowControl/>
        <w:spacing w:line="360" w:lineRule="auto"/>
        <w:textAlignment w:val="bottom"/>
        <w:rPr>
          <w:color w:val="auto"/>
          <w:highlight w:val="none"/>
          <w:u w:val="single"/>
        </w:rPr>
      </w:pPr>
    </w:p>
    <w:p>
      <w:pPr>
        <w:widowControl/>
        <w:spacing w:line="360" w:lineRule="auto"/>
        <w:textAlignment w:val="bottom"/>
        <w:rPr>
          <w:color w:val="auto"/>
          <w:sz w:val="24"/>
          <w:highlight w:val="none"/>
          <w:u w:val="single"/>
        </w:rPr>
      </w:pPr>
      <w:r>
        <w:rPr>
          <w:rFonts w:hint="eastAsia"/>
          <w:color w:val="auto"/>
          <w:sz w:val="24"/>
          <w:highlight w:val="none"/>
        </w:rPr>
        <w:t>致：</w:t>
      </w:r>
      <w:r>
        <w:rPr>
          <w:rFonts w:hint="eastAsia"/>
          <w:color w:val="auto"/>
          <w:sz w:val="24"/>
          <w:highlight w:val="none"/>
          <w:u w:val="single"/>
          <w:lang w:val="en-US"/>
        </w:rPr>
        <w:t xml:space="preserve">    </w:t>
      </w:r>
      <w:r>
        <w:rPr>
          <w:rFonts w:hint="eastAsia"/>
          <w:color w:val="auto"/>
          <w:sz w:val="24"/>
          <w:highlight w:val="none"/>
          <w:u w:val="single"/>
        </w:rPr>
        <w:t>（</w:t>
      </w:r>
      <w:r>
        <w:rPr>
          <w:rFonts w:hint="eastAsia"/>
          <w:color w:val="auto"/>
          <w:sz w:val="24"/>
          <w:highlight w:val="none"/>
          <w:u w:val="single"/>
          <w:lang w:val="en-US"/>
        </w:rPr>
        <w:t>招标人</w:t>
      </w:r>
      <w:r>
        <w:rPr>
          <w:rFonts w:hint="eastAsia"/>
          <w:color w:val="auto"/>
          <w:sz w:val="24"/>
          <w:highlight w:val="none"/>
          <w:u w:val="single"/>
        </w:rPr>
        <w:t>）</w:t>
      </w:r>
      <w:r>
        <w:rPr>
          <w:rFonts w:hint="eastAsia"/>
          <w:color w:val="auto"/>
          <w:sz w:val="24"/>
          <w:highlight w:val="none"/>
          <w:u w:val="single"/>
          <w:lang w:val="en-US"/>
        </w:rPr>
        <w:t xml:space="preserve">       </w:t>
      </w:r>
      <w:r>
        <w:rPr>
          <w:color w:val="auto"/>
          <w:sz w:val="24"/>
          <w:highlight w:val="none"/>
          <w:u w:val="single"/>
        </w:rPr>
        <w:t xml:space="preserve"> </w:t>
      </w:r>
    </w:p>
    <w:p>
      <w:pPr>
        <w:widowControl/>
        <w:spacing w:line="360" w:lineRule="auto"/>
        <w:textAlignment w:val="bottom"/>
        <w:rPr>
          <w:color w:val="auto"/>
          <w:sz w:val="24"/>
          <w:highlight w:val="none"/>
        </w:rPr>
      </w:pPr>
    </w:p>
    <w:p>
      <w:pPr>
        <w:widowControl/>
        <w:spacing w:line="360" w:lineRule="auto"/>
        <w:ind w:left="-180" w:firstLine="518" w:firstLineChars="216"/>
        <w:textAlignment w:val="bottom"/>
        <w:rPr>
          <w:color w:val="auto"/>
          <w:sz w:val="24"/>
          <w:szCs w:val="20"/>
          <w:highlight w:val="none"/>
        </w:rPr>
      </w:pPr>
      <w:r>
        <w:rPr>
          <w:rFonts w:hint="eastAsia"/>
          <w:color w:val="auto"/>
          <w:sz w:val="24"/>
          <w:szCs w:val="20"/>
          <w:highlight w:val="none"/>
        </w:rPr>
        <w:t>我单位在</w:t>
      </w:r>
      <w:r>
        <w:rPr>
          <w:color w:val="auto"/>
          <w:sz w:val="24"/>
          <w:highlight w:val="none"/>
          <w:u w:val="single"/>
        </w:rPr>
        <w:t xml:space="preserve">     </w:t>
      </w:r>
      <w:r>
        <w:rPr>
          <w:rFonts w:hint="eastAsia"/>
          <w:color w:val="auto"/>
          <w:sz w:val="24"/>
          <w:highlight w:val="none"/>
          <w:u w:val="single"/>
        </w:rPr>
        <w:t>（项目名称）</w:t>
      </w:r>
      <w:r>
        <w:rPr>
          <w:rFonts w:hint="eastAsia"/>
          <w:color w:val="auto"/>
          <w:sz w:val="24"/>
          <w:highlight w:val="none"/>
          <w:u w:val="single"/>
          <w:lang w:val="en-US"/>
        </w:rPr>
        <w:t xml:space="preserve">    </w:t>
      </w:r>
      <w:r>
        <w:rPr>
          <w:rFonts w:hint="eastAsia"/>
          <w:color w:val="auto"/>
          <w:sz w:val="24"/>
          <w:szCs w:val="20"/>
          <w:highlight w:val="none"/>
        </w:rPr>
        <w:t>施工招标中，如有幸中标</w:t>
      </w:r>
      <w:r>
        <w:rPr>
          <w:color w:val="auto"/>
          <w:sz w:val="24"/>
          <w:szCs w:val="20"/>
          <w:highlight w:val="none"/>
        </w:rPr>
        <w:t xml:space="preserve">, </w:t>
      </w:r>
      <w:r>
        <w:rPr>
          <w:rFonts w:hint="eastAsia"/>
          <w:color w:val="auto"/>
          <w:sz w:val="24"/>
          <w:szCs w:val="20"/>
          <w:highlight w:val="none"/>
        </w:rPr>
        <w:t>非常感谢评委会及发包人的信任</w:t>
      </w:r>
      <w:r>
        <w:rPr>
          <w:color w:val="auto"/>
          <w:sz w:val="24"/>
          <w:szCs w:val="20"/>
          <w:highlight w:val="none"/>
        </w:rPr>
        <w:t xml:space="preserve">, </w:t>
      </w:r>
      <w:r>
        <w:rPr>
          <w:rFonts w:hint="eastAsia"/>
          <w:color w:val="auto"/>
          <w:sz w:val="24"/>
          <w:szCs w:val="20"/>
          <w:highlight w:val="none"/>
        </w:rPr>
        <w:t>在这项工程的实施过程中，我们除响应招标文件的所有条款、履行合同内容外，并郑重承诺：</w:t>
      </w:r>
    </w:p>
    <w:p>
      <w:pPr>
        <w:widowControl/>
        <w:spacing w:line="360" w:lineRule="auto"/>
        <w:ind w:left="-180" w:firstLine="518" w:firstLineChars="216"/>
        <w:textAlignment w:val="bottom"/>
        <w:rPr>
          <w:color w:val="auto"/>
          <w:sz w:val="24"/>
          <w:szCs w:val="20"/>
          <w:highlight w:val="none"/>
        </w:rPr>
      </w:pPr>
      <w:r>
        <w:rPr>
          <w:rFonts w:hint="eastAsia"/>
          <w:color w:val="auto"/>
          <w:sz w:val="24"/>
          <w:szCs w:val="20"/>
          <w:highlight w:val="none"/>
        </w:rPr>
        <w:t>在此项工程施工过程中，投入按投标文件承诺的人员、设备和主体施工队伍，一定精心设计、精心组织，确保工期和质量，并保证不违法转包中标工程，不非法分包中标工程</w:t>
      </w:r>
      <w:r>
        <w:rPr>
          <w:color w:val="auto"/>
          <w:sz w:val="24"/>
          <w:szCs w:val="20"/>
          <w:highlight w:val="none"/>
        </w:rPr>
        <w:t xml:space="preserve">, </w:t>
      </w:r>
      <w:r>
        <w:rPr>
          <w:rFonts w:hint="eastAsia"/>
          <w:color w:val="auto"/>
          <w:sz w:val="24"/>
          <w:szCs w:val="20"/>
          <w:highlight w:val="none"/>
        </w:rPr>
        <w:t>并随时接受发包人和招投标管理部门的监督。因特殊工序确需分包的，一定要征得发包人、监理人的同意，并报招投标管理机构备案。接受招投标管理机构检查，并对所分包工程的管理、工程质量等负全责。</w:t>
      </w:r>
    </w:p>
    <w:p>
      <w:pPr>
        <w:widowControl/>
        <w:spacing w:line="360" w:lineRule="auto"/>
        <w:ind w:left="-180" w:firstLine="518" w:firstLineChars="216"/>
        <w:textAlignment w:val="bottom"/>
        <w:rPr>
          <w:color w:val="auto"/>
          <w:sz w:val="24"/>
          <w:szCs w:val="20"/>
          <w:highlight w:val="none"/>
        </w:rPr>
      </w:pPr>
      <w:r>
        <w:rPr>
          <w:rFonts w:hint="eastAsia"/>
          <w:color w:val="auto"/>
          <w:sz w:val="24"/>
          <w:szCs w:val="20"/>
          <w:highlight w:val="none"/>
        </w:rPr>
        <w:t>若我单位在项目实施过程中自食其言，不按招标文件规定的计划安排，出现违法转包、非法分包等行为</w:t>
      </w:r>
      <w:r>
        <w:rPr>
          <w:color w:val="auto"/>
          <w:sz w:val="24"/>
          <w:szCs w:val="20"/>
          <w:highlight w:val="none"/>
        </w:rPr>
        <w:t xml:space="preserve">, </w:t>
      </w:r>
      <w:r>
        <w:rPr>
          <w:rFonts w:hint="eastAsia"/>
          <w:color w:val="auto"/>
          <w:sz w:val="24"/>
          <w:szCs w:val="20"/>
          <w:highlight w:val="none"/>
        </w:rPr>
        <w:t>甘愿按合同条款第</w:t>
      </w:r>
      <w:r>
        <w:rPr>
          <w:color w:val="auto"/>
          <w:sz w:val="24"/>
          <w:szCs w:val="20"/>
          <w:highlight w:val="none"/>
        </w:rPr>
        <w:t>22.1</w:t>
      </w:r>
      <w:r>
        <w:rPr>
          <w:rFonts w:hint="eastAsia"/>
          <w:color w:val="auto"/>
          <w:sz w:val="24"/>
          <w:szCs w:val="20"/>
          <w:highlight w:val="none"/>
        </w:rPr>
        <w:t>款规定接受处罚，并自动撤出现场，接受发包人的工程损失索赔，放弃今后</w:t>
      </w:r>
      <w:r>
        <w:rPr>
          <w:color w:val="auto"/>
          <w:sz w:val="24"/>
          <w:szCs w:val="20"/>
          <w:highlight w:val="none"/>
        </w:rPr>
        <w:t>3</w:t>
      </w:r>
      <w:r>
        <w:rPr>
          <w:rFonts w:hint="eastAsia"/>
          <w:color w:val="auto"/>
          <w:sz w:val="24"/>
          <w:szCs w:val="20"/>
          <w:highlight w:val="none"/>
        </w:rPr>
        <w:t>年内在辽宁省其它项目中的投标资格。</w:t>
      </w:r>
    </w:p>
    <w:p>
      <w:pPr>
        <w:widowControl/>
        <w:spacing w:line="360" w:lineRule="auto"/>
        <w:ind w:left="340"/>
        <w:textAlignment w:val="bottom"/>
        <w:rPr>
          <w:color w:val="auto"/>
          <w:sz w:val="24"/>
          <w:highlight w:val="none"/>
        </w:rPr>
      </w:pPr>
    </w:p>
    <w:p>
      <w:pPr>
        <w:widowControl/>
        <w:spacing w:line="360" w:lineRule="auto"/>
        <w:ind w:left="340"/>
        <w:textAlignment w:val="bottom"/>
        <w:rPr>
          <w:color w:val="auto"/>
          <w:sz w:val="24"/>
          <w:highlight w:val="none"/>
        </w:rPr>
      </w:pPr>
    </w:p>
    <w:p>
      <w:pPr>
        <w:widowControl/>
        <w:spacing w:line="360" w:lineRule="auto"/>
        <w:ind w:left="340"/>
        <w:textAlignment w:val="bottom"/>
        <w:rPr>
          <w:color w:val="auto"/>
          <w:sz w:val="24"/>
          <w:highlight w:val="none"/>
        </w:rPr>
      </w:pPr>
    </w:p>
    <w:p>
      <w:pPr>
        <w:widowControl/>
        <w:spacing w:line="360" w:lineRule="auto"/>
        <w:ind w:left="356" w:leftChars="162" w:firstLine="4080" w:firstLineChars="1700"/>
        <w:textAlignment w:val="bottom"/>
        <w:rPr>
          <w:color w:val="auto"/>
          <w:sz w:val="24"/>
          <w:highlight w:val="none"/>
        </w:rPr>
      </w:pPr>
      <w:r>
        <w:rPr>
          <w:rFonts w:hint="eastAsia"/>
          <w:color w:val="auto"/>
          <w:sz w:val="24"/>
          <w:highlight w:val="none"/>
        </w:rPr>
        <w:t>承诺单位：</w:t>
      </w:r>
      <w:r>
        <w:rPr>
          <w:color w:val="auto"/>
          <w:sz w:val="24"/>
          <w:highlight w:val="none"/>
        </w:rPr>
        <w:t xml:space="preserve"> _______(</w:t>
      </w:r>
      <w:r>
        <w:rPr>
          <w:rFonts w:hint="eastAsia"/>
          <w:color w:val="auto"/>
          <w:sz w:val="24"/>
          <w:highlight w:val="none"/>
        </w:rPr>
        <w:t>全称</w:t>
      </w:r>
      <w:r>
        <w:rPr>
          <w:color w:val="auto"/>
          <w:sz w:val="24"/>
          <w:highlight w:val="none"/>
        </w:rPr>
        <w:t>)(</w:t>
      </w:r>
      <w:r>
        <w:rPr>
          <w:rFonts w:hint="eastAsia"/>
          <w:color w:val="auto"/>
          <w:sz w:val="24"/>
          <w:highlight w:val="none"/>
        </w:rPr>
        <w:t>盖单位章</w:t>
      </w:r>
      <w:r>
        <w:rPr>
          <w:color w:val="auto"/>
          <w:sz w:val="24"/>
          <w:highlight w:val="none"/>
        </w:rPr>
        <w:t>)</w:t>
      </w:r>
    </w:p>
    <w:p>
      <w:pPr>
        <w:widowControl/>
        <w:spacing w:line="360" w:lineRule="auto"/>
        <w:ind w:left="340" w:firstLine="4700"/>
        <w:textAlignment w:val="bottom"/>
        <w:rPr>
          <w:color w:val="auto"/>
          <w:sz w:val="24"/>
          <w:highlight w:val="none"/>
        </w:rPr>
      </w:pPr>
    </w:p>
    <w:p>
      <w:pPr>
        <w:widowControl/>
        <w:spacing w:line="360" w:lineRule="auto"/>
        <w:ind w:left="356" w:leftChars="162"/>
        <w:jc w:val="right"/>
        <w:textAlignment w:val="bottom"/>
        <w:rPr>
          <w:color w:val="auto"/>
          <w:sz w:val="24"/>
          <w:highlight w:val="none"/>
          <w:u w:val="single"/>
        </w:rPr>
      </w:pPr>
      <w:r>
        <w:rPr>
          <w:rFonts w:hint="eastAsia"/>
          <w:color w:val="auto"/>
          <w:sz w:val="24"/>
          <w:highlight w:val="none"/>
        </w:rPr>
        <w:t>法定代表人或其委托代理人：</w:t>
      </w:r>
      <w:r>
        <w:rPr>
          <w:color w:val="auto"/>
          <w:sz w:val="24"/>
          <w:highlight w:val="none"/>
        </w:rPr>
        <w:t xml:space="preserve"> ____________(</w:t>
      </w:r>
      <w:r>
        <w:rPr>
          <w:rFonts w:hint="eastAsia"/>
          <w:color w:val="auto"/>
          <w:sz w:val="24"/>
          <w:highlight w:val="none"/>
        </w:rPr>
        <w:t>签字</w:t>
      </w:r>
      <w:r>
        <w:rPr>
          <w:color w:val="auto"/>
          <w:sz w:val="24"/>
          <w:highlight w:val="none"/>
        </w:rPr>
        <w:t>)</w:t>
      </w:r>
    </w:p>
    <w:p>
      <w:pPr>
        <w:widowControl/>
        <w:spacing w:line="360" w:lineRule="auto"/>
        <w:ind w:left="340"/>
        <w:textAlignment w:val="bottom"/>
        <w:rPr>
          <w:color w:val="auto"/>
          <w:sz w:val="24"/>
          <w:highlight w:val="none"/>
        </w:rPr>
      </w:pPr>
    </w:p>
    <w:p>
      <w:pPr>
        <w:widowControl/>
        <w:spacing w:line="360" w:lineRule="auto"/>
        <w:ind w:left="340"/>
        <w:textAlignment w:val="bottom"/>
        <w:rPr>
          <w:color w:val="auto"/>
          <w:sz w:val="24"/>
          <w:highlight w:val="none"/>
        </w:rPr>
      </w:pPr>
    </w:p>
    <w:p>
      <w:pPr>
        <w:spacing w:before="56"/>
        <w:ind w:right="178"/>
        <w:jc w:val="center"/>
        <w:rPr>
          <w:rFonts w:ascii="黑体" w:eastAsia="黑体"/>
          <w:color w:val="auto"/>
          <w:sz w:val="28"/>
          <w:highlight w:val="none"/>
        </w:rPr>
        <w:sectPr>
          <w:footerReference r:id="rId59" w:type="default"/>
          <w:pgSz w:w="11907" w:h="16840"/>
          <w:pgMar w:top="1418" w:right="1191" w:bottom="1418" w:left="1191" w:header="873" w:footer="851" w:gutter="0"/>
          <w:cols w:space="720" w:num="1"/>
        </w:sectPr>
      </w:pPr>
      <w:r>
        <w:rPr>
          <w:rFonts w:hint="eastAsia"/>
          <w:color w:val="auto"/>
          <w:sz w:val="24"/>
          <w:highlight w:val="none"/>
          <w:lang w:val="en-US"/>
        </w:rPr>
        <w:t xml:space="preserve">                                                        </w:t>
      </w:r>
      <w:r>
        <w:rPr>
          <w:color w:val="auto"/>
          <w:sz w:val="24"/>
          <w:highlight w:val="none"/>
        </w:rPr>
        <w:t>______</w:t>
      </w:r>
      <w:r>
        <w:rPr>
          <w:rFonts w:hint="eastAsia"/>
          <w:color w:val="auto"/>
          <w:sz w:val="24"/>
          <w:highlight w:val="none"/>
        </w:rPr>
        <w:t>年</w:t>
      </w:r>
      <w:r>
        <w:rPr>
          <w:color w:val="auto"/>
          <w:sz w:val="24"/>
          <w:highlight w:val="none"/>
        </w:rPr>
        <w:t>____</w:t>
      </w:r>
      <w:r>
        <w:rPr>
          <w:rFonts w:hint="eastAsia"/>
          <w:color w:val="auto"/>
          <w:sz w:val="24"/>
          <w:highlight w:val="none"/>
        </w:rPr>
        <w:t>月</w:t>
      </w:r>
      <w:r>
        <w:rPr>
          <w:color w:val="auto"/>
          <w:sz w:val="24"/>
          <w:highlight w:val="none"/>
        </w:rPr>
        <w:t>____</w:t>
      </w:r>
      <w:r>
        <w:rPr>
          <w:rFonts w:hint="eastAsia"/>
          <w:color w:val="auto"/>
          <w:sz w:val="24"/>
          <w:highlight w:val="none"/>
        </w:rPr>
        <w:t>日</w:t>
      </w:r>
    </w:p>
    <w:p>
      <w:pPr>
        <w:pStyle w:val="4"/>
        <w:spacing w:beforeLines="50" w:afterLines="100" w:line="360" w:lineRule="auto"/>
        <w:ind w:left="0"/>
        <w:jc w:val="center"/>
        <w:rPr>
          <w:rFonts w:hAnsi="宋体"/>
          <w:color w:val="auto"/>
          <w:sz w:val="30"/>
          <w:szCs w:val="30"/>
          <w:highlight w:val="none"/>
          <w:lang w:val="en-US"/>
        </w:rPr>
      </w:pPr>
      <w:bookmarkStart w:id="4455" w:name="_Toc3407"/>
      <w:bookmarkStart w:id="4456" w:name="_Toc476383404"/>
      <w:bookmarkStart w:id="4457" w:name="_Toc38375661"/>
      <w:r>
        <w:rPr>
          <w:rFonts w:hint="eastAsia" w:hAnsi="宋体"/>
          <w:color w:val="auto"/>
          <w:sz w:val="30"/>
          <w:szCs w:val="30"/>
          <w:highlight w:val="none"/>
          <w:lang w:val="en-US"/>
        </w:rPr>
        <w:t>十、关于保证</w:t>
      </w:r>
      <w:r>
        <w:rPr>
          <w:rFonts w:hint="eastAsia" w:hAnsi="宋体"/>
          <w:color w:val="auto"/>
          <w:sz w:val="30"/>
          <w:szCs w:val="30"/>
          <w:highlight w:val="none"/>
        </w:rPr>
        <w:t>注册建造师及技术负责人等主要施工人员</w:t>
      </w:r>
      <w:r>
        <w:rPr>
          <w:rFonts w:hint="eastAsia" w:hAnsi="宋体"/>
          <w:color w:val="auto"/>
          <w:sz w:val="30"/>
          <w:szCs w:val="30"/>
          <w:highlight w:val="none"/>
          <w:lang w:val="en-US"/>
        </w:rPr>
        <w:t>投入的承诺</w:t>
      </w:r>
      <w:bookmarkEnd w:id="4455"/>
    </w:p>
    <w:p>
      <w:pPr>
        <w:adjustRightInd w:val="0"/>
        <w:snapToGrid w:val="0"/>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lang w:val="en-US"/>
        </w:rPr>
        <w:t xml:space="preserve">    </w:t>
      </w:r>
      <w:r>
        <w:rPr>
          <w:rFonts w:hint="eastAsia"/>
          <w:color w:val="auto"/>
          <w:sz w:val="24"/>
          <w:szCs w:val="24"/>
          <w:highlight w:val="none"/>
          <w:u w:val="single"/>
        </w:rPr>
        <w:t>（</w:t>
      </w:r>
      <w:r>
        <w:rPr>
          <w:rFonts w:hint="eastAsia"/>
          <w:color w:val="auto"/>
          <w:sz w:val="24"/>
          <w:szCs w:val="24"/>
          <w:highlight w:val="none"/>
          <w:u w:val="single"/>
          <w:lang w:val="en-US"/>
        </w:rPr>
        <w:t>招标人</w:t>
      </w:r>
      <w:r>
        <w:rPr>
          <w:rFonts w:hint="eastAsia"/>
          <w:color w:val="auto"/>
          <w:sz w:val="24"/>
          <w:szCs w:val="24"/>
          <w:highlight w:val="none"/>
          <w:u w:val="single"/>
        </w:rPr>
        <w:t>）</w:t>
      </w:r>
      <w:r>
        <w:rPr>
          <w:rFonts w:hint="eastAsia"/>
          <w:color w:val="auto"/>
          <w:sz w:val="24"/>
          <w:szCs w:val="24"/>
          <w:highlight w:val="none"/>
          <w:u w:val="single"/>
          <w:lang w:val="en-US"/>
        </w:rPr>
        <w:t xml:space="preserve">       </w:t>
      </w:r>
      <w:r>
        <w:rPr>
          <w:color w:val="auto"/>
          <w:sz w:val="24"/>
          <w:szCs w:val="24"/>
          <w:highlight w:val="none"/>
          <w:u w:val="single"/>
        </w:rPr>
        <w:t xml:space="preserve"> </w:t>
      </w:r>
    </w:p>
    <w:p>
      <w:pPr>
        <w:adjustRightInd w:val="0"/>
        <w:snapToGrid w:val="0"/>
        <w:spacing w:line="360" w:lineRule="auto"/>
        <w:rPr>
          <w:color w:val="auto"/>
          <w:sz w:val="24"/>
          <w:szCs w:val="24"/>
          <w:highlight w:val="none"/>
        </w:rPr>
      </w:pPr>
    </w:p>
    <w:p>
      <w:pPr>
        <w:widowControl/>
        <w:adjustRightInd w:val="0"/>
        <w:snapToGrid w:val="0"/>
        <w:spacing w:line="360" w:lineRule="auto"/>
        <w:ind w:left="-180" w:firstLine="518" w:firstLineChars="216"/>
        <w:textAlignment w:val="bottom"/>
        <w:rPr>
          <w:color w:val="auto"/>
          <w:sz w:val="24"/>
          <w:szCs w:val="24"/>
          <w:highlight w:val="none"/>
        </w:rPr>
      </w:pPr>
      <w:r>
        <w:rPr>
          <w:rFonts w:hint="eastAsia"/>
          <w:color w:val="auto"/>
          <w:sz w:val="24"/>
          <w:szCs w:val="24"/>
          <w:highlight w:val="none"/>
        </w:rPr>
        <w:t>我单位在</w:t>
      </w:r>
      <w:r>
        <w:rPr>
          <w:color w:val="auto"/>
          <w:sz w:val="24"/>
          <w:szCs w:val="24"/>
          <w:highlight w:val="none"/>
          <w:u w:val="single"/>
        </w:rPr>
        <w:t xml:space="preserve">     </w:t>
      </w:r>
      <w:r>
        <w:rPr>
          <w:rFonts w:hint="eastAsia"/>
          <w:color w:val="auto"/>
          <w:sz w:val="24"/>
          <w:szCs w:val="24"/>
          <w:highlight w:val="none"/>
          <w:u w:val="single"/>
        </w:rPr>
        <w:t>（项目名称）</w:t>
      </w:r>
      <w:r>
        <w:rPr>
          <w:rFonts w:hint="eastAsia"/>
          <w:color w:val="auto"/>
          <w:sz w:val="24"/>
          <w:szCs w:val="24"/>
          <w:highlight w:val="none"/>
          <w:u w:val="single"/>
          <w:lang w:val="en-US"/>
        </w:rPr>
        <w:t xml:space="preserve">    </w:t>
      </w:r>
      <w:r>
        <w:rPr>
          <w:rFonts w:hint="eastAsia"/>
          <w:color w:val="auto"/>
          <w:sz w:val="24"/>
          <w:szCs w:val="24"/>
          <w:highlight w:val="none"/>
        </w:rPr>
        <w:t>施工招标中，如有幸中标</w:t>
      </w:r>
      <w:r>
        <w:rPr>
          <w:color w:val="auto"/>
          <w:sz w:val="24"/>
          <w:szCs w:val="24"/>
          <w:highlight w:val="none"/>
        </w:rPr>
        <w:t xml:space="preserve">, </w:t>
      </w:r>
      <w:r>
        <w:rPr>
          <w:rFonts w:hint="eastAsia"/>
          <w:color w:val="auto"/>
          <w:sz w:val="24"/>
          <w:szCs w:val="24"/>
          <w:highlight w:val="none"/>
        </w:rPr>
        <w:t>非常感谢评委会及发包人的信任</w:t>
      </w:r>
      <w:r>
        <w:rPr>
          <w:color w:val="auto"/>
          <w:sz w:val="24"/>
          <w:szCs w:val="24"/>
          <w:highlight w:val="none"/>
        </w:rPr>
        <w:t xml:space="preserve">, </w:t>
      </w:r>
      <w:r>
        <w:rPr>
          <w:rFonts w:hint="eastAsia"/>
          <w:color w:val="auto"/>
          <w:sz w:val="24"/>
          <w:szCs w:val="24"/>
          <w:highlight w:val="none"/>
        </w:rPr>
        <w:t>在这项工程的实施过程中，我们除响应招标文件的所有条款、履行合同内容外，并郑重承诺：</w:t>
      </w:r>
    </w:p>
    <w:p>
      <w:pPr>
        <w:widowControl/>
        <w:adjustRightInd w:val="0"/>
        <w:snapToGrid w:val="0"/>
        <w:spacing w:line="360" w:lineRule="auto"/>
        <w:ind w:left="-180" w:firstLine="518" w:firstLineChars="216"/>
        <w:textAlignment w:val="bottom"/>
        <w:rPr>
          <w:color w:val="auto"/>
          <w:sz w:val="24"/>
          <w:szCs w:val="24"/>
          <w:highlight w:val="none"/>
        </w:rPr>
      </w:pPr>
      <w:r>
        <w:rPr>
          <w:rFonts w:hint="eastAsia"/>
          <w:color w:val="auto"/>
          <w:sz w:val="24"/>
          <w:szCs w:val="24"/>
          <w:highlight w:val="none"/>
        </w:rPr>
        <w:t>在没有得到</w:t>
      </w:r>
      <w:r>
        <w:rPr>
          <w:rFonts w:hint="eastAsia"/>
          <w:color w:val="auto"/>
          <w:sz w:val="24"/>
          <w:szCs w:val="24"/>
          <w:highlight w:val="none"/>
          <w:lang w:val="en-US"/>
        </w:rPr>
        <w:t>发包人</w:t>
      </w:r>
      <w:r>
        <w:rPr>
          <w:rFonts w:hint="eastAsia"/>
          <w:color w:val="auto"/>
          <w:sz w:val="24"/>
          <w:szCs w:val="24"/>
          <w:highlight w:val="none"/>
        </w:rPr>
        <w:t>同意的情况下</w:t>
      </w:r>
      <w:r>
        <w:rPr>
          <w:rFonts w:hint="eastAsia"/>
          <w:color w:val="auto"/>
          <w:sz w:val="24"/>
          <w:szCs w:val="24"/>
          <w:highlight w:val="none"/>
          <w:lang w:val="en-US"/>
        </w:rPr>
        <w:t>绝不</w:t>
      </w:r>
      <w:r>
        <w:rPr>
          <w:rFonts w:hint="eastAsia"/>
          <w:color w:val="auto"/>
          <w:sz w:val="24"/>
          <w:szCs w:val="24"/>
          <w:highlight w:val="none"/>
        </w:rPr>
        <w:t>更换注册建造师及技术负责人等主要施工人员。</w:t>
      </w:r>
      <w:r>
        <w:rPr>
          <w:rFonts w:hint="eastAsia"/>
          <w:color w:val="auto"/>
          <w:sz w:val="24"/>
          <w:szCs w:val="24"/>
          <w:highlight w:val="none"/>
          <w:lang w:val="en-US"/>
        </w:rPr>
        <w:t>我单位</w:t>
      </w:r>
      <w:r>
        <w:rPr>
          <w:rFonts w:hint="eastAsia"/>
          <w:color w:val="auto"/>
          <w:sz w:val="24"/>
          <w:szCs w:val="24"/>
          <w:highlight w:val="none"/>
        </w:rPr>
        <w:t>如</w:t>
      </w:r>
      <w:r>
        <w:rPr>
          <w:rFonts w:hint="eastAsia"/>
          <w:color w:val="auto"/>
          <w:sz w:val="24"/>
          <w:szCs w:val="24"/>
          <w:highlight w:val="none"/>
          <w:lang w:val="en-US"/>
        </w:rPr>
        <w:t>因特殊情况</w:t>
      </w:r>
      <w:r>
        <w:rPr>
          <w:rFonts w:hint="eastAsia"/>
          <w:color w:val="auto"/>
          <w:sz w:val="24"/>
          <w:szCs w:val="24"/>
          <w:highlight w:val="none"/>
        </w:rPr>
        <w:t>需要更换注册建造师，</w:t>
      </w:r>
      <w:r>
        <w:rPr>
          <w:rFonts w:hint="eastAsia"/>
          <w:color w:val="auto"/>
          <w:sz w:val="24"/>
          <w:szCs w:val="24"/>
          <w:highlight w:val="none"/>
          <w:lang w:val="en-US"/>
        </w:rPr>
        <w:t>将</w:t>
      </w:r>
      <w:r>
        <w:rPr>
          <w:rFonts w:hint="eastAsia"/>
          <w:color w:val="auto"/>
          <w:sz w:val="24"/>
          <w:szCs w:val="24"/>
          <w:highlight w:val="none"/>
        </w:rPr>
        <w:t>至少提前7天以书面形式通知</w:t>
      </w:r>
      <w:r>
        <w:rPr>
          <w:rFonts w:hint="eastAsia"/>
          <w:color w:val="auto"/>
          <w:sz w:val="24"/>
          <w:szCs w:val="24"/>
          <w:highlight w:val="none"/>
          <w:lang w:val="en-US"/>
        </w:rPr>
        <w:t>发包人</w:t>
      </w:r>
      <w:r>
        <w:rPr>
          <w:rFonts w:hint="eastAsia"/>
          <w:color w:val="auto"/>
          <w:sz w:val="24"/>
          <w:szCs w:val="24"/>
          <w:highlight w:val="none"/>
        </w:rPr>
        <w:t>，并征得</w:t>
      </w:r>
      <w:r>
        <w:rPr>
          <w:rFonts w:hint="eastAsia"/>
          <w:color w:val="auto"/>
          <w:sz w:val="24"/>
          <w:szCs w:val="24"/>
          <w:highlight w:val="none"/>
          <w:lang w:val="en-US"/>
        </w:rPr>
        <w:t>发包人</w:t>
      </w:r>
      <w:r>
        <w:rPr>
          <w:rFonts w:hint="eastAsia"/>
          <w:color w:val="auto"/>
          <w:sz w:val="24"/>
          <w:szCs w:val="24"/>
          <w:highlight w:val="none"/>
        </w:rPr>
        <w:t>同意。后任注册建造师的资格、资历、业务水平不低于前任注册建造师，否则</w:t>
      </w:r>
      <w:r>
        <w:rPr>
          <w:rFonts w:hint="eastAsia"/>
          <w:color w:val="auto"/>
          <w:sz w:val="24"/>
          <w:szCs w:val="24"/>
          <w:highlight w:val="none"/>
          <w:lang w:val="en-US"/>
        </w:rPr>
        <w:t>发包人有权要求我单位</w:t>
      </w:r>
      <w:r>
        <w:rPr>
          <w:rFonts w:hint="eastAsia"/>
          <w:color w:val="auto"/>
          <w:sz w:val="24"/>
          <w:szCs w:val="24"/>
          <w:highlight w:val="none"/>
        </w:rPr>
        <w:t>调换注册建造师直至</w:t>
      </w:r>
      <w:r>
        <w:rPr>
          <w:rFonts w:hint="eastAsia"/>
          <w:color w:val="auto"/>
          <w:sz w:val="24"/>
          <w:szCs w:val="24"/>
          <w:highlight w:val="none"/>
          <w:lang w:val="en-US"/>
        </w:rPr>
        <w:t>发包人</w:t>
      </w:r>
      <w:r>
        <w:rPr>
          <w:rFonts w:hint="eastAsia"/>
          <w:color w:val="auto"/>
          <w:sz w:val="24"/>
          <w:szCs w:val="24"/>
          <w:highlight w:val="none"/>
        </w:rPr>
        <w:t>满意为止。</w:t>
      </w:r>
    </w:p>
    <w:p>
      <w:pPr>
        <w:widowControl/>
        <w:adjustRightInd w:val="0"/>
        <w:snapToGrid w:val="0"/>
        <w:spacing w:line="360" w:lineRule="auto"/>
        <w:ind w:left="-180" w:firstLine="518" w:firstLineChars="216"/>
        <w:textAlignment w:val="bottom"/>
        <w:rPr>
          <w:color w:val="auto"/>
          <w:sz w:val="24"/>
          <w:szCs w:val="20"/>
          <w:highlight w:val="none"/>
        </w:rPr>
      </w:pPr>
      <w:r>
        <w:rPr>
          <w:rFonts w:hint="eastAsia"/>
          <w:color w:val="auto"/>
          <w:sz w:val="24"/>
          <w:szCs w:val="24"/>
          <w:highlight w:val="none"/>
        </w:rPr>
        <w:t>若我单位在项目实施过程中自食其言，甘愿按合同条款第</w:t>
      </w:r>
      <w:r>
        <w:rPr>
          <w:color w:val="auto"/>
          <w:sz w:val="24"/>
          <w:szCs w:val="24"/>
          <w:highlight w:val="none"/>
        </w:rPr>
        <w:t>22.1</w:t>
      </w:r>
      <w:r>
        <w:rPr>
          <w:rFonts w:hint="eastAsia"/>
          <w:color w:val="auto"/>
          <w:sz w:val="24"/>
          <w:szCs w:val="24"/>
          <w:highlight w:val="none"/>
        </w:rPr>
        <w:t>款规定接受处罚，并自动撤出现场，接受发包人的工程损失索赔，放弃今后</w:t>
      </w:r>
      <w:r>
        <w:rPr>
          <w:color w:val="auto"/>
          <w:sz w:val="24"/>
          <w:szCs w:val="24"/>
          <w:highlight w:val="none"/>
        </w:rPr>
        <w:t>3</w:t>
      </w:r>
      <w:r>
        <w:rPr>
          <w:rFonts w:hint="eastAsia"/>
          <w:color w:val="auto"/>
          <w:sz w:val="24"/>
          <w:szCs w:val="24"/>
          <w:highlight w:val="none"/>
        </w:rPr>
        <w:t>年内在辽宁省其它项目中的投标资格。</w:t>
      </w:r>
    </w:p>
    <w:p>
      <w:pPr>
        <w:widowControl/>
        <w:spacing w:line="360" w:lineRule="auto"/>
        <w:ind w:left="340"/>
        <w:textAlignment w:val="bottom"/>
        <w:rPr>
          <w:color w:val="auto"/>
          <w:sz w:val="24"/>
          <w:highlight w:val="none"/>
        </w:rPr>
      </w:pPr>
    </w:p>
    <w:p>
      <w:pPr>
        <w:widowControl/>
        <w:spacing w:line="360" w:lineRule="auto"/>
        <w:ind w:left="340"/>
        <w:textAlignment w:val="bottom"/>
        <w:rPr>
          <w:color w:val="auto"/>
          <w:sz w:val="24"/>
          <w:highlight w:val="none"/>
        </w:rPr>
      </w:pPr>
    </w:p>
    <w:p>
      <w:pPr>
        <w:widowControl/>
        <w:spacing w:line="360" w:lineRule="auto"/>
        <w:ind w:left="340"/>
        <w:textAlignment w:val="bottom"/>
        <w:rPr>
          <w:color w:val="auto"/>
          <w:sz w:val="24"/>
          <w:highlight w:val="none"/>
        </w:rPr>
      </w:pPr>
    </w:p>
    <w:p>
      <w:pPr>
        <w:widowControl/>
        <w:spacing w:line="360" w:lineRule="auto"/>
        <w:ind w:left="356" w:leftChars="162" w:firstLine="4080" w:firstLineChars="1700"/>
        <w:textAlignment w:val="bottom"/>
        <w:rPr>
          <w:color w:val="auto"/>
          <w:sz w:val="24"/>
          <w:highlight w:val="none"/>
        </w:rPr>
      </w:pPr>
      <w:r>
        <w:rPr>
          <w:rFonts w:hint="eastAsia"/>
          <w:color w:val="auto"/>
          <w:sz w:val="24"/>
          <w:highlight w:val="none"/>
        </w:rPr>
        <w:t>承诺单位：</w:t>
      </w:r>
      <w:r>
        <w:rPr>
          <w:color w:val="auto"/>
          <w:sz w:val="24"/>
          <w:highlight w:val="none"/>
        </w:rPr>
        <w:t xml:space="preserve"> _______(</w:t>
      </w:r>
      <w:r>
        <w:rPr>
          <w:rFonts w:hint="eastAsia"/>
          <w:color w:val="auto"/>
          <w:sz w:val="24"/>
          <w:highlight w:val="none"/>
        </w:rPr>
        <w:t>全称</w:t>
      </w:r>
      <w:r>
        <w:rPr>
          <w:color w:val="auto"/>
          <w:sz w:val="24"/>
          <w:highlight w:val="none"/>
        </w:rPr>
        <w:t>)(</w:t>
      </w:r>
      <w:r>
        <w:rPr>
          <w:rFonts w:hint="eastAsia"/>
          <w:color w:val="auto"/>
          <w:sz w:val="24"/>
          <w:highlight w:val="none"/>
        </w:rPr>
        <w:t>盖单位章</w:t>
      </w:r>
      <w:r>
        <w:rPr>
          <w:color w:val="auto"/>
          <w:sz w:val="24"/>
          <w:highlight w:val="none"/>
        </w:rPr>
        <w:t>)</w:t>
      </w:r>
    </w:p>
    <w:p>
      <w:pPr>
        <w:widowControl/>
        <w:spacing w:line="360" w:lineRule="auto"/>
        <w:ind w:left="340" w:firstLine="4700"/>
        <w:textAlignment w:val="bottom"/>
        <w:rPr>
          <w:color w:val="auto"/>
          <w:sz w:val="24"/>
          <w:highlight w:val="none"/>
        </w:rPr>
      </w:pPr>
    </w:p>
    <w:p>
      <w:pPr>
        <w:widowControl/>
        <w:spacing w:line="360" w:lineRule="auto"/>
        <w:ind w:left="356" w:leftChars="162"/>
        <w:jc w:val="right"/>
        <w:textAlignment w:val="bottom"/>
        <w:rPr>
          <w:color w:val="auto"/>
          <w:sz w:val="24"/>
          <w:highlight w:val="none"/>
          <w:u w:val="single"/>
        </w:rPr>
      </w:pPr>
      <w:r>
        <w:rPr>
          <w:rFonts w:hint="eastAsia"/>
          <w:color w:val="auto"/>
          <w:sz w:val="24"/>
          <w:highlight w:val="none"/>
        </w:rPr>
        <w:t>法定代表人或其委托代理人：</w:t>
      </w:r>
      <w:r>
        <w:rPr>
          <w:color w:val="auto"/>
          <w:sz w:val="24"/>
          <w:highlight w:val="none"/>
        </w:rPr>
        <w:t xml:space="preserve"> ____________(</w:t>
      </w:r>
      <w:r>
        <w:rPr>
          <w:rFonts w:hint="eastAsia"/>
          <w:color w:val="auto"/>
          <w:sz w:val="24"/>
          <w:highlight w:val="none"/>
        </w:rPr>
        <w:t>签字</w:t>
      </w:r>
      <w:r>
        <w:rPr>
          <w:color w:val="auto"/>
          <w:sz w:val="24"/>
          <w:highlight w:val="none"/>
        </w:rPr>
        <w:t>)</w:t>
      </w:r>
    </w:p>
    <w:p>
      <w:pPr>
        <w:widowControl/>
        <w:spacing w:line="360" w:lineRule="auto"/>
        <w:ind w:left="340"/>
        <w:textAlignment w:val="bottom"/>
        <w:rPr>
          <w:color w:val="auto"/>
          <w:sz w:val="24"/>
          <w:highlight w:val="none"/>
        </w:rPr>
      </w:pPr>
    </w:p>
    <w:p>
      <w:pPr>
        <w:widowControl/>
        <w:spacing w:line="360" w:lineRule="auto"/>
        <w:ind w:left="340"/>
        <w:textAlignment w:val="bottom"/>
        <w:rPr>
          <w:color w:val="auto"/>
          <w:sz w:val="24"/>
          <w:highlight w:val="none"/>
        </w:rPr>
      </w:pPr>
    </w:p>
    <w:p>
      <w:pPr>
        <w:rPr>
          <w:color w:val="auto"/>
          <w:szCs w:val="21"/>
          <w:highlight w:val="none"/>
          <w:lang w:val="en-US"/>
        </w:rPr>
      </w:pPr>
      <w:r>
        <w:rPr>
          <w:rFonts w:hint="eastAsia"/>
          <w:color w:val="auto"/>
          <w:sz w:val="24"/>
          <w:highlight w:val="none"/>
          <w:lang w:val="en-US"/>
        </w:rPr>
        <w:t xml:space="preserve">                                                        </w:t>
      </w:r>
      <w:r>
        <w:rPr>
          <w:color w:val="auto"/>
          <w:sz w:val="24"/>
          <w:highlight w:val="none"/>
        </w:rPr>
        <w:t>______</w:t>
      </w:r>
      <w:r>
        <w:rPr>
          <w:rFonts w:hint="eastAsia"/>
          <w:color w:val="auto"/>
          <w:sz w:val="24"/>
          <w:highlight w:val="none"/>
        </w:rPr>
        <w:t>年</w:t>
      </w:r>
      <w:r>
        <w:rPr>
          <w:color w:val="auto"/>
          <w:sz w:val="24"/>
          <w:highlight w:val="none"/>
        </w:rPr>
        <w:t>____</w:t>
      </w:r>
      <w:r>
        <w:rPr>
          <w:rFonts w:hint="eastAsia"/>
          <w:color w:val="auto"/>
          <w:sz w:val="24"/>
          <w:highlight w:val="none"/>
        </w:rPr>
        <w:t>月</w:t>
      </w:r>
      <w:r>
        <w:rPr>
          <w:color w:val="auto"/>
          <w:sz w:val="24"/>
          <w:highlight w:val="none"/>
        </w:rPr>
        <w:t>____</w:t>
      </w:r>
      <w:r>
        <w:rPr>
          <w:rFonts w:hint="eastAsia"/>
          <w:color w:val="auto"/>
          <w:sz w:val="24"/>
          <w:highlight w:val="none"/>
        </w:rPr>
        <w:t>日</w:t>
      </w:r>
    </w:p>
    <w:p>
      <w:pPr>
        <w:ind w:firstLine="440" w:firstLineChars="200"/>
        <w:rPr>
          <w:color w:val="auto"/>
          <w:szCs w:val="21"/>
          <w:highlight w:val="none"/>
          <w:lang w:val="en-US"/>
        </w:rPr>
      </w:pPr>
    </w:p>
    <w:p>
      <w:pPr>
        <w:ind w:firstLine="440" w:firstLineChars="200"/>
        <w:rPr>
          <w:color w:val="auto"/>
          <w:szCs w:val="21"/>
          <w:highlight w:val="none"/>
          <w:lang w:val="en-US"/>
        </w:rPr>
      </w:pPr>
    </w:p>
    <w:p>
      <w:pPr>
        <w:ind w:firstLine="440" w:firstLineChars="200"/>
        <w:rPr>
          <w:color w:val="auto"/>
          <w:szCs w:val="21"/>
          <w:highlight w:val="none"/>
          <w:lang w:val="en-US"/>
        </w:rPr>
      </w:pPr>
    </w:p>
    <w:p>
      <w:pPr>
        <w:rPr>
          <w:color w:val="auto"/>
          <w:szCs w:val="21"/>
          <w:highlight w:val="none"/>
        </w:rPr>
        <w:sectPr>
          <w:pgSz w:w="11907" w:h="16840"/>
          <w:pgMar w:top="1418" w:right="1191" w:bottom="1418" w:left="1191" w:header="873" w:footer="851" w:gutter="0"/>
          <w:cols w:space="720" w:num="1"/>
        </w:sectPr>
      </w:pPr>
    </w:p>
    <w:p>
      <w:pPr>
        <w:pStyle w:val="4"/>
        <w:spacing w:beforeLines="50" w:afterLines="100" w:line="360" w:lineRule="auto"/>
        <w:ind w:left="0"/>
        <w:jc w:val="center"/>
        <w:rPr>
          <w:rFonts w:hAnsi="宋体"/>
          <w:color w:val="auto"/>
          <w:sz w:val="30"/>
          <w:szCs w:val="30"/>
          <w:highlight w:val="none"/>
        </w:rPr>
      </w:pPr>
      <w:bookmarkStart w:id="4458" w:name="_Toc10412"/>
      <w:r>
        <w:rPr>
          <w:rFonts w:hint="eastAsia" w:hAnsi="宋体"/>
          <w:color w:val="auto"/>
          <w:sz w:val="30"/>
          <w:szCs w:val="30"/>
          <w:highlight w:val="none"/>
        </w:rPr>
        <w:t>十</w:t>
      </w:r>
      <w:r>
        <w:rPr>
          <w:rFonts w:hint="eastAsia" w:hAnsi="宋体"/>
          <w:color w:val="auto"/>
          <w:sz w:val="30"/>
          <w:szCs w:val="30"/>
          <w:highlight w:val="none"/>
          <w:lang w:val="en-US"/>
        </w:rPr>
        <w:t>一</w:t>
      </w:r>
      <w:r>
        <w:rPr>
          <w:rFonts w:hint="eastAsia" w:hAnsi="宋体"/>
          <w:color w:val="auto"/>
          <w:sz w:val="30"/>
          <w:szCs w:val="30"/>
          <w:highlight w:val="none"/>
        </w:rPr>
        <w:t>、中标公示汇总表</w:t>
      </w:r>
      <w:bookmarkEnd w:id="4456"/>
      <w:bookmarkEnd w:id="4457"/>
      <w:bookmarkEnd w:id="4458"/>
    </w:p>
    <w:p>
      <w:pPr>
        <w:widowControl/>
        <w:spacing w:before="112"/>
        <w:jc w:val="center"/>
        <w:rPr>
          <w:color w:val="auto"/>
          <w:sz w:val="24"/>
          <w:highlight w:val="none"/>
        </w:rPr>
      </w:pPr>
      <w:r>
        <w:rPr>
          <w:rFonts w:hint="eastAsia"/>
          <w:color w:val="auto"/>
          <w:sz w:val="24"/>
          <w:highlight w:val="none"/>
        </w:rPr>
        <w:t>企业业绩信息公示汇总表</w:t>
      </w:r>
    </w:p>
    <w:tbl>
      <w:tblPr>
        <w:tblStyle w:val="4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622"/>
        <w:gridCol w:w="1090"/>
        <w:gridCol w:w="1090"/>
        <w:gridCol w:w="984"/>
        <w:gridCol w:w="1355"/>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2" w:type="dxa"/>
            <w:gridSpan w:val="7"/>
          </w:tcPr>
          <w:p>
            <w:pPr>
              <w:widowControl/>
              <w:spacing w:before="112"/>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公司—企业业绩信息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widowControl/>
              <w:spacing w:before="112"/>
              <w:rPr>
                <w:color w:val="auto"/>
                <w:szCs w:val="21"/>
                <w:highlight w:val="none"/>
              </w:rPr>
            </w:pPr>
            <w:r>
              <w:rPr>
                <w:rFonts w:hint="eastAsia"/>
                <w:color w:val="auto"/>
                <w:szCs w:val="21"/>
                <w:highlight w:val="none"/>
              </w:rPr>
              <w:t>序号</w:t>
            </w:r>
          </w:p>
        </w:tc>
        <w:tc>
          <w:tcPr>
            <w:tcW w:w="1622" w:type="dxa"/>
            <w:vAlign w:val="center"/>
          </w:tcPr>
          <w:p>
            <w:pPr>
              <w:widowControl/>
              <w:spacing w:before="112" w:after="112"/>
              <w:jc w:val="center"/>
              <w:rPr>
                <w:color w:val="auto"/>
                <w:szCs w:val="21"/>
                <w:highlight w:val="none"/>
              </w:rPr>
            </w:pPr>
            <w:r>
              <w:rPr>
                <w:rFonts w:hint="eastAsia"/>
                <w:color w:val="auto"/>
                <w:szCs w:val="21"/>
                <w:highlight w:val="none"/>
              </w:rPr>
              <w:t>项目合同全称</w:t>
            </w:r>
          </w:p>
        </w:tc>
        <w:tc>
          <w:tcPr>
            <w:tcW w:w="1090" w:type="dxa"/>
            <w:vAlign w:val="center"/>
          </w:tcPr>
          <w:p>
            <w:pPr>
              <w:widowControl/>
              <w:spacing w:before="112" w:after="112"/>
              <w:jc w:val="center"/>
              <w:rPr>
                <w:color w:val="auto"/>
                <w:szCs w:val="21"/>
                <w:highlight w:val="none"/>
              </w:rPr>
            </w:pPr>
            <w:r>
              <w:rPr>
                <w:rFonts w:hint="eastAsia"/>
                <w:color w:val="auto"/>
                <w:szCs w:val="21"/>
                <w:highlight w:val="none"/>
              </w:rPr>
              <w:t>发包人</w:t>
            </w:r>
          </w:p>
        </w:tc>
        <w:tc>
          <w:tcPr>
            <w:tcW w:w="1090" w:type="dxa"/>
            <w:vAlign w:val="center"/>
          </w:tcPr>
          <w:p>
            <w:pPr>
              <w:widowControl/>
              <w:spacing w:before="112" w:after="112"/>
              <w:jc w:val="center"/>
              <w:rPr>
                <w:color w:val="auto"/>
                <w:szCs w:val="21"/>
                <w:highlight w:val="none"/>
              </w:rPr>
            </w:pPr>
            <w:r>
              <w:rPr>
                <w:rFonts w:hint="eastAsia"/>
                <w:color w:val="auto"/>
                <w:szCs w:val="21"/>
                <w:highlight w:val="none"/>
              </w:rPr>
              <w:t>建设地点</w:t>
            </w:r>
          </w:p>
        </w:tc>
        <w:tc>
          <w:tcPr>
            <w:tcW w:w="984" w:type="dxa"/>
            <w:vAlign w:val="center"/>
          </w:tcPr>
          <w:p>
            <w:pPr>
              <w:widowControl/>
              <w:spacing w:before="112" w:after="112"/>
              <w:jc w:val="center"/>
              <w:rPr>
                <w:color w:val="auto"/>
                <w:szCs w:val="21"/>
                <w:highlight w:val="none"/>
              </w:rPr>
            </w:pPr>
            <w:r>
              <w:rPr>
                <w:rFonts w:hint="eastAsia"/>
                <w:color w:val="auto"/>
                <w:szCs w:val="21"/>
                <w:highlight w:val="none"/>
              </w:rPr>
              <w:t>交（竣）工年月</w:t>
            </w:r>
          </w:p>
        </w:tc>
        <w:tc>
          <w:tcPr>
            <w:tcW w:w="1355" w:type="dxa"/>
            <w:vAlign w:val="center"/>
          </w:tcPr>
          <w:p>
            <w:pPr>
              <w:widowControl/>
              <w:spacing w:before="112" w:after="112"/>
              <w:jc w:val="center"/>
              <w:rPr>
                <w:color w:val="auto"/>
                <w:szCs w:val="21"/>
                <w:highlight w:val="none"/>
              </w:rPr>
            </w:pPr>
            <w:r>
              <w:rPr>
                <w:rFonts w:hint="eastAsia"/>
                <w:color w:val="auto"/>
                <w:szCs w:val="21"/>
                <w:highlight w:val="none"/>
              </w:rPr>
              <w:t>合同金额</w:t>
            </w:r>
          </w:p>
        </w:tc>
        <w:tc>
          <w:tcPr>
            <w:tcW w:w="2509" w:type="dxa"/>
            <w:vAlign w:val="center"/>
          </w:tcPr>
          <w:p>
            <w:pPr>
              <w:widowControl/>
              <w:spacing w:before="112" w:after="112"/>
              <w:jc w:val="center"/>
              <w:rPr>
                <w:color w:val="auto"/>
                <w:szCs w:val="21"/>
                <w:highlight w:val="none"/>
              </w:rPr>
            </w:pPr>
            <w:r>
              <w:rPr>
                <w:rFonts w:hint="eastAsia"/>
                <w:color w:val="auto"/>
                <w:szCs w:val="21"/>
                <w:highlight w:val="none"/>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widowControl/>
              <w:spacing w:before="112" w:after="112"/>
              <w:jc w:val="center"/>
              <w:rPr>
                <w:color w:val="auto"/>
                <w:szCs w:val="21"/>
                <w:highlight w:val="none"/>
              </w:rPr>
            </w:pPr>
            <w:r>
              <w:rPr>
                <w:rFonts w:hint="eastAsia"/>
                <w:color w:val="auto"/>
                <w:szCs w:val="21"/>
                <w:highlight w:val="none"/>
              </w:rPr>
              <w:t>1</w:t>
            </w:r>
          </w:p>
        </w:tc>
        <w:tc>
          <w:tcPr>
            <w:tcW w:w="1622"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984" w:type="dxa"/>
          </w:tcPr>
          <w:p>
            <w:pPr>
              <w:widowControl/>
              <w:spacing w:before="112"/>
              <w:rPr>
                <w:color w:val="auto"/>
                <w:szCs w:val="21"/>
                <w:highlight w:val="none"/>
              </w:rPr>
            </w:pPr>
          </w:p>
        </w:tc>
        <w:tc>
          <w:tcPr>
            <w:tcW w:w="1355" w:type="dxa"/>
          </w:tcPr>
          <w:p>
            <w:pPr>
              <w:widowControl/>
              <w:spacing w:before="112"/>
              <w:rPr>
                <w:color w:val="auto"/>
                <w:szCs w:val="21"/>
                <w:highlight w:val="none"/>
              </w:rPr>
            </w:pPr>
          </w:p>
        </w:tc>
        <w:tc>
          <w:tcPr>
            <w:tcW w:w="2509" w:type="dxa"/>
          </w:tcPr>
          <w:p>
            <w:pPr>
              <w:widowControl/>
              <w:spacing w:before="112"/>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widowControl/>
              <w:spacing w:before="112" w:after="112"/>
              <w:jc w:val="center"/>
              <w:rPr>
                <w:color w:val="auto"/>
                <w:szCs w:val="21"/>
                <w:highlight w:val="none"/>
              </w:rPr>
            </w:pPr>
            <w:r>
              <w:rPr>
                <w:rFonts w:hint="eastAsia"/>
                <w:color w:val="auto"/>
                <w:szCs w:val="21"/>
                <w:highlight w:val="none"/>
              </w:rPr>
              <w:t>2</w:t>
            </w:r>
          </w:p>
        </w:tc>
        <w:tc>
          <w:tcPr>
            <w:tcW w:w="1622"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984" w:type="dxa"/>
          </w:tcPr>
          <w:p>
            <w:pPr>
              <w:widowControl/>
              <w:spacing w:before="112"/>
              <w:rPr>
                <w:color w:val="auto"/>
                <w:szCs w:val="21"/>
                <w:highlight w:val="none"/>
              </w:rPr>
            </w:pPr>
          </w:p>
        </w:tc>
        <w:tc>
          <w:tcPr>
            <w:tcW w:w="1355" w:type="dxa"/>
          </w:tcPr>
          <w:p>
            <w:pPr>
              <w:widowControl/>
              <w:spacing w:before="112"/>
              <w:rPr>
                <w:color w:val="auto"/>
                <w:szCs w:val="21"/>
                <w:highlight w:val="none"/>
              </w:rPr>
            </w:pPr>
          </w:p>
        </w:tc>
        <w:tc>
          <w:tcPr>
            <w:tcW w:w="2509" w:type="dxa"/>
          </w:tcPr>
          <w:p>
            <w:pPr>
              <w:widowControl/>
              <w:spacing w:before="112"/>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widowControl/>
              <w:spacing w:before="112" w:after="112"/>
              <w:jc w:val="center"/>
              <w:rPr>
                <w:color w:val="auto"/>
                <w:szCs w:val="21"/>
                <w:highlight w:val="none"/>
              </w:rPr>
            </w:pPr>
            <w:r>
              <w:rPr>
                <w:rFonts w:hint="eastAsia"/>
                <w:color w:val="auto"/>
                <w:szCs w:val="21"/>
                <w:highlight w:val="none"/>
              </w:rPr>
              <w:t>3</w:t>
            </w:r>
          </w:p>
        </w:tc>
        <w:tc>
          <w:tcPr>
            <w:tcW w:w="1622"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984" w:type="dxa"/>
          </w:tcPr>
          <w:p>
            <w:pPr>
              <w:widowControl/>
              <w:spacing w:before="112"/>
              <w:rPr>
                <w:color w:val="auto"/>
                <w:szCs w:val="21"/>
                <w:highlight w:val="none"/>
              </w:rPr>
            </w:pPr>
          </w:p>
        </w:tc>
        <w:tc>
          <w:tcPr>
            <w:tcW w:w="1355" w:type="dxa"/>
          </w:tcPr>
          <w:p>
            <w:pPr>
              <w:widowControl/>
              <w:spacing w:before="112"/>
              <w:rPr>
                <w:color w:val="auto"/>
                <w:szCs w:val="21"/>
                <w:highlight w:val="none"/>
              </w:rPr>
            </w:pPr>
          </w:p>
        </w:tc>
        <w:tc>
          <w:tcPr>
            <w:tcW w:w="2509" w:type="dxa"/>
          </w:tcPr>
          <w:p>
            <w:pPr>
              <w:widowControl/>
              <w:spacing w:before="112"/>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widowControl/>
              <w:spacing w:before="112" w:after="112"/>
              <w:jc w:val="center"/>
              <w:rPr>
                <w:color w:val="auto"/>
                <w:szCs w:val="21"/>
                <w:highlight w:val="none"/>
              </w:rPr>
            </w:pPr>
            <w:r>
              <w:rPr>
                <w:color w:val="auto"/>
                <w:szCs w:val="21"/>
                <w:highlight w:val="none"/>
              </w:rPr>
              <w:t>……</w:t>
            </w:r>
          </w:p>
        </w:tc>
        <w:tc>
          <w:tcPr>
            <w:tcW w:w="1622"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1090" w:type="dxa"/>
          </w:tcPr>
          <w:p>
            <w:pPr>
              <w:widowControl/>
              <w:spacing w:before="112"/>
              <w:rPr>
                <w:color w:val="auto"/>
                <w:szCs w:val="21"/>
                <w:highlight w:val="none"/>
              </w:rPr>
            </w:pPr>
          </w:p>
        </w:tc>
        <w:tc>
          <w:tcPr>
            <w:tcW w:w="984" w:type="dxa"/>
          </w:tcPr>
          <w:p>
            <w:pPr>
              <w:widowControl/>
              <w:spacing w:before="112"/>
              <w:rPr>
                <w:color w:val="auto"/>
                <w:szCs w:val="21"/>
                <w:highlight w:val="none"/>
              </w:rPr>
            </w:pPr>
          </w:p>
        </w:tc>
        <w:tc>
          <w:tcPr>
            <w:tcW w:w="1355" w:type="dxa"/>
          </w:tcPr>
          <w:p>
            <w:pPr>
              <w:widowControl/>
              <w:spacing w:before="112"/>
              <w:rPr>
                <w:color w:val="auto"/>
                <w:szCs w:val="21"/>
                <w:highlight w:val="none"/>
              </w:rPr>
            </w:pPr>
          </w:p>
        </w:tc>
        <w:tc>
          <w:tcPr>
            <w:tcW w:w="2509" w:type="dxa"/>
          </w:tcPr>
          <w:p>
            <w:pPr>
              <w:widowControl/>
              <w:spacing w:before="112"/>
              <w:rPr>
                <w:color w:val="auto"/>
                <w:szCs w:val="21"/>
                <w:highlight w:val="none"/>
              </w:rPr>
            </w:pPr>
          </w:p>
        </w:tc>
      </w:tr>
    </w:tbl>
    <w:p>
      <w:pPr>
        <w:widowControl/>
        <w:spacing w:before="112"/>
        <w:jc w:val="center"/>
        <w:rPr>
          <w:color w:val="auto"/>
          <w:sz w:val="24"/>
          <w:highlight w:val="none"/>
        </w:rPr>
      </w:pPr>
    </w:p>
    <w:p>
      <w:pPr>
        <w:widowControl/>
        <w:spacing w:before="112"/>
        <w:jc w:val="center"/>
        <w:rPr>
          <w:color w:val="auto"/>
          <w:sz w:val="24"/>
          <w:highlight w:val="none"/>
        </w:rPr>
      </w:pPr>
    </w:p>
    <w:p>
      <w:pPr>
        <w:widowControl/>
        <w:spacing w:before="112"/>
        <w:jc w:val="center"/>
        <w:rPr>
          <w:color w:val="auto"/>
          <w:sz w:val="24"/>
          <w:highlight w:val="none"/>
        </w:rPr>
      </w:pPr>
    </w:p>
    <w:p>
      <w:pPr>
        <w:widowControl/>
        <w:spacing w:before="112"/>
        <w:jc w:val="center"/>
        <w:rPr>
          <w:color w:val="auto"/>
          <w:sz w:val="24"/>
          <w:highlight w:val="none"/>
        </w:rPr>
      </w:pPr>
    </w:p>
    <w:p>
      <w:pPr>
        <w:widowControl/>
        <w:spacing w:before="112"/>
        <w:jc w:val="center"/>
        <w:rPr>
          <w:color w:val="auto"/>
          <w:sz w:val="24"/>
          <w:highlight w:val="none"/>
        </w:rPr>
      </w:pPr>
      <w:r>
        <w:rPr>
          <w:rFonts w:hint="eastAsia"/>
          <w:color w:val="auto"/>
          <w:sz w:val="24"/>
          <w:highlight w:val="none"/>
        </w:rPr>
        <w:t>主要人员信息公示汇总表</w:t>
      </w:r>
    </w:p>
    <w:tbl>
      <w:tblPr>
        <w:tblStyle w:val="4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77"/>
        <w:gridCol w:w="688"/>
        <w:gridCol w:w="1232"/>
        <w:gridCol w:w="992"/>
        <w:gridCol w:w="840"/>
        <w:gridCol w:w="1596"/>
        <w:gridCol w:w="1094"/>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tcPr>
          <w:p>
            <w:pPr>
              <w:widowControl/>
              <w:spacing w:before="112"/>
              <w:jc w:val="center"/>
              <w:rPr>
                <w:color w:val="auto"/>
                <w:szCs w:val="21"/>
                <w:highlight w:val="none"/>
              </w:rPr>
            </w:pPr>
            <w:r>
              <w:rPr>
                <w:rFonts w:hint="eastAsia"/>
                <w:color w:val="auto"/>
                <w:szCs w:val="21"/>
                <w:highlight w:val="none"/>
                <w:u w:val="single"/>
              </w:rPr>
              <w:t xml:space="preserve">         </w:t>
            </w:r>
            <w:r>
              <w:rPr>
                <w:rFonts w:hint="eastAsia"/>
                <w:color w:val="auto"/>
                <w:szCs w:val="21"/>
                <w:highlight w:val="none"/>
              </w:rPr>
              <w:t>公司—企业主要人员信息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restart"/>
            <w:vAlign w:val="center"/>
          </w:tcPr>
          <w:p>
            <w:pPr>
              <w:widowControl/>
              <w:spacing w:before="112" w:after="112"/>
              <w:rPr>
                <w:color w:val="auto"/>
                <w:szCs w:val="21"/>
                <w:highlight w:val="none"/>
              </w:rPr>
            </w:pPr>
            <w:r>
              <w:rPr>
                <w:rFonts w:hint="eastAsia"/>
                <w:color w:val="auto"/>
                <w:szCs w:val="21"/>
                <w:highlight w:val="none"/>
              </w:rPr>
              <w:t>序号</w:t>
            </w:r>
          </w:p>
        </w:tc>
        <w:tc>
          <w:tcPr>
            <w:tcW w:w="1077" w:type="dxa"/>
            <w:vMerge w:val="restart"/>
            <w:vAlign w:val="center"/>
          </w:tcPr>
          <w:p>
            <w:pPr>
              <w:widowControl/>
              <w:spacing w:before="112" w:after="112"/>
              <w:rPr>
                <w:color w:val="auto"/>
                <w:szCs w:val="21"/>
                <w:highlight w:val="none"/>
              </w:rPr>
            </w:pPr>
            <w:r>
              <w:rPr>
                <w:rFonts w:hint="eastAsia"/>
                <w:color w:val="auto"/>
                <w:szCs w:val="21"/>
                <w:highlight w:val="none"/>
              </w:rPr>
              <w:t>拟任职务</w:t>
            </w:r>
          </w:p>
        </w:tc>
        <w:tc>
          <w:tcPr>
            <w:tcW w:w="688" w:type="dxa"/>
            <w:vMerge w:val="restart"/>
            <w:vAlign w:val="center"/>
          </w:tcPr>
          <w:p>
            <w:pPr>
              <w:widowControl/>
              <w:spacing w:before="112" w:after="112"/>
              <w:rPr>
                <w:color w:val="auto"/>
                <w:szCs w:val="21"/>
                <w:highlight w:val="none"/>
              </w:rPr>
            </w:pPr>
            <w:r>
              <w:rPr>
                <w:rFonts w:hint="eastAsia"/>
                <w:color w:val="auto"/>
                <w:szCs w:val="21"/>
                <w:highlight w:val="none"/>
              </w:rPr>
              <w:t>姓名</w:t>
            </w:r>
          </w:p>
        </w:tc>
        <w:tc>
          <w:tcPr>
            <w:tcW w:w="1232" w:type="dxa"/>
            <w:vMerge w:val="restart"/>
            <w:vAlign w:val="center"/>
          </w:tcPr>
          <w:p>
            <w:pPr>
              <w:widowControl/>
              <w:spacing w:before="112" w:after="112"/>
              <w:rPr>
                <w:color w:val="auto"/>
                <w:szCs w:val="21"/>
                <w:highlight w:val="none"/>
              </w:rPr>
            </w:pPr>
            <w:r>
              <w:rPr>
                <w:rFonts w:hint="eastAsia"/>
                <w:color w:val="auto"/>
                <w:szCs w:val="21"/>
                <w:highlight w:val="none"/>
              </w:rPr>
              <w:t>证书类型</w:t>
            </w:r>
          </w:p>
        </w:tc>
        <w:tc>
          <w:tcPr>
            <w:tcW w:w="992" w:type="dxa"/>
            <w:vMerge w:val="restart"/>
            <w:vAlign w:val="center"/>
          </w:tcPr>
          <w:p>
            <w:pPr>
              <w:widowControl/>
              <w:spacing w:before="112" w:after="112"/>
              <w:rPr>
                <w:color w:val="auto"/>
                <w:szCs w:val="21"/>
                <w:highlight w:val="none"/>
              </w:rPr>
            </w:pPr>
            <w:r>
              <w:rPr>
                <w:rFonts w:hint="eastAsia"/>
                <w:color w:val="auto"/>
                <w:szCs w:val="21"/>
                <w:highlight w:val="none"/>
              </w:rPr>
              <w:t>证书编号</w:t>
            </w:r>
          </w:p>
        </w:tc>
        <w:tc>
          <w:tcPr>
            <w:tcW w:w="4643" w:type="dxa"/>
            <w:gridSpan w:val="4"/>
          </w:tcPr>
          <w:p>
            <w:pPr>
              <w:widowControl/>
              <w:spacing w:before="112"/>
              <w:jc w:val="center"/>
              <w:rPr>
                <w:color w:val="auto"/>
                <w:szCs w:val="21"/>
                <w:highlight w:val="none"/>
              </w:rPr>
            </w:pPr>
            <w:r>
              <w:rPr>
                <w:rFonts w:hint="eastAsia"/>
                <w:color w:val="auto"/>
                <w:szCs w:val="21"/>
                <w:highlight w:val="none"/>
              </w:rPr>
              <w:t>个人业绩信息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Pr>
          <w:p>
            <w:pPr>
              <w:widowControl/>
              <w:spacing w:before="112"/>
              <w:rPr>
                <w:color w:val="auto"/>
                <w:szCs w:val="21"/>
                <w:highlight w:val="none"/>
              </w:rPr>
            </w:pPr>
          </w:p>
        </w:tc>
        <w:tc>
          <w:tcPr>
            <w:tcW w:w="1077" w:type="dxa"/>
            <w:vMerge w:val="continue"/>
          </w:tcPr>
          <w:p>
            <w:pPr>
              <w:widowControl/>
              <w:spacing w:before="112"/>
              <w:rPr>
                <w:color w:val="auto"/>
                <w:szCs w:val="21"/>
                <w:highlight w:val="none"/>
              </w:rPr>
            </w:pPr>
          </w:p>
        </w:tc>
        <w:tc>
          <w:tcPr>
            <w:tcW w:w="688" w:type="dxa"/>
            <w:vMerge w:val="continue"/>
          </w:tcPr>
          <w:p>
            <w:pPr>
              <w:widowControl/>
              <w:spacing w:before="112"/>
              <w:rPr>
                <w:color w:val="auto"/>
                <w:szCs w:val="21"/>
                <w:highlight w:val="none"/>
              </w:rPr>
            </w:pPr>
          </w:p>
        </w:tc>
        <w:tc>
          <w:tcPr>
            <w:tcW w:w="1232" w:type="dxa"/>
            <w:vMerge w:val="continue"/>
          </w:tcPr>
          <w:p>
            <w:pPr>
              <w:widowControl/>
              <w:spacing w:before="112"/>
              <w:rPr>
                <w:color w:val="auto"/>
                <w:szCs w:val="21"/>
                <w:highlight w:val="none"/>
              </w:rPr>
            </w:pPr>
          </w:p>
        </w:tc>
        <w:tc>
          <w:tcPr>
            <w:tcW w:w="992" w:type="dxa"/>
            <w:vMerge w:val="continue"/>
          </w:tcPr>
          <w:p>
            <w:pPr>
              <w:widowControl/>
              <w:spacing w:before="112"/>
              <w:rPr>
                <w:color w:val="auto"/>
                <w:szCs w:val="21"/>
                <w:highlight w:val="none"/>
              </w:rPr>
            </w:pPr>
          </w:p>
        </w:tc>
        <w:tc>
          <w:tcPr>
            <w:tcW w:w="840" w:type="dxa"/>
            <w:vAlign w:val="center"/>
          </w:tcPr>
          <w:p>
            <w:pPr>
              <w:widowControl/>
              <w:spacing w:before="112" w:after="112"/>
              <w:rPr>
                <w:color w:val="auto"/>
                <w:szCs w:val="21"/>
                <w:highlight w:val="none"/>
              </w:rPr>
            </w:pPr>
            <w:r>
              <w:rPr>
                <w:rFonts w:hint="eastAsia"/>
                <w:color w:val="auto"/>
                <w:szCs w:val="21"/>
                <w:highlight w:val="none"/>
              </w:rPr>
              <w:t>编号</w:t>
            </w:r>
          </w:p>
        </w:tc>
        <w:tc>
          <w:tcPr>
            <w:tcW w:w="1596" w:type="dxa"/>
            <w:vAlign w:val="center"/>
          </w:tcPr>
          <w:p>
            <w:pPr>
              <w:widowControl/>
              <w:spacing w:before="112" w:after="112"/>
              <w:rPr>
                <w:color w:val="auto"/>
                <w:szCs w:val="21"/>
                <w:highlight w:val="none"/>
              </w:rPr>
            </w:pPr>
            <w:r>
              <w:rPr>
                <w:rFonts w:hint="eastAsia"/>
                <w:color w:val="auto"/>
                <w:szCs w:val="21"/>
                <w:highlight w:val="none"/>
              </w:rPr>
              <w:t>项目合同全称</w:t>
            </w:r>
          </w:p>
        </w:tc>
        <w:tc>
          <w:tcPr>
            <w:tcW w:w="1094" w:type="dxa"/>
            <w:vAlign w:val="center"/>
          </w:tcPr>
          <w:p>
            <w:pPr>
              <w:widowControl/>
              <w:spacing w:before="112" w:after="112"/>
              <w:rPr>
                <w:color w:val="auto"/>
                <w:szCs w:val="21"/>
                <w:highlight w:val="none"/>
              </w:rPr>
            </w:pPr>
            <w:r>
              <w:rPr>
                <w:rFonts w:hint="eastAsia"/>
                <w:color w:val="auto"/>
                <w:szCs w:val="21"/>
                <w:highlight w:val="none"/>
              </w:rPr>
              <w:t>完工年月</w:t>
            </w:r>
          </w:p>
        </w:tc>
        <w:tc>
          <w:tcPr>
            <w:tcW w:w="1113" w:type="dxa"/>
          </w:tcPr>
          <w:p>
            <w:pPr>
              <w:widowControl/>
              <w:spacing w:before="112" w:after="112"/>
              <w:jc w:val="center"/>
              <w:rPr>
                <w:color w:val="auto"/>
                <w:szCs w:val="21"/>
                <w:highlight w:val="none"/>
              </w:rPr>
            </w:pPr>
            <w:r>
              <w:rPr>
                <w:rFonts w:hint="eastAsia"/>
                <w:color w:val="auto"/>
                <w:szCs w:val="21"/>
                <w:highlight w:val="none"/>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5" w:type="dxa"/>
            <w:vMerge w:val="restart"/>
            <w:vAlign w:val="center"/>
          </w:tcPr>
          <w:p>
            <w:pPr>
              <w:widowControl/>
              <w:spacing w:before="112"/>
              <w:jc w:val="center"/>
              <w:rPr>
                <w:color w:val="auto"/>
                <w:sz w:val="24"/>
                <w:highlight w:val="none"/>
              </w:rPr>
            </w:pPr>
            <w:r>
              <w:rPr>
                <w:rFonts w:hint="eastAsia"/>
                <w:color w:val="auto"/>
                <w:sz w:val="24"/>
                <w:highlight w:val="none"/>
              </w:rPr>
              <w:t>1</w:t>
            </w:r>
          </w:p>
        </w:tc>
        <w:tc>
          <w:tcPr>
            <w:tcW w:w="1077" w:type="dxa"/>
            <w:vMerge w:val="restart"/>
            <w:vAlign w:val="center"/>
          </w:tcPr>
          <w:p>
            <w:pPr>
              <w:widowControl/>
              <w:spacing w:before="112"/>
              <w:jc w:val="center"/>
              <w:rPr>
                <w:color w:val="auto"/>
                <w:sz w:val="24"/>
                <w:highlight w:val="none"/>
              </w:rPr>
            </w:pPr>
            <w:r>
              <w:rPr>
                <w:rFonts w:hint="eastAsia"/>
                <w:color w:val="auto"/>
                <w:sz w:val="24"/>
                <w:highlight w:val="none"/>
              </w:rPr>
              <w:t>项目经理</w:t>
            </w:r>
          </w:p>
        </w:tc>
        <w:tc>
          <w:tcPr>
            <w:tcW w:w="688" w:type="dxa"/>
            <w:vMerge w:val="restart"/>
            <w:vAlign w:val="center"/>
          </w:tcPr>
          <w:p>
            <w:pPr>
              <w:widowControl/>
              <w:spacing w:before="112"/>
              <w:jc w:val="center"/>
              <w:rPr>
                <w:color w:val="auto"/>
                <w:sz w:val="24"/>
                <w:highlight w:val="none"/>
              </w:rPr>
            </w:pPr>
          </w:p>
        </w:tc>
        <w:tc>
          <w:tcPr>
            <w:tcW w:w="1232" w:type="dxa"/>
            <w:vAlign w:val="center"/>
          </w:tcPr>
          <w:p>
            <w:pPr>
              <w:widowControl/>
              <w:spacing w:before="112"/>
              <w:jc w:val="center"/>
              <w:rPr>
                <w:color w:val="auto"/>
                <w:sz w:val="24"/>
                <w:highlight w:val="none"/>
              </w:rPr>
            </w:pPr>
            <w:r>
              <w:rPr>
                <w:rFonts w:hint="eastAsia"/>
                <w:color w:val="auto"/>
                <w:sz w:val="24"/>
                <w:highlight w:val="none"/>
              </w:rPr>
              <w:t>建造师证</w:t>
            </w:r>
          </w:p>
        </w:tc>
        <w:tc>
          <w:tcPr>
            <w:tcW w:w="992" w:type="dxa"/>
            <w:vAlign w:val="center"/>
          </w:tcPr>
          <w:p>
            <w:pPr>
              <w:widowControl/>
              <w:spacing w:before="112"/>
              <w:jc w:val="center"/>
              <w:rPr>
                <w:color w:val="auto"/>
                <w:sz w:val="24"/>
                <w:highlight w:val="none"/>
              </w:rPr>
            </w:pPr>
          </w:p>
        </w:tc>
        <w:tc>
          <w:tcPr>
            <w:tcW w:w="840" w:type="dxa"/>
            <w:vAlign w:val="center"/>
          </w:tcPr>
          <w:p>
            <w:pPr>
              <w:widowControl/>
              <w:spacing w:before="112"/>
              <w:jc w:val="center"/>
              <w:rPr>
                <w:color w:val="auto"/>
                <w:sz w:val="24"/>
                <w:highlight w:val="none"/>
              </w:rPr>
            </w:pPr>
          </w:p>
        </w:tc>
        <w:tc>
          <w:tcPr>
            <w:tcW w:w="1596" w:type="dxa"/>
            <w:vAlign w:val="center"/>
          </w:tcPr>
          <w:p>
            <w:pPr>
              <w:widowControl/>
              <w:spacing w:before="112"/>
              <w:jc w:val="center"/>
              <w:rPr>
                <w:color w:val="auto"/>
                <w:sz w:val="24"/>
                <w:highlight w:val="none"/>
              </w:rPr>
            </w:pPr>
          </w:p>
        </w:tc>
        <w:tc>
          <w:tcPr>
            <w:tcW w:w="1094" w:type="dxa"/>
            <w:vAlign w:val="center"/>
          </w:tcPr>
          <w:p>
            <w:pPr>
              <w:widowControl/>
              <w:spacing w:before="112"/>
              <w:jc w:val="center"/>
              <w:rPr>
                <w:color w:val="auto"/>
                <w:sz w:val="24"/>
                <w:highlight w:val="none"/>
              </w:rPr>
            </w:pPr>
          </w:p>
        </w:tc>
        <w:tc>
          <w:tcPr>
            <w:tcW w:w="1113" w:type="dxa"/>
            <w:vAlign w:val="center"/>
          </w:tcPr>
          <w:p>
            <w:pPr>
              <w:widowControl/>
              <w:spacing w:before="112"/>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5" w:type="dxa"/>
            <w:vMerge w:val="continue"/>
            <w:vAlign w:val="center"/>
          </w:tcPr>
          <w:p>
            <w:pPr>
              <w:widowControl/>
              <w:spacing w:before="112"/>
              <w:jc w:val="center"/>
              <w:rPr>
                <w:color w:val="auto"/>
                <w:sz w:val="24"/>
                <w:highlight w:val="none"/>
              </w:rPr>
            </w:pPr>
          </w:p>
        </w:tc>
        <w:tc>
          <w:tcPr>
            <w:tcW w:w="1077" w:type="dxa"/>
            <w:vMerge w:val="continue"/>
            <w:vAlign w:val="center"/>
          </w:tcPr>
          <w:p>
            <w:pPr>
              <w:widowControl/>
              <w:spacing w:before="112"/>
              <w:jc w:val="center"/>
              <w:rPr>
                <w:color w:val="auto"/>
                <w:sz w:val="24"/>
                <w:highlight w:val="none"/>
              </w:rPr>
            </w:pPr>
          </w:p>
        </w:tc>
        <w:tc>
          <w:tcPr>
            <w:tcW w:w="688" w:type="dxa"/>
            <w:vMerge w:val="continue"/>
            <w:vAlign w:val="center"/>
          </w:tcPr>
          <w:p>
            <w:pPr>
              <w:widowControl/>
              <w:spacing w:before="112"/>
              <w:jc w:val="center"/>
              <w:rPr>
                <w:color w:val="auto"/>
                <w:sz w:val="24"/>
                <w:highlight w:val="none"/>
              </w:rPr>
            </w:pPr>
          </w:p>
        </w:tc>
        <w:tc>
          <w:tcPr>
            <w:tcW w:w="1232" w:type="dxa"/>
            <w:vAlign w:val="center"/>
          </w:tcPr>
          <w:p>
            <w:pPr>
              <w:widowControl/>
              <w:spacing w:before="112"/>
              <w:jc w:val="center"/>
              <w:rPr>
                <w:color w:val="auto"/>
                <w:sz w:val="24"/>
                <w:highlight w:val="none"/>
              </w:rPr>
            </w:pPr>
            <w:r>
              <w:rPr>
                <w:rFonts w:hint="eastAsia"/>
                <w:color w:val="auto"/>
                <w:sz w:val="24"/>
                <w:highlight w:val="none"/>
              </w:rPr>
              <w:t>安全B证</w:t>
            </w:r>
          </w:p>
        </w:tc>
        <w:tc>
          <w:tcPr>
            <w:tcW w:w="992" w:type="dxa"/>
            <w:vAlign w:val="center"/>
          </w:tcPr>
          <w:p>
            <w:pPr>
              <w:widowControl/>
              <w:spacing w:before="112"/>
              <w:jc w:val="center"/>
              <w:rPr>
                <w:color w:val="auto"/>
                <w:sz w:val="24"/>
                <w:highlight w:val="none"/>
              </w:rPr>
            </w:pPr>
          </w:p>
        </w:tc>
        <w:tc>
          <w:tcPr>
            <w:tcW w:w="840" w:type="dxa"/>
            <w:vAlign w:val="center"/>
          </w:tcPr>
          <w:p>
            <w:pPr>
              <w:widowControl/>
              <w:spacing w:before="112"/>
              <w:jc w:val="center"/>
              <w:rPr>
                <w:color w:val="auto"/>
                <w:sz w:val="24"/>
                <w:highlight w:val="none"/>
              </w:rPr>
            </w:pPr>
          </w:p>
        </w:tc>
        <w:tc>
          <w:tcPr>
            <w:tcW w:w="1596" w:type="dxa"/>
            <w:vAlign w:val="center"/>
          </w:tcPr>
          <w:p>
            <w:pPr>
              <w:widowControl/>
              <w:spacing w:before="112"/>
              <w:jc w:val="center"/>
              <w:rPr>
                <w:color w:val="auto"/>
                <w:sz w:val="24"/>
                <w:highlight w:val="none"/>
              </w:rPr>
            </w:pPr>
          </w:p>
        </w:tc>
        <w:tc>
          <w:tcPr>
            <w:tcW w:w="1094" w:type="dxa"/>
            <w:vAlign w:val="center"/>
          </w:tcPr>
          <w:p>
            <w:pPr>
              <w:widowControl/>
              <w:spacing w:before="112"/>
              <w:jc w:val="center"/>
              <w:rPr>
                <w:color w:val="auto"/>
                <w:sz w:val="24"/>
                <w:highlight w:val="none"/>
              </w:rPr>
            </w:pPr>
          </w:p>
        </w:tc>
        <w:tc>
          <w:tcPr>
            <w:tcW w:w="1113" w:type="dxa"/>
            <w:vAlign w:val="center"/>
          </w:tcPr>
          <w:p>
            <w:pPr>
              <w:widowControl/>
              <w:spacing w:before="112"/>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5" w:type="dxa"/>
            <w:vMerge w:val="restart"/>
            <w:vAlign w:val="center"/>
          </w:tcPr>
          <w:p>
            <w:pPr>
              <w:widowControl/>
              <w:spacing w:before="112"/>
              <w:jc w:val="center"/>
              <w:rPr>
                <w:color w:val="auto"/>
                <w:sz w:val="24"/>
                <w:highlight w:val="none"/>
              </w:rPr>
            </w:pPr>
            <w:r>
              <w:rPr>
                <w:rFonts w:hint="eastAsia"/>
                <w:color w:val="auto"/>
                <w:sz w:val="24"/>
                <w:highlight w:val="none"/>
              </w:rPr>
              <w:t>2</w:t>
            </w:r>
          </w:p>
        </w:tc>
        <w:tc>
          <w:tcPr>
            <w:tcW w:w="1077" w:type="dxa"/>
            <w:vMerge w:val="restart"/>
            <w:vAlign w:val="center"/>
          </w:tcPr>
          <w:p>
            <w:pPr>
              <w:widowControl/>
              <w:spacing w:before="112"/>
              <w:jc w:val="center"/>
              <w:rPr>
                <w:color w:val="auto"/>
                <w:sz w:val="24"/>
                <w:highlight w:val="none"/>
              </w:rPr>
            </w:pPr>
            <w:r>
              <w:rPr>
                <w:rFonts w:hint="eastAsia"/>
                <w:color w:val="auto"/>
                <w:sz w:val="24"/>
                <w:highlight w:val="none"/>
              </w:rPr>
              <w:t>项目总工</w:t>
            </w:r>
          </w:p>
        </w:tc>
        <w:tc>
          <w:tcPr>
            <w:tcW w:w="688" w:type="dxa"/>
            <w:vMerge w:val="restart"/>
            <w:vAlign w:val="center"/>
          </w:tcPr>
          <w:p>
            <w:pPr>
              <w:widowControl/>
              <w:spacing w:before="112"/>
              <w:jc w:val="center"/>
              <w:rPr>
                <w:color w:val="auto"/>
                <w:sz w:val="24"/>
                <w:highlight w:val="none"/>
              </w:rPr>
            </w:pPr>
          </w:p>
        </w:tc>
        <w:tc>
          <w:tcPr>
            <w:tcW w:w="1232" w:type="dxa"/>
            <w:vMerge w:val="restart"/>
            <w:vAlign w:val="center"/>
          </w:tcPr>
          <w:p>
            <w:pPr>
              <w:widowControl/>
              <w:spacing w:before="112"/>
              <w:jc w:val="center"/>
              <w:rPr>
                <w:color w:val="auto"/>
                <w:sz w:val="24"/>
                <w:highlight w:val="none"/>
              </w:rPr>
            </w:pPr>
            <w:r>
              <w:rPr>
                <w:rFonts w:hint="eastAsia"/>
                <w:color w:val="auto"/>
                <w:sz w:val="24"/>
                <w:highlight w:val="none"/>
              </w:rPr>
              <w:t>安全B证</w:t>
            </w:r>
          </w:p>
        </w:tc>
        <w:tc>
          <w:tcPr>
            <w:tcW w:w="992" w:type="dxa"/>
            <w:vMerge w:val="restart"/>
            <w:vAlign w:val="center"/>
          </w:tcPr>
          <w:p>
            <w:pPr>
              <w:widowControl/>
              <w:spacing w:before="112"/>
              <w:jc w:val="center"/>
              <w:rPr>
                <w:color w:val="auto"/>
                <w:sz w:val="24"/>
                <w:highlight w:val="none"/>
              </w:rPr>
            </w:pPr>
          </w:p>
        </w:tc>
        <w:tc>
          <w:tcPr>
            <w:tcW w:w="840" w:type="dxa"/>
            <w:vAlign w:val="center"/>
          </w:tcPr>
          <w:p>
            <w:pPr>
              <w:widowControl/>
              <w:spacing w:before="112"/>
              <w:jc w:val="center"/>
              <w:rPr>
                <w:color w:val="auto"/>
                <w:sz w:val="24"/>
                <w:highlight w:val="none"/>
              </w:rPr>
            </w:pPr>
          </w:p>
        </w:tc>
        <w:tc>
          <w:tcPr>
            <w:tcW w:w="1596" w:type="dxa"/>
            <w:vAlign w:val="center"/>
          </w:tcPr>
          <w:p>
            <w:pPr>
              <w:widowControl/>
              <w:spacing w:before="112"/>
              <w:jc w:val="center"/>
              <w:rPr>
                <w:color w:val="auto"/>
                <w:sz w:val="24"/>
                <w:highlight w:val="none"/>
              </w:rPr>
            </w:pPr>
          </w:p>
        </w:tc>
        <w:tc>
          <w:tcPr>
            <w:tcW w:w="1094" w:type="dxa"/>
            <w:vAlign w:val="center"/>
          </w:tcPr>
          <w:p>
            <w:pPr>
              <w:widowControl/>
              <w:spacing w:before="112"/>
              <w:jc w:val="center"/>
              <w:rPr>
                <w:color w:val="auto"/>
                <w:sz w:val="24"/>
                <w:highlight w:val="none"/>
              </w:rPr>
            </w:pPr>
          </w:p>
        </w:tc>
        <w:tc>
          <w:tcPr>
            <w:tcW w:w="1113" w:type="dxa"/>
            <w:vAlign w:val="center"/>
          </w:tcPr>
          <w:p>
            <w:pPr>
              <w:widowControl/>
              <w:spacing w:before="112"/>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5" w:type="dxa"/>
            <w:vMerge w:val="continue"/>
            <w:vAlign w:val="center"/>
          </w:tcPr>
          <w:p>
            <w:pPr>
              <w:widowControl/>
              <w:spacing w:before="112"/>
              <w:jc w:val="center"/>
              <w:rPr>
                <w:color w:val="auto"/>
                <w:sz w:val="24"/>
                <w:highlight w:val="none"/>
              </w:rPr>
            </w:pPr>
          </w:p>
        </w:tc>
        <w:tc>
          <w:tcPr>
            <w:tcW w:w="1077" w:type="dxa"/>
            <w:vMerge w:val="continue"/>
            <w:vAlign w:val="center"/>
          </w:tcPr>
          <w:p>
            <w:pPr>
              <w:widowControl/>
              <w:spacing w:before="112"/>
              <w:jc w:val="center"/>
              <w:rPr>
                <w:color w:val="auto"/>
                <w:sz w:val="24"/>
                <w:highlight w:val="none"/>
              </w:rPr>
            </w:pPr>
          </w:p>
        </w:tc>
        <w:tc>
          <w:tcPr>
            <w:tcW w:w="688" w:type="dxa"/>
            <w:vMerge w:val="continue"/>
            <w:vAlign w:val="center"/>
          </w:tcPr>
          <w:p>
            <w:pPr>
              <w:widowControl/>
              <w:spacing w:before="112"/>
              <w:jc w:val="center"/>
              <w:rPr>
                <w:color w:val="auto"/>
                <w:sz w:val="24"/>
                <w:highlight w:val="none"/>
              </w:rPr>
            </w:pPr>
          </w:p>
        </w:tc>
        <w:tc>
          <w:tcPr>
            <w:tcW w:w="1232" w:type="dxa"/>
            <w:vMerge w:val="continue"/>
            <w:vAlign w:val="center"/>
          </w:tcPr>
          <w:p>
            <w:pPr>
              <w:widowControl/>
              <w:spacing w:before="112"/>
              <w:jc w:val="center"/>
              <w:rPr>
                <w:color w:val="auto"/>
                <w:sz w:val="24"/>
                <w:highlight w:val="none"/>
              </w:rPr>
            </w:pPr>
          </w:p>
        </w:tc>
        <w:tc>
          <w:tcPr>
            <w:tcW w:w="992" w:type="dxa"/>
            <w:vMerge w:val="continue"/>
            <w:vAlign w:val="center"/>
          </w:tcPr>
          <w:p>
            <w:pPr>
              <w:widowControl/>
              <w:spacing w:before="112"/>
              <w:jc w:val="center"/>
              <w:rPr>
                <w:color w:val="auto"/>
                <w:sz w:val="24"/>
                <w:highlight w:val="none"/>
              </w:rPr>
            </w:pPr>
          </w:p>
        </w:tc>
        <w:tc>
          <w:tcPr>
            <w:tcW w:w="840" w:type="dxa"/>
            <w:vAlign w:val="center"/>
          </w:tcPr>
          <w:p>
            <w:pPr>
              <w:widowControl/>
              <w:spacing w:before="112"/>
              <w:jc w:val="center"/>
              <w:rPr>
                <w:color w:val="auto"/>
                <w:sz w:val="24"/>
                <w:highlight w:val="none"/>
              </w:rPr>
            </w:pPr>
          </w:p>
        </w:tc>
        <w:tc>
          <w:tcPr>
            <w:tcW w:w="1596" w:type="dxa"/>
            <w:vAlign w:val="center"/>
          </w:tcPr>
          <w:p>
            <w:pPr>
              <w:widowControl/>
              <w:spacing w:before="112"/>
              <w:jc w:val="center"/>
              <w:rPr>
                <w:color w:val="auto"/>
                <w:sz w:val="24"/>
                <w:highlight w:val="none"/>
              </w:rPr>
            </w:pPr>
          </w:p>
        </w:tc>
        <w:tc>
          <w:tcPr>
            <w:tcW w:w="1094" w:type="dxa"/>
            <w:vAlign w:val="center"/>
          </w:tcPr>
          <w:p>
            <w:pPr>
              <w:widowControl/>
              <w:spacing w:before="112"/>
              <w:jc w:val="center"/>
              <w:rPr>
                <w:color w:val="auto"/>
                <w:sz w:val="24"/>
                <w:highlight w:val="none"/>
              </w:rPr>
            </w:pPr>
          </w:p>
        </w:tc>
        <w:tc>
          <w:tcPr>
            <w:tcW w:w="1113" w:type="dxa"/>
            <w:vAlign w:val="center"/>
          </w:tcPr>
          <w:p>
            <w:pPr>
              <w:widowControl/>
              <w:spacing w:before="112"/>
              <w:jc w:val="center"/>
              <w:rPr>
                <w:color w:val="auto"/>
                <w:sz w:val="24"/>
                <w:highlight w:val="none"/>
              </w:rPr>
            </w:pPr>
          </w:p>
        </w:tc>
      </w:tr>
    </w:tbl>
    <w:p>
      <w:pPr>
        <w:rPr>
          <w:color w:val="auto"/>
          <w:highlight w:val="none"/>
        </w:rPr>
      </w:pPr>
    </w:p>
    <w:p>
      <w:pPr>
        <w:rPr>
          <w:color w:val="auto"/>
          <w:highlight w:val="none"/>
        </w:rPr>
      </w:pPr>
    </w:p>
    <w:p>
      <w:pPr>
        <w:pStyle w:val="4"/>
        <w:spacing w:beforeLines="50" w:afterLines="100" w:line="360" w:lineRule="auto"/>
        <w:jc w:val="center"/>
        <w:rPr>
          <w:rFonts w:hAnsi="宋体"/>
          <w:color w:val="auto"/>
          <w:sz w:val="30"/>
          <w:szCs w:val="30"/>
          <w:highlight w:val="none"/>
        </w:rPr>
      </w:pPr>
    </w:p>
    <w:p>
      <w:pPr>
        <w:spacing w:before="56"/>
        <w:ind w:right="178"/>
        <w:jc w:val="center"/>
        <w:outlineLvl w:val="2"/>
        <w:rPr>
          <w:rFonts w:ascii="黑体" w:eastAsia="黑体"/>
          <w:color w:val="auto"/>
          <w:sz w:val="28"/>
          <w:highlight w:val="none"/>
        </w:rPr>
        <w:sectPr>
          <w:pgSz w:w="11907" w:h="16840"/>
          <w:pgMar w:top="1418" w:right="1191" w:bottom="1418" w:left="1191" w:header="873" w:footer="851" w:gutter="0"/>
          <w:cols w:space="720" w:num="1"/>
        </w:sectPr>
      </w:pPr>
    </w:p>
    <w:p>
      <w:pPr>
        <w:spacing w:before="56"/>
        <w:ind w:right="178"/>
        <w:jc w:val="center"/>
        <w:outlineLvl w:val="2"/>
        <w:rPr>
          <w:rFonts w:ascii="黑体" w:eastAsia="黑体"/>
          <w:color w:val="auto"/>
          <w:sz w:val="28"/>
          <w:highlight w:val="none"/>
        </w:rPr>
      </w:pPr>
      <w:bookmarkStart w:id="4459" w:name="_Toc182"/>
      <w:r>
        <w:rPr>
          <w:rFonts w:hint="eastAsia" w:ascii="黑体" w:eastAsia="黑体"/>
          <w:color w:val="auto"/>
          <w:sz w:val="28"/>
          <w:highlight w:val="none"/>
          <w:lang w:val="en-US"/>
        </w:rPr>
        <w:t>十二</w:t>
      </w:r>
      <w:r>
        <w:rPr>
          <w:rFonts w:hint="eastAsia" w:ascii="黑体" w:eastAsia="黑体"/>
          <w:color w:val="auto"/>
          <w:sz w:val="28"/>
          <w:highlight w:val="none"/>
        </w:rPr>
        <w:t>、其他资料</w:t>
      </w:r>
      <w:bookmarkEnd w:id="4454"/>
      <w:bookmarkEnd w:id="4459"/>
    </w:p>
    <w:p>
      <w:pPr>
        <w:adjustRightInd w:val="0"/>
        <w:snapToGrid w:val="0"/>
        <w:spacing w:before="56" w:line="480" w:lineRule="auto"/>
        <w:ind w:right="176"/>
        <w:rPr>
          <w:rFonts w:ascii="黑体" w:eastAsia="黑体"/>
          <w:color w:val="auto"/>
          <w:sz w:val="28"/>
          <w:highlight w:val="none"/>
        </w:rPr>
      </w:pPr>
    </w:p>
    <w:p>
      <w:pPr>
        <w:adjustRightInd w:val="0"/>
        <w:snapToGrid w:val="0"/>
        <w:spacing w:before="56" w:line="480" w:lineRule="auto"/>
        <w:ind w:right="176"/>
        <w:jc w:val="center"/>
        <w:rPr>
          <w:rFonts w:cs="Times New Roman"/>
          <w:color w:val="auto"/>
          <w:kern w:val="2"/>
          <w:sz w:val="21"/>
          <w:szCs w:val="20"/>
          <w:highlight w:val="none"/>
          <w:lang w:val="en-US" w:bidi="ar-SA"/>
        </w:rPr>
      </w:pPr>
      <w:r>
        <w:rPr>
          <w:rFonts w:hint="eastAsia" w:cs="Times New Roman"/>
          <w:color w:val="auto"/>
          <w:kern w:val="2"/>
          <w:sz w:val="21"/>
          <w:szCs w:val="20"/>
          <w:highlight w:val="none"/>
          <w:lang w:val="en-US" w:bidi="ar-SA"/>
        </w:rPr>
        <w:t>投标人认为应提交的其他资料</w:t>
      </w:r>
    </w:p>
    <w:p>
      <w:pPr>
        <w:rPr>
          <w:rFonts w:ascii="黑体" w:eastAsia="黑体"/>
          <w:color w:val="auto"/>
          <w:sz w:val="28"/>
          <w:highlight w:val="none"/>
        </w:rPr>
        <w:sectPr>
          <w:pgSz w:w="11907" w:h="16840"/>
          <w:pgMar w:top="1418" w:right="1191" w:bottom="1418" w:left="1191" w:header="873" w:footer="851" w:gutter="0"/>
          <w:cols w:space="720" w:num="1"/>
        </w:sectPr>
      </w:pPr>
    </w:p>
    <w:p>
      <w:pPr>
        <w:pStyle w:val="20"/>
        <w:rPr>
          <w:rFonts w:ascii="黑体"/>
          <w:color w:val="auto"/>
          <w:sz w:val="20"/>
          <w:highlight w:val="none"/>
        </w:rPr>
      </w:pPr>
    </w:p>
    <w:p>
      <w:pPr>
        <w:pStyle w:val="20"/>
        <w:spacing w:before="9"/>
        <w:rPr>
          <w:rFonts w:ascii="黑体"/>
          <w:color w:val="auto"/>
          <w:sz w:val="19"/>
          <w:highlight w:val="none"/>
        </w:rPr>
      </w:pPr>
    </w:p>
    <w:p>
      <w:pPr>
        <w:pStyle w:val="9"/>
        <w:tabs>
          <w:tab w:val="left" w:pos="3516"/>
        </w:tabs>
        <w:ind w:left="1968"/>
        <w:rPr>
          <w:color w:val="auto"/>
          <w:highlight w:val="none"/>
          <w:u w:val="none"/>
        </w:rPr>
      </w:pPr>
      <w:r>
        <w:rPr>
          <w:rFonts w:ascii="Times New Roman" w:eastAsia="Times New Roman"/>
          <w:color w:val="auto"/>
          <w:highlight w:val="none"/>
        </w:rPr>
        <w:tab/>
      </w:r>
      <w:r>
        <w:rPr>
          <w:color w:val="auto"/>
          <w:highlight w:val="none"/>
          <w:u w:val="none"/>
        </w:rPr>
        <w:t>省（自治区、直辖市）</w:t>
      </w: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spacing w:before="2"/>
        <w:rPr>
          <w:rFonts w:ascii="黑体"/>
          <w:color w:val="auto"/>
          <w:sz w:val="19"/>
          <w:highlight w:val="none"/>
        </w:rPr>
      </w:pPr>
    </w:p>
    <w:p>
      <w:pPr>
        <w:pStyle w:val="20"/>
        <w:tabs>
          <w:tab w:val="left" w:pos="2212"/>
          <w:tab w:val="left" w:pos="4918"/>
        </w:tabs>
        <w:spacing w:before="74"/>
        <w:ind w:right="293"/>
        <w:jc w:val="center"/>
        <w:rPr>
          <w:rFonts w:ascii="黑体" w:eastAsia="黑体"/>
          <w:color w:val="auto"/>
          <w:highlight w:val="none"/>
        </w:rPr>
      </w:pPr>
      <w:r>
        <w:rPr>
          <w:rFonts w:ascii="Times New Roman" w:eastAsia="Times New Roman"/>
          <w:color w:val="auto"/>
          <w:highlight w:val="none"/>
          <w:u w:val="single"/>
        </w:rPr>
        <w:tab/>
      </w:r>
      <w:r>
        <w:rPr>
          <w:rFonts w:hint="eastAsia" w:ascii="黑体" w:eastAsia="黑体"/>
          <w:color w:val="auto"/>
          <w:highlight w:val="none"/>
        </w:rPr>
        <w:t>（项目名称）</w:t>
      </w:r>
      <w:r>
        <w:rPr>
          <w:rFonts w:hint="eastAsia" w:ascii="黑体" w:eastAsia="黑体"/>
          <w:color w:val="auto"/>
          <w:highlight w:val="none"/>
          <w:u w:val="single"/>
        </w:rPr>
        <w:tab/>
      </w:r>
      <w:r>
        <w:rPr>
          <w:rFonts w:hint="eastAsia" w:ascii="黑体" w:eastAsia="黑体"/>
          <w:color w:val="auto"/>
          <w:highlight w:val="none"/>
        </w:rPr>
        <w:t>标段施工招标</w:t>
      </w:r>
    </w:p>
    <w:p>
      <w:pPr>
        <w:pStyle w:val="20"/>
        <w:rPr>
          <w:rFonts w:ascii="黑体"/>
          <w:color w:val="auto"/>
          <w:sz w:val="26"/>
          <w:highlight w:val="none"/>
        </w:rPr>
      </w:pPr>
    </w:p>
    <w:p>
      <w:pPr>
        <w:pStyle w:val="20"/>
        <w:rPr>
          <w:rFonts w:ascii="黑体"/>
          <w:color w:val="auto"/>
          <w:sz w:val="26"/>
          <w:highlight w:val="none"/>
        </w:rPr>
      </w:pPr>
    </w:p>
    <w:p>
      <w:pPr>
        <w:pStyle w:val="20"/>
        <w:rPr>
          <w:rFonts w:ascii="黑体"/>
          <w:color w:val="auto"/>
          <w:sz w:val="26"/>
          <w:highlight w:val="none"/>
        </w:rPr>
      </w:pPr>
    </w:p>
    <w:p>
      <w:pPr>
        <w:pStyle w:val="20"/>
        <w:rPr>
          <w:rFonts w:ascii="黑体"/>
          <w:color w:val="auto"/>
          <w:sz w:val="26"/>
          <w:highlight w:val="none"/>
        </w:rPr>
      </w:pPr>
    </w:p>
    <w:p>
      <w:pPr>
        <w:pStyle w:val="20"/>
        <w:spacing w:before="3"/>
        <w:rPr>
          <w:rFonts w:ascii="黑体"/>
          <w:color w:val="auto"/>
          <w:sz w:val="35"/>
          <w:highlight w:val="none"/>
        </w:rPr>
      </w:pPr>
    </w:p>
    <w:p>
      <w:pPr>
        <w:tabs>
          <w:tab w:val="left" w:pos="1440"/>
          <w:tab w:val="left" w:pos="2880"/>
          <w:tab w:val="left" w:pos="4320"/>
        </w:tabs>
        <w:ind w:right="181"/>
        <w:jc w:val="center"/>
        <w:outlineLvl w:val="2"/>
        <w:rPr>
          <w:color w:val="auto"/>
          <w:highlight w:val="none"/>
        </w:rPr>
      </w:pPr>
      <w:bookmarkStart w:id="4460" w:name="_bookmark322"/>
      <w:bookmarkEnd w:id="4460"/>
      <w:bookmarkStart w:id="4461" w:name="_Toc11883"/>
      <w:bookmarkStart w:id="4462" w:name="_Toc9749"/>
      <w:r>
        <w:rPr>
          <w:rFonts w:hint="eastAsia" w:ascii="黑体" w:eastAsia="黑体"/>
          <w:color w:val="auto"/>
          <w:sz w:val="72"/>
          <w:highlight w:val="none"/>
        </w:rPr>
        <w:t>投</w:t>
      </w:r>
      <w:r>
        <w:rPr>
          <w:rFonts w:hint="eastAsia" w:ascii="黑体" w:eastAsia="黑体"/>
          <w:color w:val="auto"/>
          <w:sz w:val="72"/>
          <w:highlight w:val="none"/>
        </w:rPr>
        <w:tab/>
      </w:r>
      <w:r>
        <w:rPr>
          <w:rFonts w:hint="eastAsia" w:ascii="黑体" w:eastAsia="黑体"/>
          <w:color w:val="auto"/>
          <w:sz w:val="72"/>
          <w:highlight w:val="none"/>
        </w:rPr>
        <w:t>标</w:t>
      </w:r>
      <w:r>
        <w:rPr>
          <w:rFonts w:hint="eastAsia" w:ascii="黑体" w:eastAsia="黑体"/>
          <w:color w:val="auto"/>
          <w:sz w:val="72"/>
          <w:highlight w:val="none"/>
        </w:rPr>
        <w:tab/>
      </w:r>
      <w:r>
        <w:rPr>
          <w:rFonts w:hint="eastAsia" w:ascii="黑体" w:eastAsia="黑体"/>
          <w:color w:val="auto"/>
          <w:sz w:val="72"/>
          <w:highlight w:val="none"/>
        </w:rPr>
        <w:t>文</w:t>
      </w:r>
      <w:r>
        <w:rPr>
          <w:rFonts w:hint="eastAsia" w:ascii="黑体" w:eastAsia="黑体"/>
          <w:color w:val="auto"/>
          <w:sz w:val="72"/>
          <w:highlight w:val="none"/>
        </w:rPr>
        <w:tab/>
      </w:r>
      <w:r>
        <w:rPr>
          <w:rFonts w:hint="eastAsia" w:ascii="黑体" w:eastAsia="黑体"/>
          <w:color w:val="auto"/>
          <w:sz w:val="72"/>
          <w:highlight w:val="none"/>
        </w:rPr>
        <w:t>件</w:t>
      </w:r>
      <w:r>
        <w:rPr>
          <w:rFonts w:hint="eastAsia" w:ascii="黑体" w:eastAsia="黑体"/>
          <w:color w:val="auto"/>
          <w:sz w:val="72"/>
          <w:highlight w:val="none"/>
        </w:rPr>
        <w:br w:type="textWrapping"/>
      </w:r>
      <w:r>
        <w:rPr>
          <w:rFonts w:hint="eastAsia" w:ascii="黑体" w:eastAsia="黑体"/>
          <w:color w:val="auto"/>
          <w:sz w:val="72"/>
          <w:highlight w:val="none"/>
        </w:rPr>
        <w:br w:type="textWrapping"/>
      </w:r>
      <w:r>
        <w:rPr>
          <w:rFonts w:hint="eastAsia" w:ascii="黑体" w:hAnsi="黑体" w:eastAsia="黑体" w:cs="黑体"/>
          <w:color w:val="auto"/>
          <w:sz w:val="36"/>
          <w:szCs w:val="36"/>
          <w:highlight w:val="none"/>
        </w:rPr>
        <w:t>（报价文件）</w:t>
      </w:r>
      <w:bookmarkEnd w:id="4461"/>
      <w:bookmarkEnd w:id="4462"/>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rPr>
          <w:rFonts w:ascii="黑体"/>
          <w:color w:val="auto"/>
          <w:sz w:val="32"/>
          <w:highlight w:val="none"/>
        </w:rPr>
      </w:pPr>
    </w:p>
    <w:p>
      <w:pPr>
        <w:pStyle w:val="20"/>
        <w:spacing w:before="5"/>
        <w:rPr>
          <w:rFonts w:ascii="黑体"/>
          <w:color w:val="auto"/>
          <w:sz w:val="45"/>
          <w:highlight w:val="none"/>
        </w:rPr>
      </w:pPr>
    </w:p>
    <w:p>
      <w:pPr>
        <w:tabs>
          <w:tab w:val="left" w:pos="5880"/>
        </w:tabs>
        <w:spacing w:before="1"/>
        <w:ind w:right="178"/>
        <w:jc w:val="center"/>
        <w:rPr>
          <w:rFonts w:ascii="黑体" w:eastAsia="黑体"/>
          <w:color w:val="auto"/>
          <w:sz w:val="28"/>
          <w:highlight w:val="none"/>
        </w:rPr>
      </w:pPr>
      <w:r>
        <w:rPr>
          <w:rFonts w:hint="eastAsia" w:ascii="黑体" w:eastAsia="黑体"/>
          <w:color w:val="auto"/>
          <w:sz w:val="28"/>
          <w:highlight w:val="none"/>
        </w:rPr>
        <w:t>投标人：</w:t>
      </w:r>
      <w:r>
        <w:rPr>
          <w:rFonts w:hint="eastAsia" w:ascii="黑体" w:eastAsia="黑体"/>
          <w:color w:val="auto"/>
          <w:sz w:val="28"/>
          <w:highlight w:val="none"/>
          <w:u w:val="single"/>
        </w:rPr>
        <w:tab/>
      </w:r>
      <w:r>
        <w:rPr>
          <w:rFonts w:hint="eastAsia" w:ascii="黑体" w:eastAsia="黑体"/>
          <w:color w:val="auto"/>
          <w:sz w:val="28"/>
          <w:highlight w:val="none"/>
        </w:rPr>
        <w:t>（盖单</w:t>
      </w:r>
      <w:r>
        <w:rPr>
          <w:rFonts w:hint="eastAsia" w:ascii="黑体" w:eastAsia="黑体"/>
          <w:color w:val="auto"/>
          <w:spacing w:val="-3"/>
          <w:sz w:val="28"/>
          <w:highlight w:val="none"/>
        </w:rPr>
        <w:t>位</w:t>
      </w:r>
      <w:r>
        <w:rPr>
          <w:rFonts w:hint="eastAsia" w:ascii="黑体" w:eastAsia="黑体"/>
          <w:color w:val="auto"/>
          <w:sz w:val="28"/>
          <w:highlight w:val="none"/>
        </w:rPr>
        <w:t>章）</w:t>
      </w:r>
    </w:p>
    <w:p>
      <w:pPr>
        <w:pStyle w:val="20"/>
        <w:rPr>
          <w:rFonts w:ascii="黑体"/>
          <w:color w:val="auto"/>
          <w:sz w:val="20"/>
          <w:highlight w:val="none"/>
        </w:rPr>
      </w:pPr>
    </w:p>
    <w:p>
      <w:pPr>
        <w:pStyle w:val="20"/>
        <w:spacing w:before="12"/>
        <w:rPr>
          <w:rFonts w:ascii="黑体"/>
          <w:color w:val="auto"/>
          <w:sz w:val="15"/>
          <w:highlight w:val="none"/>
        </w:rPr>
      </w:pPr>
    </w:p>
    <w:p>
      <w:pPr>
        <w:tabs>
          <w:tab w:val="left" w:pos="3550"/>
          <w:tab w:val="left" w:pos="4952"/>
          <w:tab w:val="left" w:pos="6490"/>
        </w:tabs>
        <w:spacing w:before="62"/>
        <w:ind w:left="2432"/>
        <w:rPr>
          <w:rFonts w:ascii="黑体" w:eastAsia="黑体"/>
          <w:color w:val="auto"/>
          <w:sz w:val="28"/>
          <w:highlight w:val="none"/>
        </w:rPr>
      </w:pPr>
      <w:r>
        <w:rPr>
          <w:rFonts w:ascii="Times New Roman" w:eastAsia="Times New Roman"/>
          <w:color w:val="auto"/>
          <w:sz w:val="28"/>
          <w:highlight w:val="none"/>
          <w:u w:val="single"/>
        </w:rPr>
        <w:tab/>
      </w:r>
      <w:r>
        <w:rPr>
          <w:rFonts w:hint="eastAsia" w:ascii="黑体" w:eastAsia="黑体"/>
          <w:color w:val="auto"/>
          <w:sz w:val="28"/>
          <w:highlight w:val="none"/>
        </w:rPr>
        <w:t>年</w:t>
      </w:r>
      <w:r>
        <w:rPr>
          <w:rFonts w:hint="eastAsia" w:ascii="黑体" w:eastAsia="黑体"/>
          <w:color w:val="auto"/>
          <w:sz w:val="28"/>
          <w:highlight w:val="none"/>
          <w:u w:val="single"/>
        </w:rPr>
        <w:tab/>
      </w:r>
      <w:r>
        <w:rPr>
          <w:rFonts w:hint="eastAsia" w:ascii="黑体" w:eastAsia="黑体"/>
          <w:color w:val="auto"/>
          <w:sz w:val="28"/>
          <w:highlight w:val="none"/>
        </w:rPr>
        <w:t>月</w:t>
      </w:r>
      <w:r>
        <w:rPr>
          <w:rFonts w:hint="eastAsia" w:ascii="黑体" w:eastAsia="黑体"/>
          <w:color w:val="auto"/>
          <w:sz w:val="28"/>
          <w:highlight w:val="none"/>
          <w:u w:val="single"/>
        </w:rPr>
        <w:tab/>
      </w:r>
      <w:r>
        <w:rPr>
          <w:rFonts w:hint="eastAsia" w:ascii="黑体" w:eastAsia="黑体"/>
          <w:color w:val="auto"/>
          <w:sz w:val="28"/>
          <w:highlight w:val="none"/>
        </w:rPr>
        <w:t>日</w:t>
      </w:r>
    </w:p>
    <w:p>
      <w:pPr>
        <w:rPr>
          <w:rFonts w:ascii="黑体" w:eastAsia="黑体"/>
          <w:color w:val="auto"/>
          <w:sz w:val="28"/>
          <w:highlight w:val="none"/>
        </w:rPr>
        <w:sectPr>
          <w:pgSz w:w="11907" w:h="16840"/>
          <w:pgMar w:top="1418" w:right="1191" w:bottom="1418" w:left="1191" w:header="873" w:footer="851" w:gutter="0"/>
          <w:cols w:space="720" w:num="1"/>
        </w:sectPr>
      </w:pPr>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4"/>
        <w:spacing w:before="48"/>
        <w:ind w:right="178"/>
        <w:rPr>
          <w:rFonts w:hAnsi="宋体" w:cs="宋体"/>
          <w:color w:val="auto"/>
          <w:sz w:val="36"/>
          <w:szCs w:val="36"/>
          <w:highlight w:val="none"/>
        </w:rPr>
      </w:pPr>
      <w:bookmarkStart w:id="4463" w:name="_Toc10053"/>
      <w:bookmarkStart w:id="4464" w:name="_Toc2931"/>
      <w:r>
        <w:rPr>
          <w:rFonts w:hint="eastAsia" w:hAnsi="宋体" w:cs="宋体"/>
          <w:color w:val="auto"/>
          <w:sz w:val="36"/>
          <w:szCs w:val="36"/>
          <w:highlight w:val="none"/>
        </w:rPr>
        <w:t>目</w:t>
      </w:r>
      <w:r>
        <w:rPr>
          <w:rFonts w:hint="eastAsia" w:hAnsi="宋体" w:cs="宋体"/>
          <w:color w:val="auto"/>
          <w:sz w:val="36"/>
          <w:szCs w:val="36"/>
          <w:highlight w:val="none"/>
          <w:lang w:val="en-US"/>
        </w:rPr>
        <w:t xml:space="preserve">  </w:t>
      </w:r>
      <w:r>
        <w:rPr>
          <w:rFonts w:hint="eastAsia" w:hAnsi="宋体" w:cs="宋体"/>
          <w:color w:val="auto"/>
          <w:sz w:val="36"/>
          <w:szCs w:val="36"/>
          <w:highlight w:val="none"/>
        </w:rPr>
        <w:t>录</w:t>
      </w:r>
      <w:bookmarkEnd w:id="4463"/>
      <w:bookmarkEnd w:id="4464"/>
    </w:p>
    <w:p>
      <w:pPr>
        <w:pStyle w:val="20"/>
        <w:spacing w:before="6"/>
        <w:rPr>
          <w:rFonts w:ascii="黑体"/>
          <w:b/>
          <w:color w:val="auto"/>
          <w:sz w:val="43"/>
          <w:highlight w:val="none"/>
        </w:rPr>
      </w:pPr>
    </w:p>
    <w:p>
      <w:pPr>
        <w:pStyle w:val="20"/>
        <w:spacing w:line="343" w:lineRule="auto"/>
        <w:ind w:left="1884" w:right="5219"/>
        <w:rPr>
          <w:color w:val="auto"/>
          <w:highlight w:val="none"/>
        </w:rPr>
      </w:pPr>
      <w:r>
        <w:rPr>
          <w:color w:val="auto"/>
          <w:highlight w:val="none"/>
        </w:rPr>
        <w:t xml:space="preserve">一、投标函 </w:t>
      </w:r>
    </w:p>
    <w:p>
      <w:pPr>
        <w:pStyle w:val="20"/>
        <w:spacing w:before="1" w:line="343" w:lineRule="auto"/>
        <w:ind w:left="1884" w:right="4979"/>
        <w:rPr>
          <w:color w:val="auto"/>
          <w:highlight w:val="none"/>
        </w:rPr>
      </w:pPr>
      <w:r>
        <w:rPr>
          <w:color w:val="auto"/>
          <w:highlight w:val="none"/>
        </w:rPr>
        <w:t xml:space="preserve">二、已标价工程量清单三、合同用款估算表 </w:t>
      </w:r>
    </w:p>
    <w:p>
      <w:pPr>
        <w:pStyle w:val="20"/>
        <w:spacing w:line="307" w:lineRule="exact"/>
        <w:ind w:left="1884"/>
        <w:rPr>
          <w:color w:val="auto"/>
          <w:highlight w:val="none"/>
        </w:rPr>
      </w:pPr>
    </w:p>
    <w:p>
      <w:pPr>
        <w:rPr>
          <w:color w:val="auto"/>
          <w:sz w:val="18"/>
          <w:highlight w:val="none"/>
        </w:rPr>
        <w:sectPr>
          <w:footerReference r:id="rId60" w:type="default"/>
          <w:pgSz w:w="11907" w:h="16840"/>
          <w:pgMar w:top="1418" w:right="1191" w:bottom="1418" w:left="1191" w:header="873" w:footer="851" w:gutter="0"/>
          <w:cols w:space="720" w:num="1"/>
        </w:sectPr>
      </w:pPr>
    </w:p>
    <w:p>
      <w:pPr>
        <w:pStyle w:val="4"/>
        <w:spacing w:before="48"/>
        <w:ind w:left="0" w:right="178"/>
        <w:jc w:val="center"/>
        <w:rPr>
          <w:rFonts w:hAnsi="宋体" w:cs="宋体"/>
          <w:color w:val="auto"/>
          <w:sz w:val="28"/>
          <w:szCs w:val="22"/>
          <w:highlight w:val="none"/>
        </w:rPr>
      </w:pPr>
      <w:bookmarkStart w:id="4465" w:name="_bookmark324"/>
      <w:bookmarkEnd w:id="4465"/>
      <w:bookmarkStart w:id="4466" w:name="_Toc11399"/>
      <w:bookmarkStart w:id="4467" w:name="_Toc31935"/>
      <w:r>
        <w:rPr>
          <w:rFonts w:hint="eastAsia" w:hAnsi="宋体" w:cs="宋体"/>
          <w:color w:val="auto"/>
          <w:sz w:val="28"/>
          <w:szCs w:val="22"/>
          <w:highlight w:val="none"/>
        </w:rPr>
        <w:t>一、投标函</w:t>
      </w:r>
      <w:bookmarkEnd w:id="4466"/>
      <w:bookmarkEnd w:id="4467"/>
    </w:p>
    <w:p>
      <w:pPr>
        <w:pStyle w:val="20"/>
        <w:rPr>
          <w:rFonts w:ascii="黑体"/>
          <w:color w:val="auto"/>
          <w:sz w:val="20"/>
          <w:highlight w:val="none"/>
        </w:rPr>
      </w:pPr>
    </w:p>
    <w:p>
      <w:pPr>
        <w:pStyle w:val="20"/>
        <w:rPr>
          <w:rFonts w:ascii="黑体"/>
          <w:color w:val="auto"/>
          <w:sz w:val="20"/>
          <w:highlight w:val="none"/>
        </w:rPr>
      </w:pPr>
    </w:p>
    <w:p>
      <w:pPr>
        <w:pStyle w:val="20"/>
        <w:rPr>
          <w:rFonts w:ascii="黑体"/>
          <w:color w:val="auto"/>
          <w:sz w:val="20"/>
          <w:highlight w:val="none"/>
        </w:rPr>
      </w:pPr>
    </w:p>
    <w:p>
      <w:pPr>
        <w:pStyle w:val="20"/>
        <w:spacing w:before="7"/>
        <w:rPr>
          <w:rFonts w:ascii="黑体"/>
          <w:color w:val="auto"/>
          <w:sz w:val="19"/>
          <w:highlight w:val="none"/>
        </w:rPr>
      </w:pPr>
    </w:p>
    <w:p>
      <w:pPr>
        <w:pStyle w:val="20"/>
        <w:tabs>
          <w:tab w:val="left" w:pos="3264"/>
        </w:tabs>
        <w:spacing w:before="74"/>
        <w:ind w:left="384"/>
        <w:rPr>
          <w:color w:val="auto"/>
          <w:highlight w:val="none"/>
        </w:rPr>
      </w:pPr>
      <w:r>
        <w:rPr>
          <w:rFonts w:ascii="Times New Roman" w:eastAsia="Times New Roman"/>
          <w:color w:val="auto"/>
          <w:highlight w:val="none"/>
          <w:u w:val="single"/>
        </w:rPr>
        <w:tab/>
      </w:r>
      <w:r>
        <w:rPr>
          <w:color w:val="auto"/>
          <w:highlight w:val="none"/>
        </w:rPr>
        <w:t>（招标人名称</w:t>
      </w:r>
      <w:r>
        <w:rPr>
          <w:color w:val="auto"/>
          <w:spacing w:val="-120"/>
          <w:highlight w:val="none"/>
        </w:rPr>
        <w:t>）</w:t>
      </w:r>
      <w:r>
        <w:rPr>
          <w:color w:val="auto"/>
          <w:highlight w:val="none"/>
        </w:rPr>
        <w:t>：</w:t>
      </w:r>
    </w:p>
    <w:p>
      <w:pPr>
        <w:pStyle w:val="20"/>
        <w:tabs>
          <w:tab w:val="left" w:pos="3716"/>
          <w:tab w:val="left" w:pos="4796"/>
          <w:tab w:val="left" w:pos="4964"/>
          <w:tab w:val="left" w:pos="7494"/>
        </w:tabs>
        <w:spacing w:before="214" w:line="312" w:lineRule="auto"/>
        <w:ind w:left="264" w:right="445" w:firstLine="479"/>
        <w:rPr>
          <w:color w:val="auto"/>
          <w:highlight w:val="none"/>
        </w:rPr>
      </w:pPr>
      <w:r>
        <w:rPr>
          <w:rFonts w:ascii="Times New Roman" w:eastAsia="Times New Roman"/>
          <w:color w:val="auto"/>
          <w:highlight w:val="none"/>
        </w:rPr>
        <w:t>1</w:t>
      </w:r>
      <w:r>
        <w:rPr>
          <w:color w:val="auto"/>
          <w:highlight w:val="none"/>
        </w:rPr>
        <w:t>．我方已仔细研究</w:t>
      </w:r>
      <w:r>
        <w:rPr>
          <w:color w:val="auto"/>
          <w:highlight w:val="none"/>
          <w:u w:val="single"/>
        </w:rPr>
        <w:tab/>
      </w:r>
      <w:r>
        <w:rPr>
          <w:color w:val="auto"/>
          <w:highlight w:val="none"/>
          <w:u w:val="single"/>
        </w:rPr>
        <w:tab/>
      </w:r>
      <w:r>
        <w:rPr>
          <w:color w:val="auto"/>
          <w:highlight w:val="none"/>
          <w:u w:val="single"/>
        </w:rPr>
        <w:tab/>
      </w:r>
      <w:r>
        <w:rPr>
          <w:color w:val="auto"/>
          <w:highlight w:val="none"/>
        </w:rPr>
        <w:t>（项目名称）</w:t>
      </w:r>
      <w:r>
        <w:rPr>
          <w:color w:val="auto"/>
          <w:highlight w:val="none"/>
          <w:u w:val="single"/>
        </w:rPr>
        <w:tab/>
      </w:r>
      <w:r>
        <w:rPr>
          <w:color w:val="auto"/>
          <w:highlight w:val="none"/>
        </w:rPr>
        <w:t>标段施工招标文件的全部内</w:t>
      </w:r>
      <w:r>
        <w:rPr>
          <w:color w:val="auto"/>
          <w:spacing w:val="-29"/>
          <w:highlight w:val="none"/>
        </w:rPr>
        <w:t>容</w:t>
      </w:r>
      <w:r>
        <w:rPr>
          <w:color w:val="auto"/>
          <w:highlight w:val="none"/>
        </w:rPr>
        <w:t>（含补遗书第</w:t>
      </w:r>
      <w:r>
        <w:rPr>
          <w:color w:val="auto"/>
          <w:highlight w:val="none"/>
          <w:u w:val="single"/>
        </w:rPr>
        <w:tab/>
      </w:r>
      <w:r>
        <w:rPr>
          <w:color w:val="auto"/>
          <w:highlight w:val="none"/>
        </w:rPr>
        <w:t>号至第</w:t>
      </w:r>
      <w:r>
        <w:rPr>
          <w:color w:val="auto"/>
          <w:highlight w:val="none"/>
          <w:u w:val="single"/>
        </w:rPr>
        <w:tab/>
      </w:r>
      <w:r>
        <w:rPr>
          <w:color w:val="auto"/>
          <w:highlight w:val="none"/>
        </w:rPr>
        <w:t>号</w:t>
      </w:r>
      <w:r>
        <w:rPr>
          <w:color w:val="auto"/>
          <w:spacing w:val="-75"/>
          <w:highlight w:val="none"/>
        </w:rPr>
        <w:t>），</w:t>
      </w:r>
      <w:r>
        <w:rPr>
          <w:color w:val="auto"/>
          <w:highlight w:val="none"/>
        </w:rPr>
        <w:t>在考察工程现场后</w:t>
      </w:r>
      <w:r>
        <w:rPr>
          <w:color w:val="auto"/>
          <w:spacing w:val="-29"/>
          <w:highlight w:val="none"/>
        </w:rPr>
        <w:t>，</w:t>
      </w:r>
      <w:r>
        <w:rPr>
          <w:color w:val="auto"/>
          <w:highlight w:val="none"/>
        </w:rPr>
        <w:t>愿意以人民币</w:t>
      </w:r>
    </w:p>
    <w:p>
      <w:pPr>
        <w:pStyle w:val="20"/>
        <w:tabs>
          <w:tab w:val="left" w:pos="2556"/>
          <w:tab w:val="left" w:pos="4124"/>
          <w:tab w:val="left" w:pos="5929"/>
        </w:tabs>
        <w:spacing w:line="312" w:lineRule="auto"/>
        <w:ind w:left="264" w:right="446"/>
        <w:jc w:val="both"/>
        <w:rPr>
          <w:color w:val="auto"/>
          <w:highlight w:val="none"/>
        </w:rPr>
      </w:pPr>
      <w:r>
        <w:rPr>
          <w:color w:val="auto"/>
          <w:highlight w:val="none"/>
        </w:rPr>
        <w:t>（大写）</w:t>
      </w:r>
      <w:r>
        <w:rPr>
          <w:color w:val="auto"/>
          <w:highlight w:val="none"/>
          <w:u w:val="single"/>
        </w:rPr>
        <w:tab/>
      </w:r>
      <w:r>
        <w:rPr>
          <w:color w:val="auto"/>
          <w:highlight w:val="none"/>
        </w:rPr>
        <w:t>元（</w:t>
      </w:r>
      <w:r>
        <w:rPr>
          <w:rFonts w:ascii="Times New Roman" w:hAnsi="Times New Roman" w:eastAsia="Times New Roman"/>
          <w:color w:val="auto"/>
          <w:highlight w:val="none"/>
        </w:rPr>
        <w:t>¥</w:t>
      </w:r>
      <w:r>
        <w:rPr>
          <w:rFonts w:ascii="Times New Roman" w:hAnsi="Times New Roman" w:eastAsia="Times New Roman"/>
          <w:color w:val="auto"/>
          <w:highlight w:val="none"/>
          <w:u w:val="single"/>
        </w:rPr>
        <w:tab/>
      </w:r>
      <w:r>
        <w:rPr>
          <w:color w:val="auto"/>
          <w:highlight w:val="none"/>
        </w:rPr>
        <w:t>）的投标总报价（或根据招标文件规定修正核实后确</w:t>
      </w:r>
      <w:r>
        <w:rPr>
          <w:color w:val="auto"/>
          <w:spacing w:val="1"/>
          <w:highlight w:val="none"/>
        </w:rPr>
        <w:t>定</w:t>
      </w:r>
      <w:r>
        <w:rPr>
          <w:color w:val="auto"/>
          <w:highlight w:val="none"/>
        </w:rPr>
        <w:t>的</w:t>
      </w:r>
      <w:r>
        <w:rPr>
          <w:color w:val="auto"/>
          <w:spacing w:val="1"/>
          <w:highlight w:val="none"/>
        </w:rPr>
        <w:t>另</w:t>
      </w:r>
      <w:r>
        <w:rPr>
          <w:color w:val="auto"/>
          <w:highlight w:val="none"/>
        </w:rPr>
        <w:t>一金</w:t>
      </w:r>
      <w:r>
        <w:rPr>
          <w:color w:val="auto"/>
          <w:spacing w:val="2"/>
          <w:highlight w:val="none"/>
        </w:rPr>
        <w:t>额</w:t>
      </w:r>
      <w:r>
        <w:rPr>
          <w:color w:val="auto"/>
          <w:spacing w:val="1"/>
          <w:highlight w:val="none"/>
        </w:rPr>
        <w:t>，</w:t>
      </w:r>
      <w:r>
        <w:rPr>
          <w:color w:val="auto"/>
          <w:highlight w:val="none"/>
        </w:rPr>
        <w:t>其中，</w:t>
      </w:r>
      <w:r>
        <w:rPr>
          <w:color w:val="auto"/>
          <w:spacing w:val="1"/>
          <w:highlight w:val="none"/>
        </w:rPr>
        <w:t>增</w:t>
      </w:r>
      <w:r>
        <w:rPr>
          <w:color w:val="auto"/>
          <w:highlight w:val="none"/>
        </w:rPr>
        <w:t>值</w:t>
      </w:r>
      <w:r>
        <w:rPr>
          <w:color w:val="auto"/>
          <w:spacing w:val="1"/>
          <w:highlight w:val="none"/>
        </w:rPr>
        <w:t>税</w:t>
      </w:r>
      <w:r>
        <w:rPr>
          <w:color w:val="auto"/>
          <w:highlight w:val="none"/>
        </w:rPr>
        <w:t>税率</w:t>
      </w:r>
      <w:r>
        <w:rPr>
          <w:color w:val="auto"/>
          <w:spacing w:val="1"/>
          <w:highlight w:val="none"/>
        </w:rPr>
        <w:t>为</w:t>
      </w:r>
      <w:r>
        <w:rPr>
          <w:rFonts w:ascii="Times New Roman" w:hAnsi="Times New Roman" w:eastAsia="Times New Roman"/>
          <w:color w:val="auto"/>
          <w:highlight w:val="none"/>
          <w:u w:val="single"/>
        </w:rPr>
        <w:tab/>
      </w:r>
      <w:r>
        <w:rPr>
          <w:color w:val="auto"/>
          <w:spacing w:val="-120"/>
          <w:highlight w:val="none"/>
        </w:rPr>
        <w:t>）</w:t>
      </w:r>
      <w:r>
        <w:rPr>
          <w:color w:val="auto"/>
          <w:spacing w:val="1"/>
          <w:highlight w:val="none"/>
        </w:rPr>
        <w:t>，</w:t>
      </w:r>
      <w:r>
        <w:rPr>
          <w:color w:val="auto"/>
          <w:highlight w:val="none"/>
        </w:rPr>
        <w:t>按合</w:t>
      </w:r>
      <w:r>
        <w:rPr>
          <w:color w:val="auto"/>
          <w:spacing w:val="1"/>
          <w:highlight w:val="none"/>
        </w:rPr>
        <w:t>同</w:t>
      </w:r>
      <w:r>
        <w:rPr>
          <w:color w:val="auto"/>
          <w:highlight w:val="none"/>
        </w:rPr>
        <w:t>约</w:t>
      </w:r>
      <w:r>
        <w:rPr>
          <w:color w:val="auto"/>
          <w:spacing w:val="1"/>
          <w:highlight w:val="none"/>
        </w:rPr>
        <w:t>定</w:t>
      </w:r>
      <w:r>
        <w:rPr>
          <w:color w:val="auto"/>
          <w:highlight w:val="none"/>
        </w:rPr>
        <w:t>实施和</w:t>
      </w:r>
      <w:r>
        <w:rPr>
          <w:color w:val="auto"/>
          <w:spacing w:val="1"/>
          <w:highlight w:val="none"/>
        </w:rPr>
        <w:t>完</w:t>
      </w:r>
      <w:r>
        <w:rPr>
          <w:color w:val="auto"/>
          <w:highlight w:val="none"/>
        </w:rPr>
        <w:t>成承包工程，修补工程中的任何缺陷。</w:t>
      </w:r>
    </w:p>
    <w:p>
      <w:pPr>
        <w:pStyle w:val="20"/>
        <w:spacing w:before="1" w:line="312" w:lineRule="auto"/>
        <w:ind w:left="264" w:right="446" w:firstLine="479"/>
        <w:rPr>
          <w:color w:val="auto"/>
          <w:highlight w:val="none"/>
        </w:rPr>
      </w:pPr>
      <w:r>
        <w:rPr>
          <w:rFonts w:ascii="Times New Roman" w:eastAsia="Times New Roman"/>
          <w:color w:val="auto"/>
          <w:spacing w:val="-22"/>
          <w:highlight w:val="none"/>
        </w:rPr>
        <w:t>2</w:t>
      </w:r>
      <w:r>
        <w:rPr>
          <w:color w:val="auto"/>
          <w:spacing w:val="-8"/>
          <w:highlight w:val="none"/>
        </w:rPr>
        <w:t>．在合同协议书正式签署生效之前，本投标函连同你方的中标通知书将构成我们双方之间共同遵守的文件，对双方具有约束力。</w:t>
      </w:r>
    </w:p>
    <w:p>
      <w:pPr>
        <w:pStyle w:val="20"/>
        <w:tabs>
          <w:tab w:val="left" w:pos="5785"/>
        </w:tabs>
        <w:spacing w:line="307" w:lineRule="exact"/>
        <w:ind w:left="744"/>
        <w:rPr>
          <w:color w:val="auto"/>
          <w:highlight w:val="none"/>
        </w:rPr>
      </w:pPr>
      <w:r>
        <w:rPr>
          <w:rFonts w:ascii="Times New Roman" w:eastAsia="Times New Roman"/>
          <w:color w:val="auto"/>
          <w:highlight w:val="none"/>
        </w:rPr>
        <w:t>3</w:t>
      </w:r>
      <w:r>
        <w:rPr>
          <w:color w:val="auto"/>
          <w:highlight w:val="none"/>
        </w:rPr>
        <w:t>．</w:t>
      </w:r>
      <w:r>
        <w:rPr>
          <w:color w:val="auto"/>
          <w:highlight w:val="none"/>
          <w:u w:val="single"/>
        </w:rPr>
        <w:tab/>
      </w:r>
      <w:r>
        <w:rPr>
          <w:color w:val="auto"/>
          <w:highlight w:val="none"/>
        </w:rPr>
        <w:t>（其他补充说明</w:t>
      </w:r>
      <w:r>
        <w:rPr>
          <w:color w:val="auto"/>
          <w:spacing w:val="-120"/>
          <w:highlight w:val="none"/>
        </w:rPr>
        <w:t>）</w:t>
      </w:r>
      <w:r>
        <w:rPr>
          <w:color w:val="auto"/>
          <w:highlight w:val="none"/>
        </w:rPr>
        <w:t>。</w:t>
      </w:r>
    </w:p>
    <w:p>
      <w:pPr>
        <w:pStyle w:val="20"/>
        <w:spacing w:before="7"/>
        <w:rPr>
          <w:color w:val="auto"/>
          <w:sz w:val="38"/>
          <w:highlight w:val="none"/>
        </w:rPr>
      </w:pPr>
    </w:p>
    <w:p>
      <w:pPr>
        <w:pStyle w:val="20"/>
        <w:tabs>
          <w:tab w:val="left" w:pos="4404"/>
          <w:tab w:val="left" w:pos="7390"/>
          <w:tab w:val="left" w:pos="8101"/>
          <w:tab w:val="left" w:pos="8996"/>
        </w:tabs>
        <w:spacing w:line="312" w:lineRule="auto"/>
        <w:ind w:left="3685" w:right="322"/>
        <w:rPr>
          <w:rFonts w:ascii="Times New Roman" w:hAnsi="Times New Roman" w:eastAsia="Times New Roman"/>
          <w:color w:val="auto"/>
          <w:highlight w:val="none"/>
        </w:rPr>
      </w:pPr>
      <w:r>
        <w:rPr>
          <w:color w:val="auto"/>
          <w:highlight w:val="none"/>
        </w:rPr>
        <w:t>投 标 人</w:t>
      </w:r>
      <w:r>
        <w:rPr>
          <w:color w:val="auto"/>
          <w:spacing w:val="-8"/>
          <w:highlight w:val="none"/>
        </w:rPr>
        <w:t>：</w:t>
      </w:r>
      <w:r>
        <w:rPr>
          <w:color w:val="auto"/>
          <w:spacing w:val="-8"/>
          <w:highlight w:val="none"/>
          <w:u w:val="single"/>
        </w:rPr>
        <w:tab/>
      </w:r>
      <w:r>
        <w:rPr>
          <w:color w:val="auto"/>
          <w:highlight w:val="none"/>
        </w:rPr>
        <w:t>（盖单位章</w:t>
      </w:r>
      <w:r>
        <w:rPr>
          <w:color w:val="auto"/>
          <w:spacing w:val="-5"/>
          <w:highlight w:val="none"/>
        </w:rPr>
        <w:t>）</w:t>
      </w:r>
      <w:r>
        <w:rPr>
          <w:color w:val="auto"/>
          <w:highlight w:val="none"/>
        </w:rPr>
        <w:t>法定代表人或其委托代理人</w:t>
      </w:r>
      <w:r>
        <w:rPr>
          <w:color w:val="auto"/>
          <w:spacing w:val="-12"/>
          <w:highlight w:val="none"/>
        </w:rPr>
        <w:t>：</w:t>
      </w:r>
      <w:r>
        <w:rPr>
          <w:color w:val="auto"/>
          <w:spacing w:val="-12"/>
          <w:highlight w:val="none"/>
          <w:u w:val="single"/>
        </w:rPr>
        <w:tab/>
      </w:r>
      <w:r>
        <w:rPr>
          <w:color w:val="auto"/>
          <w:spacing w:val="-12"/>
          <w:highlight w:val="none"/>
          <w:u w:val="single"/>
        </w:rPr>
        <w:tab/>
      </w:r>
      <w:r>
        <w:rPr>
          <w:color w:val="auto"/>
          <w:highlight w:val="none"/>
        </w:rPr>
        <w:t>（签字） 地</w:t>
      </w:r>
      <w:r>
        <w:rPr>
          <w:color w:val="auto"/>
          <w:highlight w:val="none"/>
        </w:rPr>
        <w:tab/>
      </w:r>
      <w:r>
        <w:rPr>
          <w:color w:val="auto"/>
          <w:highlight w:val="none"/>
        </w:rPr>
        <w:t>址：</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color w:val="auto"/>
          <w:highlight w:val="none"/>
        </w:rPr>
        <w:t>网</w:t>
      </w:r>
      <w:r>
        <w:rPr>
          <w:color w:val="auto"/>
          <w:highlight w:val="none"/>
        </w:rPr>
        <w:tab/>
      </w:r>
      <w:r>
        <w:rPr>
          <w:color w:val="auto"/>
          <w:highlight w:val="none"/>
        </w:rPr>
        <w:t>址：</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color w:val="auto"/>
          <w:highlight w:val="none"/>
        </w:rPr>
        <w:t>电</w:t>
      </w:r>
      <w:r>
        <w:rPr>
          <w:color w:val="auto"/>
          <w:highlight w:val="none"/>
        </w:rPr>
        <w:tab/>
      </w:r>
      <w:r>
        <w:rPr>
          <w:color w:val="auto"/>
          <w:highlight w:val="none"/>
        </w:rPr>
        <w:t>话：</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color w:val="auto"/>
          <w:highlight w:val="none"/>
        </w:rPr>
        <w:t>传</w:t>
      </w:r>
      <w:r>
        <w:rPr>
          <w:color w:val="auto"/>
          <w:highlight w:val="none"/>
        </w:rPr>
        <w:tab/>
      </w:r>
      <w:r>
        <w:rPr>
          <w:color w:val="auto"/>
          <w:highlight w:val="none"/>
        </w:rPr>
        <w:t>真：</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color w:val="auto"/>
          <w:highlight w:val="none"/>
        </w:rPr>
        <w:t>邮政编码：</w:t>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r>
        <w:rPr>
          <w:rFonts w:ascii="Times New Roman" w:hAnsi="Times New Roman" w:eastAsia="Times New Roman"/>
          <w:color w:val="auto"/>
          <w:highlight w:val="none"/>
          <w:u w:val="single"/>
        </w:rPr>
        <w:tab/>
      </w:r>
    </w:p>
    <w:p>
      <w:pPr>
        <w:pStyle w:val="20"/>
        <w:spacing w:before="5"/>
        <w:rPr>
          <w:rFonts w:ascii="Times New Roman"/>
          <w:color w:val="auto"/>
          <w:sz w:val="28"/>
          <w:highlight w:val="none"/>
        </w:rPr>
      </w:pPr>
    </w:p>
    <w:p>
      <w:pPr>
        <w:pStyle w:val="20"/>
        <w:tabs>
          <w:tab w:val="left" w:pos="6085"/>
          <w:tab w:val="left" w:pos="7165"/>
          <w:tab w:val="left" w:pos="8245"/>
        </w:tabs>
        <w:spacing w:before="74"/>
        <w:ind w:left="5005"/>
        <w:rPr>
          <w:color w:val="auto"/>
          <w:highlight w:val="none"/>
        </w:rPr>
      </w:pPr>
      <w:r>
        <w:rPr>
          <w:rFonts w:ascii="Times New Roman" w:eastAsia="Times New Roman"/>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pStyle w:val="20"/>
        <w:rPr>
          <w:color w:val="auto"/>
          <w:sz w:val="20"/>
          <w:highlight w:val="none"/>
        </w:rPr>
      </w:pPr>
    </w:p>
    <w:p>
      <w:pPr>
        <w:rPr>
          <w:color w:val="auto"/>
          <w:sz w:val="18"/>
          <w:highlight w:val="none"/>
        </w:rPr>
        <w:sectPr>
          <w:footerReference r:id="rId61" w:type="default"/>
          <w:footerReference r:id="rId62" w:type="even"/>
          <w:pgSz w:w="11907" w:h="16840"/>
          <w:pgMar w:top="1418" w:right="1191" w:bottom="1418" w:left="1191" w:header="873" w:footer="851" w:gutter="0"/>
          <w:cols w:space="720" w:num="1"/>
        </w:sectPr>
      </w:pPr>
    </w:p>
    <w:p>
      <w:pPr>
        <w:pStyle w:val="20"/>
        <w:rPr>
          <w:color w:val="auto"/>
          <w:sz w:val="20"/>
          <w:highlight w:val="none"/>
        </w:rPr>
      </w:pPr>
    </w:p>
    <w:p>
      <w:pPr>
        <w:pStyle w:val="20"/>
        <w:rPr>
          <w:color w:val="auto"/>
          <w:sz w:val="20"/>
          <w:highlight w:val="none"/>
        </w:rPr>
      </w:pPr>
    </w:p>
    <w:p>
      <w:pPr>
        <w:pStyle w:val="20"/>
        <w:spacing w:before="9"/>
        <w:rPr>
          <w:color w:val="auto"/>
          <w:sz w:val="18"/>
          <w:highlight w:val="none"/>
        </w:rPr>
      </w:pPr>
    </w:p>
    <w:p>
      <w:pPr>
        <w:spacing w:before="62"/>
        <w:ind w:left="3202"/>
        <w:outlineLvl w:val="2"/>
        <w:rPr>
          <w:rFonts w:ascii="黑体" w:eastAsia="黑体"/>
          <w:color w:val="auto"/>
          <w:sz w:val="28"/>
          <w:highlight w:val="none"/>
        </w:rPr>
      </w:pPr>
      <w:bookmarkStart w:id="4468" w:name="_bookmark325"/>
      <w:bookmarkEnd w:id="4468"/>
      <w:bookmarkStart w:id="4469" w:name="_Toc24726"/>
      <w:bookmarkStart w:id="4470" w:name="_Toc19034"/>
      <w:r>
        <w:rPr>
          <w:rFonts w:hint="eastAsia" w:ascii="黑体" w:eastAsia="黑体"/>
          <w:color w:val="auto"/>
          <w:sz w:val="28"/>
          <w:highlight w:val="none"/>
        </w:rPr>
        <w:t>二、已标价工程量清单</w:t>
      </w:r>
      <w:bookmarkEnd w:id="4469"/>
      <w:bookmarkEnd w:id="4470"/>
    </w:p>
    <w:p>
      <w:pPr>
        <w:pStyle w:val="20"/>
        <w:rPr>
          <w:rFonts w:ascii="黑体"/>
          <w:color w:val="auto"/>
          <w:sz w:val="28"/>
          <w:highlight w:val="none"/>
        </w:rPr>
      </w:pPr>
    </w:p>
    <w:p>
      <w:pPr>
        <w:pStyle w:val="20"/>
        <w:spacing w:before="2"/>
        <w:rPr>
          <w:rFonts w:ascii="黑体"/>
          <w:color w:val="auto"/>
          <w:sz w:val="34"/>
          <w:highlight w:val="none"/>
        </w:rPr>
      </w:pPr>
    </w:p>
    <w:p>
      <w:pPr>
        <w:adjustRightInd w:val="0"/>
        <w:snapToGrid w:val="0"/>
        <w:spacing w:line="360" w:lineRule="auto"/>
        <w:ind w:firstLine="480" w:firstLineChars="200"/>
        <w:rPr>
          <w:color w:val="auto"/>
          <w:sz w:val="24"/>
          <w:highlight w:val="none"/>
        </w:rPr>
      </w:pPr>
      <w:r>
        <w:rPr>
          <w:rFonts w:hint="eastAsia"/>
          <w:color w:val="auto"/>
          <w:sz w:val="24"/>
          <w:highlight w:val="none"/>
        </w:rPr>
        <w:t>本项目招标由招标人提供书面工程量清单，投标人按照招标人提供的书面工程量清单填写本合同各工程子目的单价、合价和总额价，即可完成投标工程量清单的编制，确定投标报价，并将投标工程量清单编入投标文件。</w:t>
      </w:r>
    </w:p>
    <w:p>
      <w:pPr>
        <w:pStyle w:val="20"/>
        <w:adjustRightInd w:val="0"/>
        <w:snapToGrid w:val="0"/>
        <w:spacing w:line="360" w:lineRule="auto"/>
        <w:ind w:right="444" w:firstLine="480" w:firstLineChars="200"/>
        <w:jc w:val="both"/>
        <w:rPr>
          <w:color w:val="auto"/>
          <w:highlight w:val="none"/>
        </w:rPr>
      </w:pPr>
      <w:r>
        <w:rPr>
          <w:rFonts w:hint="eastAsia"/>
          <w:color w:val="auto"/>
          <w:highlight w:val="none"/>
        </w:rPr>
        <w:t>投标人应按照第五章“工程量清单”的要求逐项填报工程量清单，包括工程量清单说明、投标报价说明、其他说明及工程量清单各项表格。</w:t>
      </w:r>
    </w:p>
    <w:p>
      <w:pPr>
        <w:pStyle w:val="20"/>
        <w:spacing w:before="1" w:line="343" w:lineRule="auto"/>
        <w:ind w:left="264" w:right="444" w:firstLine="479"/>
        <w:jc w:val="both"/>
        <w:rPr>
          <w:rFonts w:ascii="Times New Roman" w:hAnsi="Times New Roman" w:eastAsiaTheme="minorEastAsia"/>
          <w:color w:val="auto"/>
          <w:highlight w:val="none"/>
        </w:rPr>
      </w:pPr>
    </w:p>
    <w:p>
      <w:pPr>
        <w:pStyle w:val="20"/>
        <w:rPr>
          <w:rFonts w:ascii="黑体"/>
          <w:color w:val="auto"/>
          <w:sz w:val="20"/>
          <w:highlight w:val="none"/>
        </w:rPr>
        <w:sectPr>
          <w:footerReference r:id="rId63" w:type="default"/>
          <w:footerReference r:id="rId64" w:type="even"/>
          <w:pgSz w:w="11907" w:h="16840"/>
          <w:pgMar w:top="1418" w:right="1191" w:bottom="1418" w:left="1191" w:header="873" w:footer="851" w:gutter="0"/>
          <w:cols w:space="720" w:num="1"/>
          <w:docGrid w:linePitch="312" w:charSpace="0"/>
        </w:sectPr>
      </w:pPr>
    </w:p>
    <w:p>
      <w:pPr>
        <w:pStyle w:val="20"/>
        <w:jc w:val="center"/>
        <w:outlineLvl w:val="2"/>
        <w:rPr>
          <w:rFonts w:ascii="黑体" w:eastAsia="黑体"/>
          <w:color w:val="auto"/>
          <w:sz w:val="28"/>
          <w:highlight w:val="none"/>
        </w:rPr>
      </w:pPr>
      <w:bookmarkStart w:id="4471" w:name="_Toc15913"/>
      <w:bookmarkStart w:id="4472" w:name="_Toc11259"/>
      <w:r>
        <w:rPr>
          <w:rFonts w:hint="eastAsia" w:ascii="黑体" w:eastAsia="黑体"/>
          <w:color w:val="auto"/>
          <w:sz w:val="28"/>
          <w:highlight w:val="none"/>
        </w:rPr>
        <w:t>三、合同用款估算表</w:t>
      </w:r>
      <w:bookmarkEnd w:id="4471"/>
      <w:bookmarkEnd w:id="4472"/>
    </w:p>
    <w:tbl>
      <w:tblPr>
        <w:tblStyle w:val="47"/>
        <w:tblpPr w:leftFromText="180" w:rightFromText="180" w:vertAnchor="text" w:horzAnchor="margin" w:tblpY="172"/>
        <w:tblW w:w="96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997"/>
        <w:gridCol w:w="1731"/>
        <w:gridCol w:w="1731"/>
        <w:gridCol w:w="1731"/>
        <w:gridCol w:w="17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714" w:type="dxa"/>
            <w:gridSpan w:val="2"/>
            <w:vMerge w:val="restart"/>
            <w:vAlign w:val="center"/>
          </w:tcPr>
          <w:p>
            <w:pPr>
              <w:jc w:val="center"/>
              <w:rPr>
                <w:color w:val="auto"/>
                <w:szCs w:val="21"/>
                <w:highlight w:val="none"/>
              </w:rPr>
            </w:pPr>
            <w:r>
              <w:rPr>
                <w:rFonts w:hint="eastAsia"/>
                <w:color w:val="auto"/>
                <w:szCs w:val="21"/>
                <w:highlight w:val="none"/>
              </w:rPr>
              <w:t>从开工月算起的时间（月）</w:t>
            </w:r>
          </w:p>
        </w:tc>
        <w:tc>
          <w:tcPr>
            <w:tcW w:w="6925" w:type="dxa"/>
            <w:gridSpan w:val="4"/>
            <w:vAlign w:val="center"/>
          </w:tcPr>
          <w:p>
            <w:pPr>
              <w:jc w:val="center"/>
              <w:rPr>
                <w:color w:val="auto"/>
                <w:szCs w:val="21"/>
                <w:highlight w:val="none"/>
              </w:rPr>
            </w:pPr>
            <w:r>
              <w:rPr>
                <w:rFonts w:hint="eastAsia"/>
                <w:color w:val="auto"/>
                <w:szCs w:val="21"/>
                <w:highlight w:val="none"/>
              </w:rPr>
              <w:t>投标人的估算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714" w:type="dxa"/>
            <w:gridSpan w:val="2"/>
            <w:vMerge w:val="continue"/>
            <w:vAlign w:val="center"/>
          </w:tcPr>
          <w:p>
            <w:pPr>
              <w:jc w:val="center"/>
              <w:rPr>
                <w:color w:val="auto"/>
                <w:szCs w:val="21"/>
                <w:highlight w:val="none"/>
              </w:rPr>
            </w:pPr>
          </w:p>
        </w:tc>
        <w:tc>
          <w:tcPr>
            <w:tcW w:w="3462" w:type="dxa"/>
            <w:gridSpan w:val="2"/>
            <w:vAlign w:val="center"/>
          </w:tcPr>
          <w:p>
            <w:pPr>
              <w:tabs>
                <w:tab w:val="left" w:pos="4863"/>
              </w:tabs>
              <w:jc w:val="center"/>
              <w:rPr>
                <w:color w:val="auto"/>
                <w:szCs w:val="21"/>
                <w:highlight w:val="none"/>
              </w:rPr>
            </w:pPr>
            <w:r>
              <w:rPr>
                <w:rFonts w:hint="eastAsia"/>
                <w:color w:val="auto"/>
                <w:szCs w:val="21"/>
                <w:highlight w:val="none"/>
              </w:rPr>
              <w:t>分  期</w:t>
            </w:r>
          </w:p>
        </w:tc>
        <w:tc>
          <w:tcPr>
            <w:tcW w:w="3463" w:type="dxa"/>
            <w:gridSpan w:val="2"/>
            <w:vAlign w:val="center"/>
          </w:tcPr>
          <w:p>
            <w:pPr>
              <w:tabs>
                <w:tab w:val="left" w:pos="4863"/>
              </w:tabs>
              <w:jc w:val="center"/>
              <w:rPr>
                <w:color w:val="auto"/>
                <w:szCs w:val="21"/>
                <w:highlight w:val="none"/>
              </w:rPr>
            </w:pPr>
            <w:r>
              <w:rPr>
                <w:rFonts w:hint="eastAsia"/>
                <w:color w:val="auto"/>
                <w:szCs w:val="21"/>
                <w:highlight w:val="none"/>
              </w:rPr>
              <w:t>累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714" w:type="dxa"/>
            <w:gridSpan w:val="2"/>
            <w:vMerge w:val="continue"/>
            <w:vAlign w:val="center"/>
          </w:tcPr>
          <w:p>
            <w:pPr>
              <w:jc w:val="center"/>
              <w:rPr>
                <w:color w:val="auto"/>
                <w:szCs w:val="21"/>
                <w:highlight w:val="none"/>
              </w:rPr>
            </w:pPr>
          </w:p>
        </w:tc>
        <w:tc>
          <w:tcPr>
            <w:tcW w:w="1731" w:type="dxa"/>
            <w:vAlign w:val="center"/>
          </w:tcPr>
          <w:p>
            <w:pPr>
              <w:jc w:val="center"/>
              <w:rPr>
                <w:color w:val="auto"/>
                <w:szCs w:val="21"/>
                <w:highlight w:val="none"/>
              </w:rPr>
            </w:pPr>
            <w:r>
              <w:rPr>
                <w:rFonts w:hint="eastAsia"/>
                <w:color w:val="auto"/>
                <w:szCs w:val="21"/>
                <w:highlight w:val="none"/>
              </w:rPr>
              <w:t>金额（元）</w:t>
            </w:r>
          </w:p>
        </w:tc>
        <w:tc>
          <w:tcPr>
            <w:tcW w:w="1731" w:type="dxa"/>
            <w:vAlign w:val="center"/>
          </w:tcPr>
          <w:p>
            <w:pPr>
              <w:jc w:val="center"/>
              <w:rPr>
                <w:color w:val="auto"/>
                <w:szCs w:val="21"/>
                <w:highlight w:val="none"/>
              </w:rPr>
            </w:pPr>
            <w:r>
              <w:rPr>
                <w:rFonts w:hint="eastAsia"/>
                <w:color w:val="auto"/>
                <w:szCs w:val="21"/>
                <w:highlight w:val="none"/>
              </w:rPr>
              <w:t>（%）</w:t>
            </w:r>
          </w:p>
        </w:tc>
        <w:tc>
          <w:tcPr>
            <w:tcW w:w="1731" w:type="dxa"/>
            <w:vAlign w:val="center"/>
          </w:tcPr>
          <w:p>
            <w:pPr>
              <w:jc w:val="center"/>
              <w:rPr>
                <w:color w:val="auto"/>
                <w:szCs w:val="21"/>
                <w:highlight w:val="none"/>
              </w:rPr>
            </w:pPr>
            <w:r>
              <w:rPr>
                <w:rFonts w:hint="eastAsia"/>
                <w:color w:val="auto"/>
                <w:szCs w:val="21"/>
                <w:highlight w:val="none"/>
              </w:rPr>
              <w:t>金额（元）</w:t>
            </w:r>
          </w:p>
        </w:tc>
        <w:tc>
          <w:tcPr>
            <w:tcW w:w="1732" w:type="dxa"/>
            <w:vAlign w:val="center"/>
          </w:tcPr>
          <w:p>
            <w:pPr>
              <w:jc w:val="center"/>
              <w:rPr>
                <w:color w:val="auto"/>
                <w:szCs w:val="21"/>
                <w:highlight w:val="none"/>
              </w:rPr>
            </w:pP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第一次开工预付款</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2714" w:type="dxa"/>
            <w:gridSpan w:val="2"/>
            <w:vAlign w:val="center"/>
          </w:tcPr>
          <w:p>
            <w:pPr>
              <w:jc w:val="center"/>
              <w:rPr>
                <w:color w:val="auto"/>
                <w:szCs w:val="21"/>
                <w:highlight w:val="none"/>
              </w:rPr>
            </w:pPr>
            <w:r>
              <w:rPr>
                <w:rFonts w:hint="eastAsia"/>
                <w:color w:val="auto"/>
                <w:szCs w:val="21"/>
                <w:highlight w:val="none"/>
              </w:rPr>
              <w:t>1～3</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4～6</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7～9</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2714" w:type="dxa"/>
            <w:gridSpan w:val="2"/>
            <w:vAlign w:val="center"/>
          </w:tcPr>
          <w:p>
            <w:pPr>
              <w:jc w:val="center"/>
              <w:rPr>
                <w:color w:val="auto"/>
                <w:szCs w:val="21"/>
                <w:highlight w:val="none"/>
              </w:rPr>
            </w:pPr>
            <w:r>
              <w:rPr>
                <w:rFonts w:hint="eastAsia"/>
                <w:color w:val="auto"/>
                <w:szCs w:val="21"/>
                <w:highlight w:val="none"/>
              </w:rPr>
              <w:t>10～12</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13～15</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缺陷责任期</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14" w:type="dxa"/>
            <w:gridSpan w:val="2"/>
            <w:vAlign w:val="center"/>
          </w:tcPr>
          <w:p>
            <w:pPr>
              <w:jc w:val="center"/>
              <w:rPr>
                <w:color w:val="auto"/>
                <w:szCs w:val="21"/>
                <w:highlight w:val="none"/>
              </w:rPr>
            </w:pPr>
            <w:r>
              <w:rPr>
                <w:rFonts w:hint="eastAsia"/>
                <w:color w:val="auto"/>
                <w:szCs w:val="21"/>
                <w:highlight w:val="none"/>
              </w:rPr>
              <w:t>小计</w:t>
            </w:r>
          </w:p>
        </w:tc>
        <w:tc>
          <w:tcPr>
            <w:tcW w:w="1731" w:type="dxa"/>
            <w:vAlign w:val="center"/>
          </w:tcPr>
          <w:p>
            <w:pPr>
              <w:jc w:val="center"/>
              <w:rPr>
                <w:color w:val="auto"/>
                <w:szCs w:val="21"/>
                <w:highlight w:val="none"/>
              </w:rPr>
            </w:pPr>
          </w:p>
        </w:tc>
        <w:tc>
          <w:tcPr>
            <w:tcW w:w="1731" w:type="dxa"/>
            <w:vAlign w:val="center"/>
          </w:tcPr>
          <w:p>
            <w:pPr>
              <w:jc w:val="center"/>
              <w:rPr>
                <w:color w:val="auto"/>
                <w:szCs w:val="21"/>
                <w:highlight w:val="none"/>
              </w:rPr>
            </w:pPr>
            <w:r>
              <w:rPr>
                <w:rFonts w:hint="eastAsia"/>
                <w:color w:val="auto"/>
                <w:szCs w:val="21"/>
                <w:highlight w:val="none"/>
              </w:rPr>
              <w:t>100．00</w:t>
            </w:r>
          </w:p>
        </w:tc>
        <w:tc>
          <w:tcPr>
            <w:tcW w:w="1731" w:type="dxa"/>
            <w:vAlign w:val="center"/>
          </w:tcPr>
          <w:p>
            <w:pPr>
              <w:jc w:val="center"/>
              <w:rPr>
                <w:color w:val="auto"/>
                <w:szCs w:val="21"/>
                <w:highlight w:val="none"/>
              </w:rPr>
            </w:pPr>
          </w:p>
        </w:tc>
        <w:tc>
          <w:tcPr>
            <w:tcW w:w="1732"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639" w:type="dxa"/>
            <w:gridSpan w:val="6"/>
            <w:vAlign w:val="center"/>
          </w:tcPr>
          <w:p>
            <w:pPr>
              <w:rPr>
                <w:color w:val="auto"/>
                <w:szCs w:val="21"/>
                <w:highlight w:val="none"/>
              </w:rPr>
            </w:pPr>
            <w:r>
              <w:rPr>
                <w:rFonts w:hint="eastAsia"/>
                <w:color w:val="auto"/>
                <w:szCs w:val="21"/>
                <w:highlight w:val="none"/>
              </w:rPr>
              <w:t>投标价：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7" w:hRule="atLeast"/>
        </w:trPr>
        <w:tc>
          <w:tcPr>
            <w:tcW w:w="717" w:type="dxa"/>
            <w:vAlign w:val="center"/>
          </w:tcPr>
          <w:p>
            <w:pPr>
              <w:jc w:val="center"/>
              <w:rPr>
                <w:color w:val="auto"/>
                <w:szCs w:val="21"/>
                <w:highlight w:val="none"/>
              </w:rPr>
            </w:pPr>
            <w:r>
              <w:rPr>
                <w:rFonts w:hint="eastAsia"/>
                <w:color w:val="auto"/>
                <w:szCs w:val="21"/>
                <w:highlight w:val="none"/>
              </w:rPr>
              <w:t>说</w:t>
            </w:r>
          </w:p>
          <w:p>
            <w:pPr>
              <w:jc w:val="center"/>
              <w:rPr>
                <w:color w:val="auto"/>
                <w:szCs w:val="21"/>
                <w:highlight w:val="none"/>
              </w:rPr>
            </w:pPr>
          </w:p>
          <w:p>
            <w:pPr>
              <w:jc w:val="center"/>
              <w:rPr>
                <w:color w:val="auto"/>
                <w:szCs w:val="21"/>
                <w:highlight w:val="none"/>
              </w:rPr>
            </w:pPr>
          </w:p>
          <w:p>
            <w:pPr>
              <w:jc w:val="center"/>
              <w:rPr>
                <w:color w:val="auto"/>
                <w:szCs w:val="21"/>
                <w:highlight w:val="none"/>
              </w:rPr>
            </w:pPr>
          </w:p>
          <w:p>
            <w:pPr>
              <w:jc w:val="center"/>
              <w:rPr>
                <w:color w:val="auto"/>
                <w:szCs w:val="21"/>
                <w:highlight w:val="none"/>
              </w:rPr>
            </w:pPr>
          </w:p>
          <w:p>
            <w:pPr>
              <w:jc w:val="center"/>
              <w:rPr>
                <w:color w:val="auto"/>
                <w:szCs w:val="21"/>
                <w:highlight w:val="none"/>
              </w:rPr>
            </w:pPr>
          </w:p>
          <w:p>
            <w:pPr>
              <w:jc w:val="center"/>
              <w:rPr>
                <w:color w:val="auto"/>
                <w:szCs w:val="21"/>
                <w:highlight w:val="none"/>
              </w:rPr>
            </w:pPr>
            <w:r>
              <w:rPr>
                <w:rFonts w:hint="eastAsia"/>
                <w:color w:val="auto"/>
                <w:szCs w:val="21"/>
                <w:highlight w:val="none"/>
              </w:rPr>
              <w:t>明</w:t>
            </w:r>
          </w:p>
        </w:tc>
        <w:tc>
          <w:tcPr>
            <w:tcW w:w="8922" w:type="dxa"/>
            <w:gridSpan w:val="5"/>
            <w:vAlign w:val="center"/>
          </w:tcPr>
          <w:p>
            <w:pPr>
              <w:widowControl/>
              <w:jc w:val="center"/>
              <w:rPr>
                <w:color w:val="auto"/>
                <w:szCs w:val="21"/>
                <w:highlight w:val="none"/>
              </w:rPr>
            </w:pPr>
          </w:p>
          <w:p>
            <w:pPr>
              <w:jc w:val="center"/>
              <w:rPr>
                <w:color w:val="auto"/>
                <w:szCs w:val="21"/>
                <w:highlight w:val="none"/>
              </w:rPr>
            </w:pPr>
          </w:p>
        </w:tc>
      </w:tr>
    </w:tbl>
    <w:p>
      <w:pPr>
        <w:pStyle w:val="20"/>
        <w:rPr>
          <w:rFonts w:ascii="黑体" w:eastAsia="黑体"/>
          <w:color w:val="auto"/>
          <w:sz w:val="28"/>
          <w:highlight w:val="none"/>
        </w:rPr>
      </w:pPr>
    </w:p>
    <w:p>
      <w:pPr>
        <w:adjustRightInd w:val="0"/>
        <w:snapToGrid w:val="0"/>
        <w:spacing w:line="360" w:lineRule="auto"/>
        <w:rPr>
          <w:color w:val="auto"/>
          <w:sz w:val="21"/>
          <w:szCs w:val="21"/>
          <w:highlight w:val="none"/>
        </w:rPr>
      </w:pPr>
      <w:r>
        <w:rPr>
          <w:rFonts w:hint="eastAsia"/>
          <w:color w:val="auto"/>
          <w:sz w:val="21"/>
          <w:szCs w:val="21"/>
          <w:highlight w:val="none"/>
        </w:rPr>
        <w:t>注：1.投标人可按附表一的工程进度估算并填写本表。</w:t>
      </w:r>
    </w:p>
    <w:p>
      <w:pPr>
        <w:pStyle w:val="20"/>
        <w:adjustRightInd w:val="0"/>
        <w:snapToGrid w:val="0"/>
        <w:spacing w:line="360" w:lineRule="auto"/>
        <w:ind w:firstLine="420" w:firstLineChars="200"/>
        <w:rPr>
          <w:rFonts w:ascii="黑体" w:eastAsia="黑体"/>
          <w:color w:val="auto"/>
          <w:sz w:val="21"/>
          <w:szCs w:val="21"/>
          <w:highlight w:val="none"/>
        </w:rPr>
      </w:pPr>
      <w:r>
        <w:rPr>
          <w:rFonts w:hint="eastAsia"/>
          <w:color w:val="auto"/>
          <w:sz w:val="21"/>
          <w:szCs w:val="21"/>
          <w:highlight w:val="none"/>
        </w:rPr>
        <w:t>2.用款额按所报单价和总额价估算，不包括价格调整和暂列金额、暂估价，但应考虑开工预付款的扣回、质量保证金的扣留以及签发付款证书后到实际支付的时间间隔。</w:t>
      </w:r>
    </w:p>
    <w:sectPr>
      <w:pgSz w:w="11907" w:h="16840"/>
      <w:pgMar w:top="1418" w:right="1191" w:bottom="1418" w:left="1191" w:header="873"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0000000000000000000"/>
    <w:charset w:val="86"/>
    <w:family w:val="auto"/>
    <w:pitch w:val="default"/>
    <w:sig w:usb0="00000000" w:usb1="00000000" w:usb2="00000010" w:usb3="00000000" w:csb0="0004009F" w:csb1="00000000"/>
  </w:font>
  <w:font w:name="PMingLiU">
    <w:altName w:val="PMingLiU-ExtB"/>
    <w:panose1 w:val="02020500000000000000"/>
    <w:charset w:val="88"/>
    <w:family w:val="roma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HiddenHorzOCl">
    <w:altName w:val="宋体"/>
    <w:panose1 w:val="00000000000000000000"/>
    <w:charset w:val="86"/>
    <w:family w:val="swiss"/>
    <w:pitch w:val="default"/>
    <w:sig w:usb0="00000000" w:usb1="00000000" w:usb2="00000010" w:usb3="00000000" w:csb0="00040000" w:csb1="00000000"/>
  </w:font>
  <w:font w:name="方正行楷简体">
    <w:panose1 w:val="02010601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88" o:spid="_x0000_s2188" o:spt="202" type="#_x0000_t202" style="position:absolute;left:0pt;margin-left:77.45pt;margin-top:788.4pt;height:12pt;width:13.1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0" o:spid="_x0000_s2280"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joinstyle="miter"/>
          <v:imagedata o:title=""/>
          <o:lock v:ext="edit"/>
          <v:textbox inset="0mm,0mm,0mm,0mm" style="mso-fit-shape-to-text:t;">
            <w:txbxContent>
              <w:sdt>
                <w:sdtPr>
                  <w:id w:val="249641249"/>
                </w:sdtPr>
                <w:sdtContent>
                  <w:p>
                    <w:pPr>
                      <w:pStyle w:val="32"/>
                      <w:jc w:val="center"/>
                    </w:pPr>
                    <w:r>
                      <w:fldChar w:fldCharType="begin"/>
                    </w:r>
                    <w:r>
                      <w:instrText xml:space="preserve"> PAGE   \* MERGEFORMAT </w:instrText>
                    </w:r>
                    <w:r>
                      <w:fldChar w:fldCharType="separate"/>
                    </w:r>
                    <w:r>
                      <w:t>52</w:t>
                    </w:r>
                    <w:r>
                      <w:fldChar w:fldCharType="end"/>
                    </w:r>
                  </w:p>
                </w:sdtContent>
              </w:sdt>
              <w:p/>
            </w:txbxContent>
          </v:textbox>
        </v:shape>
      </w:pict>
    </w:r>
  </w:p>
  <w:p>
    <w:pPr>
      <w:pStyle w:val="20"/>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186" o:spid="_x0000_s2186" o:spt="20" style="position:absolute;left:0pt;margin-left:79.45pt;margin-top:723.1pt;height:0pt;width:144.05pt;mso-position-horizontal-relative:page;mso-position-vertical-relative:page;z-index:-251651072;mso-width-relative:page;mso-height-relative:page;" coordsize="21600,21600">
          <v:path arrowok="t"/>
          <v:fill focussize="0,0"/>
          <v:stroke weight="0.48pt"/>
          <v:imagedata o:title=""/>
          <o:lock v:ext="edit"/>
        </v:line>
      </w:pict>
    </w:r>
    <w:r>
      <w:pict>
        <v:shape id="_x0000_s2185" o:spid="_x0000_s2185" o:spt="202" type="#_x0000_t202" style="position:absolute;left:0pt;margin-left:78.45pt;margin-top:788.4pt;height:12pt;width:11.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62</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1" o:spid="_x0000_s2281"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joinstyle="miter"/>
          <v:imagedata o:title=""/>
          <o:lock v:ext="edit"/>
          <v:textbox inset="0mm,0mm,0mm,0mm" style="mso-fit-shape-to-text:t;">
            <w:txbxContent>
              <w:sdt>
                <w:sdtPr>
                  <w:id w:val="249641250"/>
                </w:sdtPr>
                <w:sdtContent>
                  <w:p>
                    <w:pPr>
                      <w:pStyle w:val="32"/>
                      <w:jc w:val="center"/>
                    </w:pPr>
                    <w:r>
                      <w:fldChar w:fldCharType="begin"/>
                    </w:r>
                    <w:r>
                      <w:instrText xml:space="preserve"> PAGE   \* MERGEFORMAT </w:instrText>
                    </w:r>
                    <w:r>
                      <w:fldChar w:fldCharType="separate"/>
                    </w:r>
                    <w:r>
                      <w:t>57</w:t>
                    </w:r>
                    <w:r>
                      <w:fldChar w:fldCharType="end"/>
                    </w:r>
                  </w:p>
                </w:sdtContent>
              </w:sdt>
              <w:p/>
            </w:txbxContent>
          </v:textbox>
        </v:shape>
      </w:pict>
    </w:r>
  </w:p>
  <w:p>
    <w:pPr>
      <w:pStyle w:val="20"/>
      <w:spacing w:line="14" w:lineRule="auto"/>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79" o:spid="_x0000_s2179" o:spt="202" type="#_x0000_t202" style="position:absolute;left:0pt;margin-left:80.2pt;margin-top:788.4pt;height:12pt;width:17.7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68</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2" o:spid="_x0000_s2282"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joinstyle="miter"/>
          <v:imagedata o:title=""/>
          <o:lock v:ext="edit"/>
          <v:textbox inset="0mm,0mm,0mm,0mm" style="mso-fit-shape-to-text:t;">
            <w:txbxContent>
              <w:sdt>
                <w:sdtPr>
                  <w:id w:val="21470555"/>
                </w:sdtPr>
                <w:sdtContent>
                  <w:p>
                    <w:pPr>
                      <w:pStyle w:val="32"/>
                      <w:jc w:val="center"/>
                    </w:pPr>
                    <w:r>
                      <w:fldChar w:fldCharType="begin"/>
                    </w:r>
                    <w:r>
                      <w:instrText xml:space="preserve"> PAGE   \* MERGEFORMAT </w:instrText>
                    </w:r>
                    <w:r>
                      <w:fldChar w:fldCharType="separate"/>
                    </w:r>
                    <w:r>
                      <w:t>65</w:t>
                    </w:r>
                    <w:r>
                      <w:fldChar w:fldCharType="end"/>
                    </w:r>
                  </w:p>
                </w:sdtContent>
              </w:sdt>
              <w:p/>
            </w:txbxContent>
          </v:textbox>
        </v:shape>
      </w:pict>
    </w:r>
  </w:p>
  <w:p>
    <w:pPr>
      <w:pStyle w:val="20"/>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3" o:spid="_x0000_s2283"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sdt>
                <w:sdtPr>
                  <w:id w:val="249641254"/>
                </w:sdtPr>
                <w:sdtContent>
                  <w:p>
                    <w:pPr>
                      <w:pStyle w:val="32"/>
                      <w:jc w:val="center"/>
                    </w:pPr>
                    <w:r>
                      <w:fldChar w:fldCharType="begin"/>
                    </w:r>
                    <w:r>
                      <w:instrText xml:space="preserve"> PAGE   \* MERGEFORMAT </w:instrText>
                    </w:r>
                    <w:r>
                      <w:fldChar w:fldCharType="separate"/>
                    </w:r>
                    <w:r>
                      <w:t>71</w:t>
                    </w:r>
                    <w:r>
                      <w:fldChar w:fldCharType="end"/>
                    </w:r>
                  </w:p>
                </w:sdtContent>
              </w:sdt>
              <w:p/>
            </w:txbxContent>
          </v:textbox>
        </v:shape>
      </w:pict>
    </w:r>
  </w:p>
  <w:p>
    <w:pPr>
      <w:pStyle w:val="20"/>
      <w:spacing w:line="14" w:lineRule="auto"/>
      <w:rPr>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55" o:spid="_x0000_s2155" o:spt="202" type="#_x0000_t202" style="position:absolute;left:0pt;margin-left:80.2pt;margin-top:778.05pt;height:12pt;width:17.3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110</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4" o:spid="_x0000_s2284"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joinstyle="miter"/>
          <v:imagedata o:title=""/>
          <o:lock v:ext="edit"/>
          <v:textbox inset="0mm,0mm,0mm,0mm" style="mso-fit-shape-to-text:t;">
            <w:txbxContent>
              <w:sdt>
                <w:sdtPr>
                  <w:id w:val="249641255"/>
                </w:sdtPr>
                <w:sdtContent>
                  <w:p>
                    <w:pPr>
                      <w:pStyle w:val="32"/>
                      <w:jc w:val="center"/>
                    </w:pPr>
                    <w:r>
                      <w:fldChar w:fldCharType="begin"/>
                    </w:r>
                    <w:r>
                      <w:instrText xml:space="preserve"> PAGE   \* MERGEFORMAT </w:instrText>
                    </w:r>
                    <w:r>
                      <w:fldChar w:fldCharType="separate"/>
                    </w:r>
                    <w:r>
                      <w:t>72</w:t>
                    </w:r>
                    <w:r>
                      <w:fldChar w:fldCharType="end"/>
                    </w:r>
                  </w:p>
                </w:sdtContent>
              </w:sdt>
              <w:p/>
            </w:txbxContent>
          </v:textbox>
        </v:shape>
      </w:pict>
    </w:r>
  </w:p>
  <w:p>
    <w:pPr>
      <w:pStyle w:val="20"/>
      <w:spacing w:line="14" w:lineRule="auto"/>
      <w:rPr>
        <w:sz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49" o:spid="_x0000_s2149" o:spt="202" type="#_x0000_t202" style="position:absolute;left:0pt;margin-left:80.2pt;margin-top:788.4pt;height:12pt;width:17.3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60" o:spid="_x0000_s2275" o:spt="202" type="#_x0000_t202" style="position:absolute;left:0pt;margin-top:0pt;height:6pt;width:8.2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5"/>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rPr>
                  <w:t>162</w:t>
                </w:r>
                <w:r>
                  <w:rPr>
                    <w:rFonts w:ascii="Times New Roman" w:hAnsi="Times New Roman" w:eastAsia="Times New Roman" w:cs="Times New Roman"/>
                    <w:b w:val="0"/>
                    <w:bCs w:val="0"/>
                    <w:color w:val="000000"/>
                  </w:rP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5" o:spid="_x0000_s2285"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joinstyle="miter"/>
          <v:imagedata o:title=""/>
          <o:lock v:ext="edit"/>
          <v:textbox inset="0mm,0mm,0mm,0mm" style="mso-fit-shape-to-text:t;">
            <w:txbxContent>
              <w:sdt>
                <w:sdtPr>
                  <w:id w:val="249641258"/>
                </w:sdtPr>
                <w:sdtContent>
                  <w:p>
                    <w:pPr>
                      <w:pStyle w:val="32"/>
                      <w:jc w:val="center"/>
                    </w:pPr>
                    <w:r>
                      <w:fldChar w:fldCharType="begin"/>
                    </w:r>
                    <w:r>
                      <w:instrText xml:space="preserve"> PAGE   \* MERGEFORMAT </w:instrText>
                    </w:r>
                    <w:r>
                      <w:fldChar w:fldCharType="separate"/>
                    </w:r>
                    <w:r>
                      <w:t>195</w:t>
                    </w:r>
                    <w:r>
                      <w:fldChar w:fldCharType="end"/>
                    </w:r>
                  </w:p>
                </w:sdtContent>
              </w:sdt>
              <w:p/>
            </w:txbxContent>
          </v:textbox>
        </v:shape>
      </w:pict>
    </w:r>
  </w:p>
  <w:p>
    <w:pPr>
      <w:pStyle w:val="20"/>
      <w:spacing w:line="14" w:lineRule="auto"/>
      <w:rPr>
        <w:sz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6" o:spid="_x0000_s2286"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joinstyle="miter"/>
          <v:imagedata o:title=""/>
          <o:lock v:ext="edit"/>
          <v:textbox inset="0mm,0mm,0mm,0mm" style="mso-fit-shape-to-text:t;">
            <w:txbxContent>
              <w:sdt>
                <w:sdtPr>
                  <w:id w:val="249641259"/>
                </w:sdtPr>
                <w:sdtContent>
                  <w:p>
                    <w:pPr>
                      <w:pStyle w:val="32"/>
                      <w:jc w:val="center"/>
                    </w:pPr>
                    <w:r>
                      <w:fldChar w:fldCharType="begin"/>
                    </w:r>
                    <w:r>
                      <w:instrText xml:space="preserve"> PAGE   \* MERGEFORMAT </w:instrText>
                    </w:r>
                    <w:r>
                      <w:fldChar w:fldCharType="separate"/>
                    </w:r>
                    <w:r>
                      <w:t>196</w:t>
                    </w:r>
                    <w:r>
                      <w:fldChar w:fldCharType="end"/>
                    </w:r>
                  </w:p>
                </w:sdtContent>
              </w:sdt>
              <w:p/>
            </w:txbxContent>
          </v:textbox>
        </v:shape>
      </w:pict>
    </w:r>
  </w:p>
  <w:p>
    <w:pPr>
      <w:pStyle w:val="20"/>
      <w:spacing w:line="14" w:lineRule="auto"/>
      <w:rPr>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33" o:spid="_x0000_s2133" o:spt="202" type="#_x0000_t202" style="position:absolute;left:0pt;margin-left:81.2pt;margin-top:788.4pt;height:12pt;width:15.7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160</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7" o:spid="_x0000_s2287"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joinstyle="miter"/>
          <v:imagedata o:title=""/>
          <o:lock v:ext="edit"/>
          <v:textbox inset="0mm,0mm,0mm,0mm" style="mso-fit-shape-to-text:t;">
            <w:txbxContent>
              <w:sdt>
                <w:sdtPr>
                  <w:id w:val="249641260"/>
                </w:sdtPr>
                <w:sdtContent>
                  <w:p>
                    <w:pPr>
                      <w:pStyle w:val="32"/>
                      <w:jc w:val="center"/>
                    </w:pPr>
                    <w:r>
                      <w:fldChar w:fldCharType="begin"/>
                    </w:r>
                    <w:r>
                      <w:instrText xml:space="preserve"> PAGE   \* MERGEFORMAT </w:instrText>
                    </w:r>
                    <w:r>
                      <w:fldChar w:fldCharType="separate"/>
                    </w:r>
                    <w:r>
                      <w:t>200</w:t>
                    </w:r>
                    <w:r>
                      <w:fldChar w:fldCharType="end"/>
                    </w:r>
                  </w:p>
                </w:sdtContent>
              </w:sdt>
              <w:p/>
            </w:txbxContent>
          </v:textbox>
        </v:shape>
      </w:pict>
    </w:r>
  </w:p>
  <w:p>
    <w:pPr>
      <w:pStyle w:val="20"/>
      <w:spacing w:line="14" w:lineRule="auto"/>
      <w:rPr>
        <w:sz w:val="2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31" o:spid="_x0000_s2131" o:spt="202" type="#_x0000_t202" style="position:absolute;left:0pt;margin-left:80.2pt;margin-top:788.4pt;height:12pt;width:17.7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164</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8" o:spid="_x0000_s2288"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joinstyle="miter"/>
          <v:imagedata o:title=""/>
          <o:lock v:ext="edit"/>
          <v:textbox inset="0mm,0mm,0mm,0mm" style="mso-fit-shape-to-text:t;">
            <w:txbxContent>
              <w:sdt>
                <w:sdtPr>
                  <w:id w:val="21470556"/>
                </w:sdtPr>
                <w:sdtContent>
                  <w:p>
                    <w:pPr>
                      <w:pStyle w:val="32"/>
                      <w:jc w:val="center"/>
                    </w:pPr>
                    <w:r>
                      <w:fldChar w:fldCharType="begin"/>
                    </w:r>
                    <w:r>
                      <w:instrText xml:space="preserve"> PAGE   \* MERGEFORMAT </w:instrText>
                    </w:r>
                    <w:r>
                      <w:fldChar w:fldCharType="separate"/>
                    </w:r>
                    <w:r>
                      <w:t>201</w:t>
                    </w:r>
                    <w:r>
                      <w:fldChar w:fldCharType="end"/>
                    </w:r>
                  </w:p>
                </w:sdtContent>
              </w:sdt>
              <w:p/>
            </w:txbxContent>
          </v:textbox>
        </v:shape>
      </w:pict>
    </w:r>
  </w:p>
  <w:p>
    <w:pPr>
      <w:pStyle w:val="20"/>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89" o:spid="_x0000_s2289"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joinstyle="miter"/>
          <v:imagedata o:title=""/>
          <o:lock v:ext="edit"/>
          <v:textbox inset="0mm,0mm,0mm,0mm" style="mso-fit-shape-to-text:t;">
            <w:txbxContent>
              <w:sdt>
                <w:sdtPr>
                  <w:id w:val="249641262"/>
                </w:sdtPr>
                <w:sdtContent>
                  <w:p>
                    <w:pPr>
                      <w:pStyle w:val="32"/>
                      <w:jc w:val="center"/>
                    </w:pPr>
                    <w:r>
                      <w:fldChar w:fldCharType="begin"/>
                    </w:r>
                    <w:r>
                      <w:instrText xml:space="preserve"> PAGE   \* MERGEFORMAT </w:instrText>
                    </w:r>
                    <w:r>
                      <w:fldChar w:fldCharType="separate"/>
                    </w:r>
                    <w:r>
                      <w:t>215</w:t>
                    </w:r>
                    <w:r>
                      <w:fldChar w:fldCharType="end"/>
                    </w:r>
                  </w:p>
                </w:sdtContent>
              </w:sdt>
              <w:p/>
            </w:txbxContent>
          </v:textbox>
        </v:shape>
      </w:pict>
    </w:r>
  </w:p>
  <w:p>
    <w:pPr>
      <w:pStyle w:val="20"/>
      <w:spacing w:line="14" w:lineRule="auto"/>
      <w:rPr>
        <w:sz w:val="2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0" o:spid="_x0000_s2290"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joinstyle="miter"/>
          <v:imagedata o:title=""/>
          <o:lock v:ext="edit"/>
          <v:textbox inset="0mm,0mm,0mm,0mm" style="mso-fit-shape-to-text:t;">
            <w:txbxContent>
              <w:sdt>
                <w:sdtPr>
                  <w:id w:val="21470559"/>
                </w:sdtPr>
                <w:sdtContent>
                  <w:p>
                    <w:pPr>
                      <w:pStyle w:val="32"/>
                      <w:jc w:val="center"/>
                    </w:pPr>
                    <w:r>
                      <w:fldChar w:fldCharType="begin"/>
                    </w:r>
                    <w:r>
                      <w:instrText xml:space="preserve"> PAGE   \* MERGEFORMAT </w:instrText>
                    </w:r>
                    <w:r>
                      <w:fldChar w:fldCharType="separate"/>
                    </w:r>
                    <w:r>
                      <w:t>221</w:t>
                    </w:r>
                    <w:r>
                      <w:fldChar w:fldCharType="end"/>
                    </w:r>
                  </w:p>
                </w:sdtContent>
              </w:sdt>
              <w:p/>
            </w:txbxContent>
          </v:textbox>
        </v:shape>
      </w:pict>
    </w:r>
  </w:p>
  <w:p>
    <w:pPr>
      <w:pStyle w:val="20"/>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76" o:spid="_x0000_s2276"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joinstyle="miter"/>
          <v:imagedata o:title=""/>
          <o:lock v:ext="edit"/>
          <v:textbox inset="0mm,0mm,0mm,0mm" style="mso-fit-shape-to-text:t;">
            <w:txbxContent>
              <w:sdt>
                <w:sdtPr>
                  <w:id w:val="249641241"/>
                </w:sdtPr>
                <w:sdtContent>
                  <w:p>
                    <w:pPr>
                      <w:pStyle w:val="32"/>
                      <w:jc w:val="center"/>
                    </w:pPr>
                    <w:r>
                      <w:fldChar w:fldCharType="begin"/>
                    </w:r>
                    <w:r>
                      <w:instrText xml:space="preserve"> PAGE   \* MERGEFORMAT </w:instrText>
                    </w:r>
                    <w:r>
                      <w:fldChar w:fldCharType="separate"/>
                    </w:r>
                    <w:r>
                      <w:t>1</w:t>
                    </w:r>
                    <w:r>
                      <w:fldChar w:fldCharType="end"/>
                    </w:r>
                  </w:p>
                </w:sdtContent>
              </w:sdt>
              <w:p/>
            </w:txbxContent>
          </v:textbox>
        </v:shape>
      </w:pict>
    </w:r>
  </w:p>
  <w:p>
    <w:pPr>
      <w:pStyle w:val="20"/>
      <w:spacing w:line="14" w:lineRule="auto"/>
      <w:rPr>
        <w:sz w:val="2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1" o:spid="_x0000_s2291"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joinstyle="miter"/>
          <v:imagedata o:title=""/>
          <o:lock v:ext="edit"/>
          <v:textbox inset="0mm,0mm,0mm,0mm" style="mso-fit-shape-to-text:t;">
            <w:txbxContent>
              <w:sdt>
                <w:sdtPr>
                  <w:id w:val="21470560"/>
                </w:sdtPr>
                <w:sdtContent>
                  <w:p>
                    <w:pPr>
                      <w:pStyle w:val="32"/>
                      <w:jc w:val="center"/>
                    </w:pPr>
                    <w:r>
                      <w:fldChar w:fldCharType="begin"/>
                    </w:r>
                    <w:r>
                      <w:instrText xml:space="preserve"> PAGE   \* MERGEFORMAT </w:instrText>
                    </w:r>
                    <w:r>
                      <w:fldChar w:fldCharType="separate"/>
                    </w:r>
                    <w:r>
                      <w:t>223</w:t>
                    </w:r>
                    <w:r>
                      <w:fldChar w:fldCharType="end"/>
                    </w:r>
                  </w:p>
                </w:sdtContent>
              </w:sdt>
              <w:p/>
            </w:txbxContent>
          </v:textbox>
        </v:shape>
      </w:pict>
    </w:r>
  </w:p>
  <w:p>
    <w:pPr>
      <w:pStyle w:val="20"/>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2" o:spid="_x0000_s2292"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joinstyle="miter"/>
          <v:imagedata o:title=""/>
          <o:lock v:ext="edit"/>
          <v:textbox inset="0mm,0mm,0mm,0mm" style="mso-fit-shape-to-text:t;">
            <w:txbxContent>
              <w:sdt>
                <w:sdtPr>
                  <w:id w:val="21470561"/>
                </w:sdtPr>
                <w:sdtContent>
                  <w:p>
                    <w:pPr>
                      <w:pStyle w:val="32"/>
                      <w:jc w:val="center"/>
                    </w:pPr>
                    <w:r>
                      <w:fldChar w:fldCharType="begin"/>
                    </w:r>
                    <w:r>
                      <w:instrText xml:space="preserve"> PAGE   \* MERGEFORMAT </w:instrText>
                    </w:r>
                    <w:r>
                      <w:fldChar w:fldCharType="separate"/>
                    </w:r>
                    <w:r>
                      <w:t>226</w:t>
                    </w:r>
                    <w:r>
                      <w:fldChar w:fldCharType="end"/>
                    </w:r>
                  </w:p>
                </w:sdtContent>
              </w:sdt>
              <w:p/>
            </w:txbxContent>
          </v:textbox>
        </v:shape>
      </w:pict>
    </w:r>
  </w:p>
  <w:p>
    <w:pPr>
      <w:pStyle w:val="20"/>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101" o:spid="_x0000_s2101" o:spt="202" type="#_x0000_t202" style="position:absolute;left:0pt;margin-left:78pt;margin-top:788pt;height:12pt;width:15.7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210</w:t>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3" o:spid="_x0000_s2293"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joinstyle="miter"/>
          <v:imagedata o:title=""/>
          <o:lock v:ext="edit"/>
          <v:textbox inset="0mm,0mm,0mm,0mm" style="mso-fit-shape-to-text:t;">
            <w:txbxContent>
              <w:sdt>
                <w:sdtPr>
                  <w:id w:val="21470562"/>
                </w:sdtPr>
                <w:sdtContent>
                  <w:p>
                    <w:pPr>
                      <w:pStyle w:val="32"/>
                      <w:jc w:val="center"/>
                    </w:pPr>
                    <w:r>
                      <w:fldChar w:fldCharType="begin"/>
                    </w:r>
                    <w:r>
                      <w:instrText xml:space="preserve"> PAGE   \* MERGEFORMAT </w:instrText>
                    </w:r>
                    <w:r>
                      <w:fldChar w:fldCharType="separate"/>
                    </w:r>
                    <w:r>
                      <w:t>228</w:t>
                    </w:r>
                    <w:r>
                      <w:fldChar w:fldCharType="end"/>
                    </w:r>
                  </w:p>
                </w:sdtContent>
              </w:sdt>
              <w:p/>
            </w:txbxContent>
          </v:textbox>
        </v:shape>
      </w:pict>
    </w:r>
  </w:p>
  <w:p>
    <w:pPr>
      <w:pStyle w:val="20"/>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4" o:spid="_x0000_s2294"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joinstyle="miter"/>
          <v:imagedata o:title=""/>
          <o:lock v:ext="edit"/>
          <v:textbox inset="0mm,0mm,0mm,0mm" style="mso-fit-shape-to-text:t;">
            <w:txbxContent>
              <w:sdt>
                <w:sdtPr>
                  <w:id w:val="21470563"/>
                </w:sdtPr>
                <w:sdtContent>
                  <w:p>
                    <w:pPr>
                      <w:pStyle w:val="32"/>
                      <w:jc w:val="center"/>
                    </w:pPr>
                    <w:r>
                      <w:fldChar w:fldCharType="begin"/>
                    </w:r>
                    <w:r>
                      <w:instrText xml:space="preserve"> PAGE   \* MERGEFORMAT </w:instrText>
                    </w:r>
                    <w:r>
                      <w:fldChar w:fldCharType="separate"/>
                    </w:r>
                    <w:r>
                      <w:t>244</w:t>
                    </w:r>
                    <w:r>
                      <w:fldChar w:fldCharType="end"/>
                    </w:r>
                  </w:p>
                </w:sdtContent>
              </w:sdt>
              <w:p/>
            </w:txbxContent>
          </v:textbox>
        </v:shape>
      </w:pict>
    </w:r>
  </w:p>
  <w:p>
    <w:pPr>
      <w:pStyle w:val="20"/>
      <w:spacing w:line="14" w:lineRule="auto"/>
      <w:rPr>
        <w:sz w:val="2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74" o:spid="_x0000_s2074" o:spt="202" type="#_x0000_t202" style="position:absolute;left:0pt;margin-left:77pt;margin-top:788pt;height:12pt;width:17.7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218</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5" o:spid="_x0000_s2295" o:spt="202" type="#_x0000_t202" style="position:absolute;left:0pt;margin-top:0pt;height:144pt;width:144pt;mso-position-horizontal:center;mso-position-horizontal-relative:margin;mso-wrap-style:none;z-index:251708416;mso-width-relative:page;mso-height-relative:page;" filled="f" stroked="f" coordsize="21600,21600">
          <v:path/>
          <v:fill on="f" focussize="0,0"/>
          <v:stroke on="f" joinstyle="miter"/>
          <v:imagedata o:title=""/>
          <o:lock v:ext="edit"/>
          <v:textbox inset="0mm,0mm,0mm,0mm" style="mso-fit-shape-to-text:t;">
            <w:txbxContent>
              <w:sdt>
                <w:sdtPr>
                  <w:id w:val="21470564"/>
                </w:sdtPr>
                <w:sdtContent>
                  <w:p>
                    <w:pPr>
                      <w:pStyle w:val="32"/>
                      <w:jc w:val="center"/>
                    </w:pPr>
                    <w:r>
                      <w:fldChar w:fldCharType="begin"/>
                    </w:r>
                    <w:r>
                      <w:instrText xml:space="preserve"> PAGE   \* MERGEFORMAT </w:instrText>
                    </w:r>
                    <w:r>
                      <w:fldChar w:fldCharType="separate"/>
                    </w:r>
                    <w:r>
                      <w:t>245</w:t>
                    </w:r>
                    <w:r>
                      <w:fldChar w:fldCharType="end"/>
                    </w:r>
                  </w:p>
                </w:sdtContent>
              </w:sdt>
              <w:p/>
            </w:txbxContent>
          </v:textbox>
        </v:shape>
      </w:pict>
    </w:r>
  </w:p>
  <w:p>
    <w:pPr>
      <w:pStyle w:val="20"/>
      <w:spacing w:line="14" w:lineRule="auto"/>
      <w:rPr>
        <w:sz w:val="20"/>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72" o:spid="_x0000_s2072" o:spt="202" type="#_x0000_t202" style="position:absolute;left:0pt;margin-left:78pt;margin-top:788pt;height:12pt;width:15.7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230</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208" o:spid="_x0000_s2208" o:spt="202" type="#_x0000_t202" style="position:absolute;left:0pt;margin-left:80.2pt;margin-top:788.35pt;height:11.45pt;width:12.6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3"/>
                  <w:ind w:left="40"/>
                  <w:rPr>
                    <w:rFonts w:ascii="Times New Roman"/>
                    <w:sz w:val="17"/>
                  </w:rPr>
                </w:pPr>
                <w:r>
                  <w:fldChar w:fldCharType="begin"/>
                </w:r>
                <w:r>
                  <w:rPr>
                    <w:rFonts w:ascii="Times New Roman"/>
                    <w:sz w:val="17"/>
                  </w:rPr>
                  <w:instrText xml:space="preserve"> PAGE </w:instrText>
                </w:r>
                <w:r>
                  <w:fldChar w:fldCharType="separate"/>
                </w:r>
                <w:r>
                  <w:rPr>
                    <w:rFonts w:ascii="Times New Roman"/>
                    <w:sz w:val="17"/>
                  </w:rPr>
                  <w:t>15</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96" o:spid="_x0000_s2296" o:spt="202" type="#_x0000_t202" style="position:absolute;left:0pt;margin-top:0pt;height:144pt;width:144pt;mso-position-horizontal:center;mso-position-horizontal-relative:margin;mso-wrap-style:none;z-index:251709440;mso-width-relative:page;mso-height-relative:page;" filled="f" stroked="f" coordsize="21600,21600">
          <v:path/>
          <v:fill on="f" focussize="0,0"/>
          <v:stroke on="f" joinstyle="miter"/>
          <v:imagedata o:title=""/>
          <o:lock v:ext="edit"/>
          <v:textbox inset="0mm,0mm,0mm,0mm" style="mso-fit-shape-to-text:t;">
            <w:txbxContent>
              <w:sdt>
                <w:sdtPr>
                  <w:id w:val="21470565"/>
                </w:sdtPr>
                <w:sdtContent>
                  <w:p>
                    <w:pPr>
                      <w:pStyle w:val="32"/>
                      <w:jc w:val="center"/>
                    </w:pPr>
                    <w:r>
                      <w:fldChar w:fldCharType="begin"/>
                    </w:r>
                    <w:r>
                      <w:instrText xml:space="preserve"> PAGE   \* MERGEFORMAT </w:instrText>
                    </w:r>
                    <w:r>
                      <w:fldChar w:fldCharType="separate"/>
                    </w:r>
                    <w:r>
                      <w:t>250</w:t>
                    </w:r>
                    <w:r>
                      <w:fldChar w:fldCharType="end"/>
                    </w:r>
                  </w:p>
                </w:sdtContent>
              </w:sdt>
              <w:p/>
            </w:txbxContent>
          </v:textbox>
        </v:shape>
      </w:pict>
    </w:r>
  </w:p>
  <w:p>
    <w:pPr>
      <w:pStyle w:val="20"/>
      <w:spacing w:line="14" w:lineRule="auto"/>
      <w:rPr>
        <w:sz w:val="20"/>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70" o:spid="_x0000_s2070" o:spt="202" type="#_x0000_t202" style="position:absolute;left:0pt;margin-left:77pt;margin-top:788pt;height:12pt;width:17.7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234</w:t>
                </w:r>
                <w:r>
                  <w:fldChar w:fldCharType="end"/>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r>
      <w:pict>
        <v:shape id="_x0000_s2300" o:spid="_x0000_s2300" o:spt="202" type="#_x0000_t202" style="position:absolute;left:0pt;margin-top:0pt;height:144pt;width:144pt;mso-position-horizontal:center;mso-position-horizontal-relative:margin;mso-wrap-style:none;z-index:251710464;mso-width-relative:page;mso-height-relative:page;" filled="f" stroked="f" coordsize="21600,21600">
          <v:path/>
          <v:fill on="f" focussize="0,0"/>
          <v:stroke on="f" joinstyle="miter"/>
          <v:imagedata o:title=""/>
          <o:lock v:ext="edit"/>
          <v:textbox inset="0mm,0mm,0mm,0mm" style="mso-fit-shape-to-text:t;">
            <w:txbxContent>
              <w:p>
                <w:pPr>
                  <w:pStyle w:val="32"/>
                  <w:rPr>
                    <w:rStyle w:val="51"/>
                  </w:rPr>
                </w:pPr>
                <w:r>
                  <w:rPr>
                    <w:rStyle w:val="51"/>
                  </w:rPr>
                  <w:fldChar w:fldCharType="begin"/>
                </w:r>
                <w:r>
                  <w:rPr>
                    <w:rStyle w:val="51"/>
                  </w:rPr>
                  <w:instrText xml:space="preserve">PAGE  </w:instrText>
                </w:r>
                <w:r>
                  <w:rPr>
                    <w:rStyle w:val="51"/>
                  </w:rPr>
                  <w:fldChar w:fldCharType="separate"/>
                </w:r>
                <w:r>
                  <w:rPr>
                    <w:rStyle w:val="51"/>
                  </w:rPr>
                  <w:t>257</w:t>
                </w:r>
                <w:r>
                  <w:rPr>
                    <w:rStyle w:val="51"/>
                  </w:rPr>
                  <w:fldChar w:fldCharType="end"/>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301" o:spid="_x0000_s2301" o:spt="202" type="#_x0000_t202" style="position:absolute;left:0pt;margin-top:0pt;height:144pt;width:144pt;mso-position-horizontal:center;mso-position-horizontal-relative:margin;mso-wrap-style:none;z-index:251711488;mso-width-relative:page;mso-height-relative:page;" filled="f" stroked="f" coordsize="21600,21600">
          <v:path/>
          <v:fill on="f" focussize="0,0"/>
          <v:stroke on="f" joinstyle="miter"/>
          <v:imagedata o:title=""/>
          <o:lock v:ext="edit"/>
          <v:textbox inset="0mm,0mm,0mm,0mm" style="mso-fit-shape-to-text:t;">
            <w:txbxContent>
              <w:p>
                <w:pPr>
                  <w:pStyle w:val="32"/>
                  <w:jc w:val="center"/>
                </w:pPr>
                <w:r>
                  <w:rPr>
                    <w:rStyle w:val="51"/>
                  </w:rPr>
                  <w:fldChar w:fldCharType="begin"/>
                </w:r>
                <w:r>
                  <w:rPr>
                    <w:rStyle w:val="51"/>
                  </w:rPr>
                  <w:instrText xml:space="preserve"> PAGE </w:instrText>
                </w:r>
                <w:r>
                  <w:rPr>
                    <w:rStyle w:val="51"/>
                  </w:rPr>
                  <w:fldChar w:fldCharType="separate"/>
                </w:r>
                <w:r>
                  <w:rPr>
                    <w:rStyle w:val="51"/>
                  </w:rPr>
                  <w:t>260</w:t>
                </w:r>
                <w:r>
                  <w:rPr>
                    <w:rStyle w:val="51"/>
                  </w:rPr>
                  <w:fldChar w:fldCharType="end"/>
                </w:r>
              </w:p>
            </w:txbxContent>
          </v:textbox>
        </v:shape>
      </w:pict>
    </w:r>
  </w:p>
  <w:p>
    <w:pPr>
      <w:pStyle w:val="20"/>
      <w:spacing w:line="14" w:lineRule="auto"/>
      <w:rPr>
        <w:sz w:val="20"/>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302" o:spid="_x0000_s2302" o:spt="202" type="#_x0000_t202" style="position:absolute;left:0pt;margin-top:0pt;height:144pt;width:144pt;mso-position-horizontal:center;mso-position-horizontal-relative:margin;mso-wrap-style:none;z-index:251712512;mso-width-relative:page;mso-height-relative:page;" filled="f" stroked="f" coordsize="21600,21600">
          <v:path/>
          <v:fill on="f" focussize="0,0"/>
          <v:stroke on="f" joinstyle="miter"/>
          <v:imagedata o:title=""/>
          <o:lock v:ext="edit"/>
          <v:textbox inset="0mm,0mm,0mm,0mm" style="mso-fit-shape-to-text:t;">
            <w:txbxContent>
              <w:p>
                <w:pPr>
                  <w:pStyle w:val="32"/>
                  <w:jc w:val="center"/>
                </w:pPr>
                <w:r>
                  <w:rPr>
                    <w:rStyle w:val="51"/>
                  </w:rPr>
                  <w:fldChar w:fldCharType="begin"/>
                </w:r>
                <w:r>
                  <w:rPr>
                    <w:rStyle w:val="51"/>
                  </w:rPr>
                  <w:instrText xml:space="preserve"> PAGE </w:instrText>
                </w:r>
                <w:r>
                  <w:rPr>
                    <w:rStyle w:val="51"/>
                  </w:rPr>
                  <w:fldChar w:fldCharType="separate"/>
                </w:r>
                <w:r>
                  <w:rPr>
                    <w:rStyle w:val="51"/>
                  </w:rPr>
                  <w:t>261</w:t>
                </w:r>
                <w:r>
                  <w:rPr>
                    <w:rStyle w:val="51"/>
                  </w:rPr>
                  <w:fldChar w:fldCharType="end"/>
                </w:r>
              </w:p>
            </w:txbxContent>
          </v:textbox>
        </v:shape>
      </w:pict>
    </w:r>
  </w:p>
  <w:p>
    <w:pPr>
      <w:pStyle w:val="20"/>
      <w:spacing w:line="14" w:lineRule="auto"/>
      <w:rPr>
        <w:sz w:val="20"/>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244" o:spid="_x0000_s2244" o:spt="202" type="#_x0000_t202" style="position:absolute;left:0pt;margin-left:77pt;margin-top:788pt;height:12pt;width:17.7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244</w:t>
                </w:r>
                <w:r>
                  <w:fldChar w:fldCharType="end"/>
                </w:r>
              </w:p>
            </w:txbxContent>
          </v:textbox>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303" o:spid="_x0000_s2303"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joinstyle="miter"/>
          <v:imagedata o:title=""/>
          <o:lock v:ext="edit"/>
          <v:textbox inset="0mm,0mm,0mm,0mm" style="mso-fit-shape-to-text:t;">
            <w:txbxContent>
              <w:p>
                <w:pPr>
                  <w:pStyle w:val="32"/>
                  <w:jc w:val="center"/>
                </w:pPr>
                <w:r>
                  <w:fldChar w:fldCharType="begin"/>
                </w:r>
                <w:r>
                  <w:instrText xml:space="preserve"> PAGE   \* MERGEFORMAT </w:instrText>
                </w:r>
                <w:r>
                  <w:fldChar w:fldCharType="separate"/>
                </w:r>
                <w:r>
                  <w:t>263</w:t>
                </w:r>
                <w:r>
                  <w:fldChar w:fldCharType="end"/>
                </w:r>
              </w:p>
            </w:txbxContent>
          </v:textbox>
        </v:shape>
      </w:pict>
    </w:r>
  </w:p>
  <w:p>
    <w:pPr>
      <w:pStyle w:val="20"/>
      <w:spacing w:line="14" w:lineRule="auto"/>
      <w:rPr>
        <w:sz w:val="20"/>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78pt;margin-top:788pt;height:12pt;width:15.7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252</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77" o:spid="_x0000_s2277"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joinstyle="miter"/>
          <v:imagedata o:title=""/>
          <o:lock v:ext="edit"/>
          <v:textbox inset="0mm,0mm,0mm,0mm" style="mso-fit-shape-to-text:t;">
            <w:txbxContent>
              <w:sdt>
                <w:sdtPr>
                  <w:id w:val="249641240"/>
                </w:sdtPr>
                <w:sdtContent>
                  <w:p>
                    <w:pPr>
                      <w:pStyle w:val="32"/>
                      <w:jc w:val="center"/>
                    </w:pPr>
                    <w:r>
                      <w:fldChar w:fldCharType="begin"/>
                    </w:r>
                    <w:r>
                      <w:instrText xml:space="preserve"> PAGE   \* MERGEFORMAT </w:instrText>
                    </w:r>
                    <w:r>
                      <w:fldChar w:fldCharType="separate"/>
                    </w:r>
                    <w:r>
                      <w:t>9</w:t>
                    </w:r>
                    <w:r>
                      <w:fldChar w:fldCharType="end"/>
                    </w:r>
                  </w:p>
                </w:sdtContent>
              </w:sdt>
              <w:p/>
            </w:txbxContent>
          </v:textbox>
        </v:shape>
      </w:pict>
    </w:r>
  </w:p>
  <w:p>
    <w:pPr>
      <w:pStyle w:val="20"/>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78" o:spid="_x0000_s2278"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joinstyle="miter"/>
          <v:imagedata o:title=""/>
          <o:lock v:ext="edit"/>
          <v:textbox inset="0mm,0mm,0mm,0mm" style="mso-fit-shape-to-text:t;">
            <w:txbxContent>
              <w:sdt>
                <w:sdtPr>
                  <w:id w:val="249641243"/>
                </w:sdtPr>
                <w:sdtContent>
                  <w:p>
                    <w:pPr>
                      <w:pStyle w:val="32"/>
                      <w:jc w:val="center"/>
                    </w:pPr>
                    <w:r>
                      <w:fldChar w:fldCharType="begin"/>
                    </w:r>
                    <w:r>
                      <w:instrText xml:space="preserve"> PAGE   \* MERGEFORMAT </w:instrText>
                    </w:r>
                    <w:r>
                      <w:fldChar w:fldCharType="separate"/>
                    </w:r>
                    <w:r>
                      <w:t>11</w:t>
                    </w:r>
                    <w:r>
                      <w:fldChar w:fldCharType="end"/>
                    </w:r>
                  </w:p>
                </w:sdtContent>
              </w:sdt>
              <w:p/>
            </w:txbxContent>
          </v:textbox>
        </v:shape>
      </w:pict>
    </w:r>
  </w:p>
  <w:p>
    <w:pPr>
      <w:pStyle w:val="20"/>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pict>
        <v:shape id="_x0000_s2279" o:spid="_x0000_s2279"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joinstyle="miter"/>
          <v:imagedata o:title=""/>
          <o:lock v:ext="edit"/>
          <v:textbox inset="0mm,0mm,0mm,0mm" style="mso-fit-shape-to-text:t;">
            <w:txbxContent>
              <w:sdt>
                <w:sdtPr>
                  <w:id w:val="249641248"/>
                </w:sdtPr>
                <w:sdtContent>
                  <w:p>
                    <w:pPr>
                      <w:pStyle w:val="32"/>
                      <w:jc w:val="center"/>
                    </w:pPr>
                    <w:r>
                      <w:fldChar w:fldCharType="begin"/>
                    </w:r>
                    <w:r>
                      <w:instrText xml:space="preserve"> PAGE   \* MERGEFORMAT </w:instrText>
                    </w:r>
                    <w:r>
                      <w:fldChar w:fldCharType="separate"/>
                    </w:r>
                    <w:r>
                      <w:t>31</w:t>
                    </w:r>
                    <w:r>
                      <w:fldChar w:fldCharType="end"/>
                    </w:r>
                  </w:p>
                </w:sdtContent>
              </w:sdt>
              <w:p/>
            </w:txbxContent>
          </v:textbox>
        </v:shape>
      </w:pict>
    </w:r>
  </w:p>
  <w:p>
    <w:pPr>
      <w:pStyle w:val="20"/>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631665"/>
    </w:sdtPr>
    <w:sdtContent>
      <w:p>
        <w:pPr>
          <w:pStyle w:val="32"/>
          <w:jc w:val="center"/>
        </w:pPr>
        <w:r>
          <w:fldChar w:fldCharType="begin"/>
        </w:r>
        <w:r>
          <w:instrText xml:space="preserve"> PAGE   \* MERGEFORMAT </w:instrText>
        </w:r>
        <w:r>
          <w:fldChar w:fldCharType="separate"/>
        </w:r>
        <w:r>
          <w:t>12</w:t>
        </w:r>
        <w:r>
          <w:fldChar w:fldCharType="end"/>
        </w:r>
      </w:p>
    </w:sdtContent>
  </w:sdt>
  <w:p>
    <w:pPr>
      <w:pStyle w:val="2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36"/>
        <w:rPr>
          <w:sz w:val="18"/>
          <w:szCs w:val="18"/>
        </w:rPr>
      </w:pPr>
      <w:r>
        <w:rPr>
          <w:rStyle w:val="55"/>
          <w:sz w:val="18"/>
          <w:szCs w:val="18"/>
        </w:rPr>
        <w:footnoteRef/>
      </w:r>
      <w:r>
        <w:rPr>
          <w:sz w:val="18"/>
          <w:szCs w:val="18"/>
        </w:rPr>
        <w:t xml:space="preserve"> </w:t>
      </w:r>
      <w:r>
        <w:rPr>
          <w:rFonts w:ascii="宋体" w:hAnsi="宋体"/>
          <w:sz w:val="18"/>
          <w:szCs w:val="18"/>
        </w:rPr>
        <w:t>本</w:t>
      </w:r>
      <w:r>
        <w:rPr>
          <w:rFonts w:hint="eastAsia" w:ascii="宋体" w:hAnsi="宋体"/>
          <w:sz w:val="18"/>
          <w:szCs w:val="18"/>
        </w:rPr>
        <w:t>段</w:t>
      </w:r>
      <w:r>
        <w:rPr>
          <w:rFonts w:ascii="宋体" w:hAnsi="宋体"/>
          <w:sz w:val="18"/>
          <w:szCs w:val="18"/>
        </w:rPr>
        <w:t>规定仅适用于</w:t>
      </w:r>
      <w:r>
        <w:rPr>
          <w:rFonts w:hint="eastAsia" w:ascii="宋体" w:hAnsi="宋体"/>
          <w:sz w:val="18"/>
          <w:szCs w:val="18"/>
        </w:rPr>
        <w:t>根据《关于发布公路工程从业企业资质名录的通知》（厅公路字[2011]114号）要求，招标人应通过名录对投标人资质条件进行审核的公路施工企业</w:t>
      </w:r>
    </w:p>
  </w:footnote>
  <w:footnote w:id="1">
    <w:p>
      <w:pPr>
        <w:pStyle w:val="36"/>
      </w:pPr>
      <w:r>
        <w:rPr>
          <w:rStyle w:val="55"/>
          <w:b/>
          <w:bCs/>
        </w:rPr>
        <w:footnoteRef/>
      </w:r>
      <w:r>
        <w:rPr>
          <w:b/>
          <w:bCs/>
        </w:rPr>
        <w:t xml:space="preserve"> </w:t>
      </w:r>
      <w:r>
        <w:rPr>
          <w:rFonts w:hint="eastAsia" w:ascii="宋体" w:hAnsi="宋体"/>
          <w:b/>
          <w:bCs/>
        </w:rPr>
        <w:t>招标文件中要求投标人提供的各类证照复印件均指彩色扫描件或彩色复印件，其他资料的复印件可为黑白扫描件或黑白复印件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105" o:spid="_x0000_s2105" o:spt="20" style="position:absolute;left:0pt;margin-left:80.8pt;margin-top:58.1pt;height:0pt;width:427.15pt;mso-position-horizontal-relative:page;mso-position-vertical-relative:page;z-index:-251639808;mso-width-relative:page;mso-height-relative:page;" coordsize="21600,21600">
          <v:path arrowok="t"/>
          <v:fill focussize="0,0"/>
          <v:stroke weight="0.48pt"/>
          <v:imagedata o:title=""/>
          <o:lock v:ext="edit"/>
        </v:line>
      </w:pict>
    </w:r>
    <w:r>
      <w:pict>
        <v:shape id="_x0000_s2104" o:spid="_x0000_s2104" o:spt="202" type="#_x0000_t202" style="position:absolute;left:0pt;margin-left:81.2pt;margin-top:42.8pt;height:14.25pt;width:202.95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line="279" w:lineRule="exact"/>
                  <w:ind w:left="20"/>
                  <w:rPr>
                    <w:rFonts w:ascii="黑体" w:eastAsia="黑体"/>
                  </w:rPr>
                </w:pPr>
                <w:r>
                  <w:rPr>
                    <w:rFonts w:hint="eastAsia" w:ascii="黑体" w:eastAsia="黑体"/>
                  </w:rPr>
                  <w:t>公路工程标准施工招标文件（</w:t>
                </w:r>
                <w:r>
                  <w:rPr>
                    <w:rFonts w:ascii="Times New Roman" w:eastAsia="Times New Roman"/>
                  </w:rPr>
                  <w:t xml:space="preserve">2018 </w:t>
                </w:r>
                <w:r>
                  <w:rPr>
                    <w:rFonts w:hint="eastAsia" w:ascii="黑体" w:eastAsia="黑体"/>
                  </w:rPr>
                  <w:t>年版）</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078" o:spid="_x0000_s2078" o:spt="20" style="position:absolute;left:0pt;margin-left:80.8pt;margin-top:58.1pt;height:0pt;width:427.15pt;mso-position-horizontal-relative:page;mso-position-vertical-relative:page;z-index:-251635712;mso-width-relative:page;mso-height-relative:page;" coordsize="21600,21600">
          <v:path arrowok="t"/>
          <v:fill focussize="0,0"/>
          <v:stroke weight="0.48pt"/>
          <v:imagedata o:title=""/>
          <o:lock v:ext="edit"/>
        </v:line>
      </w:pict>
    </w:r>
    <w:r>
      <w:pict>
        <v:shape id="_x0000_s2077" o:spid="_x0000_s2077" o:spt="202" type="#_x0000_t202" style="position:absolute;left:0pt;margin-left:81.2pt;margin-top:42.8pt;height:14.25pt;width:202.95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line="279" w:lineRule="exact"/>
                  <w:ind w:left="20"/>
                  <w:rPr>
                    <w:rFonts w:ascii="黑体" w:eastAsia="黑体"/>
                  </w:rPr>
                </w:pPr>
                <w:r>
                  <w:rPr>
                    <w:rFonts w:hint="eastAsia" w:ascii="黑体" w:eastAsia="黑体"/>
                  </w:rPr>
                  <w:t>公路工程标准施工招标文件（</w:t>
                </w:r>
                <w:r>
                  <w:rPr>
                    <w:rFonts w:ascii="Times New Roman" w:eastAsia="Times New Roman"/>
                  </w:rPr>
                  <w:t xml:space="preserve">2018 </w:t>
                </w:r>
                <w:r>
                  <w:rPr>
                    <w:rFonts w:hint="eastAsia" w:ascii="黑体" w:eastAsia="黑体"/>
                  </w:rPr>
                  <w:t>年版）</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211" o:spid="_x0000_s2211" o:spt="20" style="position:absolute;left:0pt;margin-left:80.8pt;margin-top:58.1pt;height:0pt;width:427.15pt;mso-position-horizontal-relative:page;mso-position-vertical-relative:page;z-index:-251656192;mso-width-relative:page;mso-height-relative:page;" coordsize="21600,21600">
          <v:path arrowok="t"/>
          <v:fill focussize="0,0"/>
          <v:stroke weight="0.48pt"/>
          <v:imagedata o:title=""/>
          <o:lock v:ext="edit"/>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alias w:val="标题"/>
      <w:id w:val="21471023"/>
      <w:text/>
    </w:sdtPr>
    <w:sdtContent>
      <w:p>
        <w:pPr>
          <w:pStyle w:val="33"/>
          <w:pBdr>
            <w:between w:val="single" w:color="4F81BD" w:themeColor="accent1" w:sz="4" w:space="1"/>
          </w:pBdr>
          <w:spacing w:line="276" w:lineRule="auto"/>
          <w:jc w:val="left"/>
        </w:pPr>
        <w:r>
          <w:rPr>
            <w:rFonts w:hint="eastAsia"/>
            <w:lang w:eastAsia="zh-CN"/>
          </w:rPr>
          <w:t>鞍山市库盘线张荒地辽河大桥维修加固工程</w:t>
        </w:r>
        <w:r>
          <w:rPr>
            <w:rFonts w:hint="eastAsia"/>
            <w:lang w:val="en-US"/>
          </w:rPr>
          <w:t xml:space="preserve">               </w:t>
        </w:r>
        <w:r>
          <w:rPr>
            <w:rFonts w:hint="eastAsia"/>
          </w:rPr>
          <w:t xml:space="preserve">                               招标文件 </w:t>
        </w:r>
      </w:p>
    </w:sdtContent>
  </w:sdt>
  <w:p>
    <w:pPr>
      <w:pStyle w:val="33"/>
      <w:pBdr>
        <w:between w:val="single" w:color="4F81BD" w:themeColor="accent1" w:sz="4" w:space="1"/>
      </w:pBdr>
      <w:spacing w:line="276" w:lineRule="auto"/>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199" o:spid="_x0000_s2199" o:spt="20" style="position:absolute;left:0pt;margin-left:78pt;margin-top:58.1pt;height:0pt;width:432.95pt;mso-position-horizontal-relative:page;mso-position-vertical-relative:page;z-index:-251654144;mso-width-relative:page;mso-height-relative:page;" coordsize="21600,21600">
          <v:path arrowok="t"/>
          <v:fill focussize="0,0"/>
          <v:stroke weight="0.48pt"/>
          <v:imagedata o:title=""/>
          <o:lock v:ext="edit"/>
        </v:line>
      </w:pict>
    </w:r>
    <w:r>
      <w:pict>
        <v:shape id="_x0000_s2198" o:spid="_x0000_s2198" o:spt="202" type="#_x0000_t202" style="position:absolute;left:0pt;margin-left:78.45pt;margin-top:42.8pt;height:14.25pt;width:202.9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279" w:lineRule="exact"/>
                  <w:ind w:left="20"/>
                  <w:rPr>
                    <w:rFonts w:ascii="黑体" w:eastAsia="黑体"/>
                  </w:rPr>
                </w:pPr>
                <w:r>
                  <w:rPr>
                    <w:rFonts w:hint="eastAsia" w:ascii="黑体" w:eastAsia="黑体"/>
                  </w:rPr>
                  <w:t>公路工程标准施工招标文件（</w:t>
                </w:r>
                <w:r>
                  <w:rPr>
                    <w:rFonts w:ascii="Times New Roman" w:eastAsia="Times New Roman"/>
                  </w:rPr>
                  <w:t xml:space="preserve">2018 </w:t>
                </w:r>
                <w:r>
                  <w:rPr>
                    <w:rFonts w:hint="eastAsia" w:ascii="黑体" w:eastAsia="黑体"/>
                  </w:rPr>
                  <w:t>年版）</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631664"/>
    </w:sdtPr>
    <w:sdtContent>
      <w:p>
        <w:r>
          <w:fldChar w:fldCharType="begin"/>
        </w:r>
        <w:r>
          <w:instrText xml:space="preserve"> PAGE   \* MERGEFORMAT </w:instrText>
        </w:r>
        <w:r>
          <w:fldChar w:fldCharType="separate"/>
        </w:r>
        <w:r>
          <w:t>62</w:t>
        </w:r>
        <w:r>
          <w:fldChar w:fldCharType="end"/>
        </w:r>
      </w:p>
    </w:sdtContent>
  </w:sdt>
  <w:p>
    <w:pPr>
      <w:pStyle w:val="20"/>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183" o:spid="_x0000_s2183" o:spt="20" style="position:absolute;left:0pt;margin-left:80.8pt;margin-top:58.1pt;height:0pt;width:427.15pt;mso-position-horizontal-relative:page;mso-position-vertical-relative:page;z-index:-251649024;mso-width-relative:page;mso-height-relative:page;" coordsize="21600,21600">
          <v:path arrowok="t"/>
          <v:fill focussize="0,0"/>
          <v:stroke weight="0.48pt"/>
          <v:imagedata o:title=""/>
          <o:lock v:ext="edit"/>
        </v:line>
      </w:pict>
    </w:r>
    <w:r>
      <w:pict>
        <v:shape id="_x0000_s2182" o:spid="_x0000_s2182" o:spt="202" type="#_x0000_t202" style="position:absolute;left:0pt;margin-left:81.2pt;margin-top:42.8pt;height:14.25pt;width:202.9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79" w:lineRule="exact"/>
                  <w:ind w:left="20"/>
                  <w:rPr>
                    <w:rFonts w:ascii="黑体" w:eastAsia="黑体"/>
                  </w:rPr>
                </w:pPr>
                <w:r>
                  <w:rPr>
                    <w:rFonts w:hint="eastAsia" w:ascii="黑体" w:eastAsia="黑体"/>
                  </w:rPr>
                  <w:t>公路工程标准施工招标文件（</w:t>
                </w:r>
                <w:r>
                  <w:rPr>
                    <w:rFonts w:ascii="Times New Roman" w:eastAsia="Times New Roman"/>
                  </w:rPr>
                  <w:t xml:space="preserve">2018 </w:t>
                </w:r>
                <w:r>
                  <w:rPr>
                    <w:rFonts w:hint="eastAsia" w:ascii="黑体" w:eastAsia="黑体"/>
                  </w:rPr>
                  <w:t>年版）</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line id="_x0000_s2151" o:spid="_x0000_s2151" o:spt="20" style="position:absolute;left:0pt;margin-left:80.8pt;margin-top:58.1pt;height:0pt;width:427.15pt;mso-position-horizontal-relative:page;mso-position-vertical-relative:page;z-index:-251644928;mso-width-relative:page;mso-height-relative:page;" coordsize="21600,21600">
          <v:path arrowok="t"/>
          <v:fill focussize="0,0"/>
          <v:stroke weight="0.48pt"/>
          <v:imagedata o:title=""/>
          <o:lock v:ext="edit"/>
        </v:line>
      </w:pict>
    </w:r>
    <w:r>
      <w:pict>
        <v:shape id="_x0000_s2150" o:spid="_x0000_s2150" o:spt="202" type="#_x0000_t202" style="position:absolute;left:0pt;margin-left:81.2pt;margin-top:42.8pt;height:14.25pt;width:202.9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279" w:lineRule="exact"/>
                  <w:ind w:left="20"/>
                  <w:rPr>
                    <w:rFonts w:ascii="黑体" w:eastAsia="黑体"/>
                  </w:rPr>
                </w:pPr>
                <w:r>
                  <w:rPr>
                    <w:rFonts w:hint="eastAsia" w:ascii="黑体" w:eastAsia="黑体"/>
                  </w:rPr>
                  <w:t>公路工程标准施工招标文件（</w:t>
                </w:r>
                <w:r>
                  <w:rPr>
                    <w:rFonts w:ascii="Times New Roman" w:eastAsia="Times New Roman"/>
                  </w:rPr>
                  <w:t xml:space="preserve">2018 </w:t>
                </w:r>
                <w:r>
                  <w:rPr>
                    <w:rFonts w:hint="eastAsia" w:ascii="黑体" w:eastAsia="黑体"/>
                  </w:rPr>
                  <w:t>年版）</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8D"/>
    <w:multiLevelType w:val="multilevel"/>
    <w:tmpl w:val="0000008D"/>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8E"/>
    <w:multiLevelType w:val="multilevel"/>
    <w:tmpl w:val="0000008E"/>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22F06C6"/>
    <w:multiLevelType w:val="multilevel"/>
    <w:tmpl w:val="022F06C6"/>
    <w:lvl w:ilvl="0" w:tentative="0">
      <w:start w:val="13"/>
      <w:numFmt w:val="decimal"/>
      <w:lvlText w:val="%1"/>
      <w:lvlJc w:val="left"/>
      <w:pPr>
        <w:ind w:left="424" w:hanging="720"/>
      </w:pPr>
      <w:rPr>
        <w:rFonts w:hint="default"/>
        <w:lang w:val="zh-CN" w:eastAsia="zh-CN" w:bidi="zh-CN"/>
      </w:rPr>
    </w:lvl>
    <w:lvl w:ilvl="1" w:tentative="0">
      <w:start w:val="2"/>
      <w:numFmt w:val="decimal"/>
      <w:lvlText w:val="%1.%2"/>
      <w:lvlJc w:val="left"/>
      <w:pPr>
        <w:ind w:left="424" w:hanging="720"/>
      </w:pPr>
      <w:rPr>
        <w:rFonts w:hint="default"/>
        <w:lang w:val="zh-CN" w:eastAsia="zh-CN" w:bidi="zh-CN"/>
      </w:rPr>
    </w:lvl>
    <w:lvl w:ilvl="2" w:tentative="0">
      <w:start w:val="3"/>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3">
    <w:nsid w:val="02F234C7"/>
    <w:multiLevelType w:val="multilevel"/>
    <w:tmpl w:val="02F234C7"/>
    <w:lvl w:ilvl="0" w:tentative="0">
      <w:start w:val="1"/>
      <w:numFmt w:val="decimal"/>
      <w:lvlText w:val="%1."/>
      <w:lvlJc w:val="left"/>
      <w:pPr>
        <w:ind w:left="424" w:hanging="300"/>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4">
    <w:nsid w:val="03086E9F"/>
    <w:multiLevelType w:val="multilevel"/>
    <w:tmpl w:val="03086E9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5205D7D"/>
    <w:multiLevelType w:val="multilevel"/>
    <w:tmpl w:val="05205D7D"/>
    <w:lvl w:ilvl="0" w:tentative="0">
      <w:start w:val="11"/>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6">
    <w:nsid w:val="06273EF1"/>
    <w:multiLevelType w:val="multilevel"/>
    <w:tmpl w:val="06273EF1"/>
    <w:lvl w:ilvl="0" w:tentative="0">
      <w:start w:val="4"/>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jc w:val="right"/>
      </w:pPr>
      <w:rPr>
        <w:rFonts w:hint="default"/>
        <w:lang w:val="zh-CN" w:eastAsia="zh-CN" w:bidi="zh-CN"/>
      </w:rPr>
    </w:lvl>
    <w:lvl w:ilvl="2" w:tentative="0">
      <w:start w:val="9"/>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895" w:hanging="600"/>
      </w:pPr>
      <w:rPr>
        <w:rFonts w:hint="default"/>
        <w:lang w:val="zh-CN" w:eastAsia="zh-CN" w:bidi="zh-CN"/>
      </w:rPr>
    </w:lvl>
    <w:lvl w:ilvl="4" w:tentative="0">
      <w:start w:val="0"/>
      <w:numFmt w:val="bullet"/>
      <w:lvlText w:val="•"/>
      <w:lvlJc w:val="left"/>
      <w:pPr>
        <w:ind w:left="4694" w:hanging="600"/>
      </w:pPr>
      <w:rPr>
        <w:rFonts w:hint="default"/>
        <w:lang w:val="zh-CN" w:eastAsia="zh-CN" w:bidi="zh-CN"/>
      </w:rPr>
    </w:lvl>
    <w:lvl w:ilvl="5" w:tentative="0">
      <w:start w:val="0"/>
      <w:numFmt w:val="bullet"/>
      <w:lvlText w:val="•"/>
      <w:lvlJc w:val="left"/>
      <w:pPr>
        <w:ind w:left="5493" w:hanging="600"/>
      </w:pPr>
      <w:rPr>
        <w:rFonts w:hint="default"/>
        <w:lang w:val="zh-CN" w:eastAsia="zh-CN" w:bidi="zh-CN"/>
      </w:rPr>
    </w:lvl>
    <w:lvl w:ilvl="6" w:tentative="0">
      <w:start w:val="0"/>
      <w:numFmt w:val="bullet"/>
      <w:lvlText w:val="•"/>
      <w:lvlJc w:val="left"/>
      <w:pPr>
        <w:ind w:left="6291" w:hanging="600"/>
      </w:pPr>
      <w:rPr>
        <w:rFonts w:hint="default"/>
        <w:lang w:val="zh-CN" w:eastAsia="zh-CN" w:bidi="zh-CN"/>
      </w:rPr>
    </w:lvl>
    <w:lvl w:ilvl="7" w:tentative="0">
      <w:start w:val="0"/>
      <w:numFmt w:val="bullet"/>
      <w:lvlText w:val="•"/>
      <w:lvlJc w:val="left"/>
      <w:pPr>
        <w:ind w:left="7090" w:hanging="600"/>
      </w:pPr>
      <w:rPr>
        <w:rFonts w:hint="default"/>
        <w:lang w:val="zh-CN" w:eastAsia="zh-CN" w:bidi="zh-CN"/>
      </w:rPr>
    </w:lvl>
    <w:lvl w:ilvl="8" w:tentative="0">
      <w:start w:val="0"/>
      <w:numFmt w:val="bullet"/>
      <w:lvlText w:val="•"/>
      <w:lvlJc w:val="left"/>
      <w:pPr>
        <w:ind w:left="7889" w:hanging="600"/>
      </w:pPr>
      <w:rPr>
        <w:rFonts w:hint="default"/>
        <w:lang w:val="zh-CN" w:eastAsia="zh-CN" w:bidi="zh-CN"/>
      </w:rPr>
    </w:lvl>
  </w:abstractNum>
  <w:abstractNum w:abstractNumId="7">
    <w:nsid w:val="06312B8F"/>
    <w:multiLevelType w:val="multilevel"/>
    <w:tmpl w:val="06312B8F"/>
    <w:lvl w:ilvl="0" w:tentative="0">
      <w:start w:val="1"/>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74" w:hanging="600"/>
      </w:pPr>
      <w:rPr>
        <w:rFonts w:hint="default"/>
        <w:lang w:val="zh-CN" w:eastAsia="zh-CN" w:bidi="zh-CN"/>
      </w:rPr>
    </w:lvl>
    <w:lvl w:ilvl="4" w:tentative="0">
      <w:start w:val="0"/>
      <w:numFmt w:val="bullet"/>
      <w:lvlText w:val="•"/>
      <w:lvlJc w:val="left"/>
      <w:pPr>
        <w:ind w:left="4162" w:hanging="600"/>
      </w:pPr>
      <w:rPr>
        <w:rFonts w:hint="default"/>
        <w:lang w:val="zh-CN" w:eastAsia="zh-CN" w:bidi="zh-CN"/>
      </w:rPr>
    </w:lvl>
    <w:lvl w:ilvl="5" w:tentative="0">
      <w:start w:val="0"/>
      <w:numFmt w:val="bullet"/>
      <w:lvlText w:val="•"/>
      <w:lvlJc w:val="left"/>
      <w:pPr>
        <w:ind w:left="5049" w:hanging="600"/>
      </w:pPr>
      <w:rPr>
        <w:rFonts w:hint="default"/>
        <w:lang w:val="zh-CN" w:eastAsia="zh-CN" w:bidi="zh-CN"/>
      </w:rPr>
    </w:lvl>
    <w:lvl w:ilvl="6" w:tentative="0">
      <w:start w:val="0"/>
      <w:numFmt w:val="bullet"/>
      <w:lvlText w:val="•"/>
      <w:lvlJc w:val="left"/>
      <w:pPr>
        <w:ind w:left="5936" w:hanging="600"/>
      </w:pPr>
      <w:rPr>
        <w:rFonts w:hint="default"/>
        <w:lang w:val="zh-CN" w:eastAsia="zh-CN" w:bidi="zh-CN"/>
      </w:rPr>
    </w:lvl>
    <w:lvl w:ilvl="7" w:tentative="0">
      <w:start w:val="0"/>
      <w:numFmt w:val="bullet"/>
      <w:lvlText w:val="•"/>
      <w:lvlJc w:val="left"/>
      <w:pPr>
        <w:ind w:left="6824" w:hanging="600"/>
      </w:pPr>
      <w:rPr>
        <w:rFonts w:hint="default"/>
        <w:lang w:val="zh-CN" w:eastAsia="zh-CN" w:bidi="zh-CN"/>
      </w:rPr>
    </w:lvl>
    <w:lvl w:ilvl="8" w:tentative="0">
      <w:start w:val="0"/>
      <w:numFmt w:val="bullet"/>
      <w:lvlText w:val="•"/>
      <w:lvlJc w:val="left"/>
      <w:pPr>
        <w:ind w:left="7711" w:hanging="600"/>
      </w:pPr>
      <w:rPr>
        <w:rFonts w:hint="default"/>
        <w:lang w:val="zh-CN" w:eastAsia="zh-CN" w:bidi="zh-CN"/>
      </w:rPr>
    </w:lvl>
  </w:abstractNum>
  <w:abstractNum w:abstractNumId="8">
    <w:nsid w:val="101B00DF"/>
    <w:multiLevelType w:val="multilevel"/>
    <w:tmpl w:val="101B00DF"/>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jc w:val="right"/>
      </w:pPr>
      <w:rPr>
        <w:rFonts w:hint="default"/>
        <w:lang w:val="zh-CN" w:eastAsia="zh-CN" w:bidi="zh-CN"/>
      </w:rPr>
    </w:lvl>
    <w:lvl w:ilvl="2" w:tentative="0">
      <w:start w:val="6"/>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9">
    <w:nsid w:val="18192DEF"/>
    <w:multiLevelType w:val="multilevel"/>
    <w:tmpl w:val="18192DEF"/>
    <w:lvl w:ilvl="0" w:tentative="0">
      <w:start w:val="3"/>
      <w:numFmt w:val="decimal"/>
      <w:lvlText w:val="%1"/>
      <w:lvlJc w:val="left"/>
      <w:pPr>
        <w:ind w:left="909" w:hanging="540"/>
      </w:pPr>
      <w:rPr>
        <w:rFonts w:hint="default"/>
        <w:lang w:val="zh-CN" w:eastAsia="zh-CN" w:bidi="zh-CN"/>
      </w:rPr>
    </w:lvl>
    <w:lvl w:ilvl="1" w:tentative="0">
      <w:start w:val="5"/>
      <w:numFmt w:val="decimal"/>
      <w:lvlText w:val="%1.%2"/>
      <w:lvlJc w:val="left"/>
      <w:pPr>
        <w:ind w:left="909" w:hanging="540"/>
      </w:pPr>
      <w:rPr>
        <w:rFonts w:hint="default" w:ascii="黑体" w:hAnsi="黑体" w:eastAsia="黑体" w:cs="黑体"/>
        <w:w w:val="100"/>
        <w:sz w:val="24"/>
        <w:szCs w:val="24"/>
        <w:lang w:val="zh-CN" w:eastAsia="zh-CN" w:bidi="zh-CN"/>
      </w:rPr>
    </w:lvl>
    <w:lvl w:ilvl="2" w:tentative="0">
      <w:start w:val="1"/>
      <w:numFmt w:val="decimal"/>
      <w:lvlText w:val="%1.%2.%3"/>
      <w:lvlJc w:val="left"/>
      <w:pPr>
        <w:ind w:left="369"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808" w:hanging="600"/>
      </w:pPr>
      <w:rPr>
        <w:rFonts w:hint="default"/>
        <w:lang w:val="zh-CN" w:eastAsia="zh-CN" w:bidi="zh-CN"/>
      </w:rPr>
    </w:lvl>
    <w:lvl w:ilvl="4" w:tentative="0">
      <w:start w:val="0"/>
      <w:numFmt w:val="bullet"/>
      <w:lvlText w:val="•"/>
      <w:lvlJc w:val="left"/>
      <w:pPr>
        <w:ind w:left="3762" w:hanging="600"/>
      </w:pPr>
      <w:rPr>
        <w:rFonts w:hint="default"/>
        <w:lang w:val="zh-CN" w:eastAsia="zh-CN" w:bidi="zh-CN"/>
      </w:rPr>
    </w:lvl>
    <w:lvl w:ilvl="5" w:tentative="0">
      <w:start w:val="0"/>
      <w:numFmt w:val="bullet"/>
      <w:lvlText w:val="•"/>
      <w:lvlJc w:val="left"/>
      <w:pPr>
        <w:ind w:left="4716" w:hanging="600"/>
      </w:pPr>
      <w:rPr>
        <w:rFonts w:hint="default"/>
        <w:lang w:val="zh-CN" w:eastAsia="zh-CN" w:bidi="zh-CN"/>
      </w:rPr>
    </w:lvl>
    <w:lvl w:ilvl="6" w:tentative="0">
      <w:start w:val="0"/>
      <w:numFmt w:val="bullet"/>
      <w:lvlText w:val="•"/>
      <w:lvlJc w:val="left"/>
      <w:pPr>
        <w:ind w:left="5670" w:hanging="600"/>
      </w:pPr>
      <w:rPr>
        <w:rFonts w:hint="default"/>
        <w:lang w:val="zh-CN" w:eastAsia="zh-CN" w:bidi="zh-CN"/>
      </w:rPr>
    </w:lvl>
    <w:lvl w:ilvl="7" w:tentative="0">
      <w:start w:val="0"/>
      <w:numFmt w:val="bullet"/>
      <w:lvlText w:val="•"/>
      <w:lvlJc w:val="left"/>
      <w:pPr>
        <w:ind w:left="6624" w:hanging="600"/>
      </w:pPr>
      <w:rPr>
        <w:rFonts w:hint="default"/>
        <w:lang w:val="zh-CN" w:eastAsia="zh-CN" w:bidi="zh-CN"/>
      </w:rPr>
    </w:lvl>
    <w:lvl w:ilvl="8" w:tentative="0">
      <w:start w:val="0"/>
      <w:numFmt w:val="bullet"/>
      <w:lvlText w:val="•"/>
      <w:lvlJc w:val="left"/>
      <w:pPr>
        <w:ind w:left="7578" w:hanging="600"/>
      </w:pPr>
      <w:rPr>
        <w:rFonts w:hint="default"/>
        <w:lang w:val="zh-CN" w:eastAsia="zh-CN" w:bidi="zh-CN"/>
      </w:rPr>
    </w:lvl>
  </w:abstractNum>
  <w:abstractNum w:abstractNumId="10">
    <w:nsid w:val="1BDB67AE"/>
    <w:multiLevelType w:val="multilevel"/>
    <w:tmpl w:val="1BDB67AE"/>
    <w:lvl w:ilvl="0" w:tentative="0">
      <w:start w:val="13"/>
      <w:numFmt w:val="decimal"/>
      <w:lvlText w:val="%1"/>
      <w:lvlJc w:val="left"/>
      <w:pPr>
        <w:ind w:left="424" w:hanging="720"/>
      </w:pPr>
      <w:rPr>
        <w:rFonts w:hint="default"/>
        <w:lang w:val="zh-CN" w:eastAsia="zh-CN" w:bidi="zh-CN"/>
      </w:rPr>
    </w:lvl>
    <w:lvl w:ilvl="1" w:tentative="0">
      <w:start w:val="1"/>
      <w:numFmt w:val="decimal"/>
      <w:lvlText w:val="%1.%2"/>
      <w:lvlJc w:val="left"/>
      <w:pPr>
        <w:ind w:left="424" w:hanging="720"/>
        <w:jc w:val="right"/>
      </w:pPr>
      <w:rPr>
        <w:rFonts w:hint="default"/>
        <w:lang w:val="zh-CN" w:eastAsia="zh-CN" w:bidi="zh-CN"/>
      </w:rPr>
    </w:lvl>
    <w:lvl w:ilvl="2" w:tentative="0">
      <w:start w:val="4"/>
      <w:numFmt w:val="decimal"/>
      <w:lvlText w:val="%1.%2.%3"/>
      <w:lvlJc w:val="left"/>
      <w:pPr>
        <w:ind w:left="424" w:hanging="720"/>
      </w:pPr>
      <w:rPr>
        <w:rFonts w:hint="default" w:ascii="Times New Roman" w:hAnsi="Times New Roman" w:eastAsia="Times New Roman" w:cs="Times New Roman"/>
        <w:spacing w:val="-1"/>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11">
    <w:nsid w:val="22D63347"/>
    <w:multiLevelType w:val="multilevel"/>
    <w:tmpl w:val="22D63347"/>
    <w:lvl w:ilvl="0" w:tentative="0">
      <w:start w:val="1"/>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pPr>
      <w:rPr>
        <w:rFonts w:hint="default"/>
        <w:lang w:val="zh-CN" w:eastAsia="zh-CN" w:bidi="zh-CN"/>
      </w:rPr>
    </w:lvl>
    <w:lvl w:ilvl="2" w:tentative="0">
      <w:start w:val="6"/>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2"/>
      <w:numFmt w:val="decimal"/>
      <w:lvlText w:val="%1.%2.%3.%4"/>
      <w:lvlJc w:val="left"/>
      <w:pPr>
        <w:ind w:left="424" w:hanging="780"/>
      </w:pPr>
      <w:rPr>
        <w:rFonts w:hint="default" w:ascii="Times New Roman" w:hAnsi="Times New Roman" w:eastAsia="Times New Roman" w:cs="Times New Roman"/>
        <w:spacing w:val="-5"/>
        <w:w w:val="100"/>
        <w:sz w:val="24"/>
        <w:szCs w:val="24"/>
        <w:lang w:val="zh-CN" w:eastAsia="zh-CN" w:bidi="zh-CN"/>
      </w:rPr>
    </w:lvl>
    <w:lvl w:ilvl="4" w:tentative="0">
      <w:start w:val="0"/>
      <w:numFmt w:val="bullet"/>
      <w:lvlText w:val="•"/>
      <w:lvlJc w:val="left"/>
      <w:pPr>
        <w:ind w:left="4162" w:hanging="780"/>
      </w:pPr>
      <w:rPr>
        <w:rFonts w:hint="default"/>
        <w:lang w:val="zh-CN" w:eastAsia="zh-CN" w:bidi="zh-CN"/>
      </w:rPr>
    </w:lvl>
    <w:lvl w:ilvl="5" w:tentative="0">
      <w:start w:val="0"/>
      <w:numFmt w:val="bullet"/>
      <w:lvlText w:val="•"/>
      <w:lvlJc w:val="left"/>
      <w:pPr>
        <w:ind w:left="5049" w:hanging="780"/>
      </w:pPr>
      <w:rPr>
        <w:rFonts w:hint="default"/>
        <w:lang w:val="zh-CN" w:eastAsia="zh-CN" w:bidi="zh-CN"/>
      </w:rPr>
    </w:lvl>
    <w:lvl w:ilvl="6" w:tentative="0">
      <w:start w:val="0"/>
      <w:numFmt w:val="bullet"/>
      <w:lvlText w:val="•"/>
      <w:lvlJc w:val="left"/>
      <w:pPr>
        <w:ind w:left="5936" w:hanging="780"/>
      </w:pPr>
      <w:rPr>
        <w:rFonts w:hint="default"/>
        <w:lang w:val="zh-CN" w:eastAsia="zh-CN" w:bidi="zh-CN"/>
      </w:rPr>
    </w:lvl>
    <w:lvl w:ilvl="7" w:tentative="0">
      <w:start w:val="0"/>
      <w:numFmt w:val="bullet"/>
      <w:lvlText w:val="•"/>
      <w:lvlJc w:val="left"/>
      <w:pPr>
        <w:ind w:left="6824" w:hanging="780"/>
      </w:pPr>
      <w:rPr>
        <w:rFonts w:hint="default"/>
        <w:lang w:val="zh-CN" w:eastAsia="zh-CN" w:bidi="zh-CN"/>
      </w:rPr>
    </w:lvl>
    <w:lvl w:ilvl="8" w:tentative="0">
      <w:start w:val="0"/>
      <w:numFmt w:val="bullet"/>
      <w:lvlText w:val="•"/>
      <w:lvlJc w:val="left"/>
      <w:pPr>
        <w:ind w:left="7711" w:hanging="780"/>
      </w:pPr>
      <w:rPr>
        <w:rFonts w:hint="default"/>
        <w:lang w:val="zh-CN" w:eastAsia="zh-CN" w:bidi="zh-CN"/>
      </w:rPr>
    </w:lvl>
  </w:abstractNum>
  <w:abstractNum w:abstractNumId="12">
    <w:nsid w:val="271A3944"/>
    <w:multiLevelType w:val="multilevel"/>
    <w:tmpl w:val="271A394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B04AF0"/>
    <w:multiLevelType w:val="multilevel"/>
    <w:tmpl w:val="27B04AF0"/>
    <w:lvl w:ilvl="0" w:tentative="0">
      <w:start w:val="4"/>
      <w:numFmt w:val="decimal"/>
      <w:lvlText w:val="%1"/>
      <w:lvlJc w:val="left"/>
      <w:pPr>
        <w:ind w:left="844" w:hanging="420"/>
      </w:pPr>
      <w:rPr>
        <w:rFonts w:hint="default"/>
        <w:lang w:val="zh-CN" w:eastAsia="zh-CN" w:bidi="zh-CN"/>
      </w:rPr>
    </w:lvl>
    <w:lvl w:ilvl="1" w:tentative="0">
      <w:start w:val="9"/>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13"/>
      </w:pPr>
      <w:rPr>
        <w:rFonts w:hint="default" w:ascii="Times New Roman" w:hAnsi="Times New Roman" w:eastAsia="Times New Roman" w:cs="Times New Roman"/>
        <w:spacing w:val="-61"/>
        <w:w w:val="100"/>
        <w:sz w:val="24"/>
        <w:szCs w:val="24"/>
        <w:lang w:val="zh-CN" w:eastAsia="zh-CN" w:bidi="zh-CN"/>
      </w:rPr>
    </w:lvl>
    <w:lvl w:ilvl="3" w:tentative="0">
      <w:start w:val="0"/>
      <w:numFmt w:val="bullet"/>
      <w:lvlText w:val="•"/>
      <w:lvlJc w:val="left"/>
      <w:pPr>
        <w:ind w:left="2761" w:hanging="713"/>
      </w:pPr>
      <w:rPr>
        <w:rFonts w:hint="default"/>
        <w:lang w:val="zh-CN" w:eastAsia="zh-CN" w:bidi="zh-CN"/>
      </w:rPr>
    </w:lvl>
    <w:lvl w:ilvl="4" w:tentative="0">
      <w:start w:val="0"/>
      <w:numFmt w:val="bullet"/>
      <w:lvlText w:val="•"/>
      <w:lvlJc w:val="left"/>
      <w:pPr>
        <w:ind w:left="3722" w:hanging="713"/>
      </w:pPr>
      <w:rPr>
        <w:rFonts w:hint="default"/>
        <w:lang w:val="zh-CN" w:eastAsia="zh-CN" w:bidi="zh-CN"/>
      </w:rPr>
    </w:lvl>
    <w:lvl w:ilvl="5" w:tentative="0">
      <w:start w:val="0"/>
      <w:numFmt w:val="bullet"/>
      <w:lvlText w:val="•"/>
      <w:lvlJc w:val="left"/>
      <w:pPr>
        <w:ind w:left="4682" w:hanging="713"/>
      </w:pPr>
      <w:rPr>
        <w:rFonts w:hint="default"/>
        <w:lang w:val="zh-CN" w:eastAsia="zh-CN" w:bidi="zh-CN"/>
      </w:rPr>
    </w:lvl>
    <w:lvl w:ilvl="6" w:tentative="0">
      <w:start w:val="0"/>
      <w:numFmt w:val="bullet"/>
      <w:lvlText w:val="•"/>
      <w:lvlJc w:val="left"/>
      <w:pPr>
        <w:ind w:left="5643" w:hanging="713"/>
      </w:pPr>
      <w:rPr>
        <w:rFonts w:hint="default"/>
        <w:lang w:val="zh-CN" w:eastAsia="zh-CN" w:bidi="zh-CN"/>
      </w:rPr>
    </w:lvl>
    <w:lvl w:ilvl="7" w:tentative="0">
      <w:start w:val="0"/>
      <w:numFmt w:val="bullet"/>
      <w:lvlText w:val="•"/>
      <w:lvlJc w:val="left"/>
      <w:pPr>
        <w:ind w:left="6604" w:hanging="713"/>
      </w:pPr>
      <w:rPr>
        <w:rFonts w:hint="default"/>
        <w:lang w:val="zh-CN" w:eastAsia="zh-CN" w:bidi="zh-CN"/>
      </w:rPr>
    </w:lvl>
    <w:lvl w:ilvl="8" w:tentative="0">
      <w:start w:val="0"/>
      <w:numFmt w:val="bullet"/>
      <w:lvlText w:val="•"/>
      <w:lvlJc w:val="left"/>
      <w:pPr>
        <w:ind w:left="7564" w:hanging="713"/>
      </w:pPr>
      <w:rPr>
        <w:rFonts w:hint="default"/>
        <w:lang w:val="zh-CN" w:eastAsia="zh-CN" w:bidi="zh-CN"/>
      </w:rPr>
    </w:lvl>
  </w:abstractNum>
  <w:abstractNum w:abstractNumId="14">
    <w:nsid w:val="28A206A6"/>
    <w:multiLevelType w:val="multilevel"/>
    <w:tmpl w:val="28A206A6"/>
    <w:lvl w:ilvl="0" w:tentative="0">
      <w:start w:val="9"/>
      <w:numFmt w:val="decimal"/>
      <w:lvlText w:val="%1"/>
      <w:lvlJc w:val="left"/>
      <w:pPr>
        <w:ind w:left="844" w:hanging="420"/>
      </w:pPr>
      <w:rPr>
        <w:rFonts w:hint="default"/>
        <w:lang w:val="zh-CN" w:eastAsia="zh-CN" w:bidi="zh-CN"/>
      </w:rPr>
    </w:lvl>
    <w:lvl w:ilvl="1" w:tentative="0">
      <w:start w:val="2"/>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8"/>
      <w:numFmt w:val="decimal"/>
      <w:lvlText w:val="%1.%2.%3"/>
      <w:lvlJc w:val="left"/>
      <w:pPr>
        <w:ind w:left="424" w:hanging="600"/>
      </w:pPr>
      <w:rPr>
        <w:rFonts w:hint="default" w:ascii="Times New Roman" w:hAnsi="Times New Roman" w:eastAsia="Times New Roman" w:cs="Times New Roman"/>
        <w:spacing w:val="-84"/>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5">
    <w:nsid w:val="2B644816"/>
    <w:multiLevelType w:val="multilevel"/>
    <w:tmpl w:val="2B644816"/>
    <w:lvl w:ilvl="0" w:tentative="0">
      <w:start w:val="4"/>
      <w:numFmt w:val="decimal"/>
      <w:lvlText w:val="%1"/>
      <w:lvlJc w:val="left"/>
      <w:pPr>
        <w:ind w:left="369" w:hanging="600"/>
      </w:pPr>
      <w:rPr>
        <w:rFonts w:hint="default"/>
        <w:lang w:val="zh-CN" w:eastAsia="zh-CN" w:bidi="zh-CN"/>
      </w:rPr>
    </w:lvl>
    <w:lvl w:ilvl="1" w:tentative="0">
      <w:start w:val="2"/>
      <w:numFmt w:val="decimal"/>
      <w:lvlText w:val="%1.%2"/>
      <w:lvlJc w:val="left"/>
      <w:pPr>
        <w:ind w:left="369" w:hanging="600"/>
      </w:pPr>
      <w:rPr>
        <w:rFonts w:hint="default"/>
        <w:lang w:val="zh-CN" w:eastAsia="zh-CN" w:bidi="zh-CN"/>
      </w:rPr>
    </w:lvl>
    <w:lvl w:ilvl="2" w:tentative="0">
      <w:start w:val="1"/>
      <w:numFmt w:val="decimal"/>
      <w:lvlText w:val="%1.%2.%3"/>
      <w:lvlJc w:val="left"/>
      <w:pPr>
        <w:ind w:left="369" w:hanging="600"/>
      </w:pPr>
      <w:rPr>
        <w:rFonts w:hint="default" w:ascii="Times New Roman" w:hAnsi="Times New Roman" w:eastAsia="宋体" w:cs="Times New Roman"/>
        <w:spacing w:val="-32"/>
        <w:w w:val="100"/>
        <w:sz w:val="24"/>
        <w:szCs w:val="24"/>
        <w:lang w:val="zh-CN" w:eastAsia="zh-CN" w:bidi="zh-CN"/>
      </w:rPr>
    </w:lvl>
    <w:lvl w:ilvl="3" w:tentative="0">
      <w:start w:val="0"/>
      <w:numFmt w:val="bullet"/>
      <w:lvlText w:val="•"/>
      <w:lvlJc w:val="left"/>
      <w:pPr>
        <w:ind w:left="3097" w:hanging="600"/>
      </w:pPr>
      <w:rPr>
        <w:rFonts w:hint="default"/>
        <w:lang w:val="zh-CN" w:eastAsia="zh-CN" w:bidi="zh-CN"/>
      </w:rPr>
    </w:lvl>
    <w:lvl w:ilvl="4" w:tentative="0">
      <w:start w:val="0"/>
      <w:numFmt w:val="bullet"/>
      <w:lvlText w:val="•"/>
      <w:lvlJc w:val="left"/>
      <w:pPr>
        <w:ind w:left="4010" w:hanging="600"/>
      </w:pPr>
      <w:rPr>
        <w:rFonts w:hint="default"/>
        <w:lang w:val="zh-CN" w:eastAsia="zh-CN" w:bidi="zh-CN"/>
      </w:rPr>
    </w:lvl>
    <w:lvl w:ilvl="5" w:tentative="0">
      <w:start w:val="0"/>
      <w:numFmt w:val="bullet"/>
      <w:lvlText w:val="•"/>
      <w:lvlJc w:val="left"/>
      <w:pPr>
        <w:ind w:left="4923" w:hanging="600"/>
      </w:pPr>
      <w:rPr>
        <w:rFonts w:hint="default"/>
        <w:lang w:val="zh-CN" w:eastAsia="zh-CN" w:bidi="zh-CN"/>
      </w:rPr>
    </w:lvl>
    <w:lvl w:ilvl="6" w:tentative="0">
      <w:start w:val="0"/>
      <w:numFmt w:val="bullet"/>
      <w:lvlText w:val="•"/>
      <w:lvlJc w:val="left"/>
      <w:pPr>
        <w:ind w:left="5835" w:hanging="600"/>
      </w:pPr>
      <w:rPr>
        <w:rFonts w:hint="default"/>
        <w:lang w:val="zh-CN" w:eastAsia="zh-CN" w:bidi="zh-CN"/>
      </w:rPr>
    </w:lvl>
    <w:lvl w:ilvl="7" w:tentative="0">
      <w:start w:val="0"/>
      <w:numFmt w:val="bullet"/>
      <w:lvlText w:val="•"/>
      <w:lvlJc w:val="left"/>
      <w:pPr>
        <w:ind w:left="6748" w:hanging="600"/>
      </w:pPr>
      <w:rPr>
        <w:rFonts w:hint="default"/>
        <w:lang w:val="zh-CN" w:eastAsia="zh-CN" w:bidi="zh-CN"/>
      </w:rPr>
    </w:lvl>
    <w:lvl w:ilvl="8" w:tentative="0">
      <w:start w:val="0"/>
      <w:numFmt w:val="bullet"/>
      <w:lvlText w:val="•"/>
      <w:lvlJc w:val="left"/>
      <w:pPr>
        <w:ind w:left="7661" w:hanging="600"/>
      </w:pPr>
      <w:rPr>
        <w:rFonts w:hint="default"/>
        <w:lang w:val="zh-CN" w:eastAsia="zh-CN" w:bidi="zh-CN"/>
      </w:rPr>
    </w:lvl>
  </w:abstractNum>
  <w:abstractNum w:abstractNumId="16">
    <w:nsid w:val="2C9F0335"/>
    <w:multiLevelType w:val="multilevel"/>
    <w:tmpl w:val="2C9F0335"/>
    <w:lvl w:ilvl="0" w:tentative="0">
      <w:start w:val="5"/>
      <w:numFmt w:val="decimal"/>
      <w:lvlText w:val="%1"/>
      <w:lvlJc w:val="left"/>
      <w:pPr>
        <w:ind w:left="849" w:hanging="480"/>
      </w:pPr>
      <w:rPr>
        <w:rFonts w:hint="default"/>
        <w:lang w:val="zh-CN" w:eastAsia="zh-CN" w:bidi="zh-CN"/>
      </w:rPr>
    </w:lvl>
    <w:lvl w:ilvl="1" w:tentative="0">
      <w:start w:val="2"/>
      <w:numFmt w:val="decimal"/>
      <w:lvlText w:val="%1.%2"/>
      <w:lvlJc w:val="left"/>
      <w:pPr>
        <w:ind w:left="849" w:hanging="480"/>
      </w:pPr>
      <w:rPr>
        <w:rFonts w:hint="default" w:ascii="黑体" w:hAnsi="黑体" w:eastAsia="黑体" w:cs="黑体"/>
        <w:w w:val="100"/>
        <w:sz w:val="24"/>
        <w:szCs w:val="24"/>
        <w:lang w:val="zh-CN" w:eastAsia="zh-CN" w:bidi="zh-CN"/>
      </w:rPr>
    </w:lvl>
    <w:lvl w:ilvl="2" w:tentative="0">
      <w:start w:val="1"/>
      <w:numFmt w:val="decimal"/>
      <w:lvlText w:val="%1.%2.%3"/>
      <w:lvlJc w:val="left"/>
      <w:pPr>
        <w:ind w:left="369" w:hanging="600"/>
      </w:pPr>
      <w:rPr>
        <w:rFonts w:hint="default" w:ascii="Times New Roman" w:hAnsi="Times New Roman" w:eastAsia="宋体" w:cs="Times New Roman"/>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7">
    <w:nsid w:val="2E03767D"/>
    <w:multiLevelType w:val="multilevel"/>
    <w:tmpl w:val="2E03767D"/>
    <w:lvl w:ilvl="0" w:tentative="0">
      <w:start w:val="18"/>
      <w:numFmt w:val="decimal"/>
      <w:lvlText w:val="%1"/>
      <w:lvlJc w:val="left"/>
      <w:pPr>
        <w:ind w:left="964" w:hanging="540"/>
      </w:pPr>
      <w:rPr>
        <w:rFonts w:hint="default"/>
        <w:lang w:val="zh-CN" w:eastAsia="zh-CN" w:bidi="zh-CN"/>
      </w:rPr>
    </w:lvl>
    <w:lvl w:ilvl="1" w:tentative="0">
      <w:start w:val="2"/>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8">
    <w:nsid w:val="2E0646C5"/>
    <w:multiLevelType w:val="multilevel"/>
    <w:tmpl w:val="2E0646C5"/>
    <w:lvl w:ilvl="0" w:tentative="0">
      <w:start w:val="9"/>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7"/>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9">
    <w:nsid w:val="3D257819"/>
    <w:multiLevelType w:val="multilevel"/>
    <w:tmpl w:val="3D257819"/>
    <w:lvl w:ilvl="0" w:tentative="0">
      <w:start w:val="4"/>
      <w:numFmt w:val="decimal"/>
      <w:lvlText w:val="%1"/>
      <w:lvlJc w:val="left"/>
      <w:pPr>
        <w:ind w:left="844" w:hanging="420"/>
      </w:pPr>
      <w:rPr>
        <w:rFonts w:hint="default"/>
        <w:lang w:val="zh-CN" w:eastAsia="zh-CN" w:bidi="zh-CN"/>
      </w:rPr>
    </w:lvl>
    <w:lvl w:ilvl="1" w:tentative="0">
      <w:start w:val="6"/>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1800" w:hanging="420"/>
      </w:pPr>
      <w:rPr>
        <w:rFonts w:hint="default"/>
        <w:lang w:val="zh-CN" w:eastAsia="zh-CN" w:bidi="zh-CN"/>
      </w:rPr>
    </w:lvl>
    <w:lvl w:ilvl="3" w:tentative="0">
      <w:start w:val="0"/>
      <w:numFmt w:val="bullet"/>
      <w:lvlText w:val="•"/>
      <w:lvlJc w:val="left"/>
      <w:pPr>
        <w:ind w:left="2761" w:hanging="420"/>
      </w:pPr>
      <w:rPr>
        <w:rFonts w:hint="default"/>
        <w:lang w:val="zh-CN" w:eastAsia="zh-CN" w:bidi="zh-CN"/>
      </w:rPr>
    </w:lvl>
    <w:lvl w:ilvl="4" w:tentative="0">
      <w:start w:val="0"/>
      <w:numFmt w:val="bullet"/>
      <w:lvlText w:val="•"/>
      <w:lvlJc w:val="left"/>
      <w:pPr>
        <w:ind w:left="3722" w:hanging="420"/>
      </w:pPr>
      <w:rPr>
        <w:rFonts w:hint="default"/>
        <w:lang w:val="zh-CN" w:eastAsia="zh-CN" w:bidi="zh-CN"/>
      </w:rPr>
    </w:lvl>
    <w:lvl w:ilvl="5" w:tentative="0">
      <w:start w:val="0"/>
      <w:numFmt w:val="bullet"/>
      <w:lvlText w:val="•"/>
      <w:lvlJc w:val="left"/>
      <w:pPr>
        <w:ind w:left="4682" w:hanging="420"/>
      </w:pPr>
      <w:rPr>
        <w:rFonts w:hint="default"/>
        <w:lang w:val="zh-CN" w:eastAsia="zh-CN" w:bidi="zh-CN"/>
      </w:rPr>
    </w:lvl>
    <w:lvl w:ilvl="6" w:tentative="0">
      <w:start w:val="0"/>
      <w:numFmt w:val="bullet"/>
      <w:lvlText w:val="•"/>
      <w:lvlJc w:val="left"/>
      <w:pPr>
        <w:ind w:left="5643" w:hanging="420"/>
      </w:pPr>
      <w:rPr>
        <w:rFonts w:hint="default"/>
        <w:lang w:val="zh-CN" w:eastAsia="zh-CN" w:bidi="zh-CN"/>
      </w:rPr>
    </w:lvl>
    <w:lvl w:ilvl="7" w:tentative="0">
      <w:start w:val="0"/>
      <w:numFmt w:val="bullet"/>
      <w:lvlText w:val="•"/>
      <w:lvlJc w:val="left"/>
      <w:pPr>
        <w:ind w:left="6604" w:hanging="420"/>
      </w:pPr>
      <w:rPr>
        <w:rFonts w:hint="default"/>
        <w:lang w:val="zh-CN" w:eastAsia="zh-CN" w:bidi="zh-CN"/>
      </w:rPr>
    </w:lvl>
    <w:lvl w:ilvl="8" w:tentative="0">
      <w:start w:val="0"/>
      <w:numFmt w:val="bullet"/>
      <w:lvlText w:val="•"/>
      <w:lvlJc w:val="left"/>
      <w:pPr>
        <w:ind w:left="7564" w:hanging="420"/>
      </w:pPr>
      <w:rPr>
        <w:rFonts w:hint="default"/>
        <w:lang w:val="zh-CN" w:eastAsia="zh-CN" w:bidi="zh-CN"/>
      </w:rPr>
    </w:lvl>
  </w:abstractNum>
  <w:abstractNum w:abstractNumId="20">
    <w:nsid w:val="3D6346E2"/>
    <w:multiLevelType w:val="multilevel"/>
    <w:tmpl w:val="3D6346E2"/>
    <w:lvl w:ilvl="0" w:tentative="0">
      <w:start w:val="13"/>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21">
    <w:nsid w:val="3DE54DDA"/>
    <w:multiLevelType w:val="multilevel"/>
    <w:tmpl w:val="3DE54DDA"/>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22">
    <w:nsid w:val="436662DB"/>
    <w:multiLevelType w:val="multilevel"/>
    <w:tmpl w:val="436662DB"/>
    <w:lvl w:ilvl="0" w:tentative="0">
      <w:start w:val="1"/>
      <w:numFmt w:val="decimal"/>
      <w:lvlText w:val="%1"/>
      <w:lvlJc w:val="left"/>
      <w:pPr>
        <w:ind w:left="849" w:hanging="480"/>
      </w:pPr>
      <w:rPr>
        <w:rFonts w:hint="default"/>
        <w:lang w:val="zh-CN" w:eastAsia="zh-CN" w:bidi="zh-CN"/>
      </w:rPr>
    </w:lvl>
    <w:lvl w:ilvl="1" w:tentative="0">
      <w:start w:val="4"/>
      <w:numFmt w:val="decimal"/>
      <w:lvlText w:val="%1.%2"/>
      <w:lvlJc w:val="left"/>
      <w:pPr>
        <w:ind w:left="906" w:hanging="480"/>
      </w:pPr>
      <w:rPr>
        <w:rFonts w:hint="default" w:ascii="黑体" w:hAnsi="黑体" w:eastAsia="黑体" w:cs="黑体"/>
        <w:w w:val="100"/>
        <w:sz w:val="24"/>
        <w:szCs w:val="24"/>
        <w:lang w:val="zh-CN" w:eastAsia="zh-CN" w:bidi="zh-CN"/>
      </w:rPr>
    </w:lvl>
    <w:lvl w:ilvl="2" w:tentative="0">
      <w:start w:val="1"/>
      <w:numFmt w:val="decimal"/>
      <w:lvlText w:val="%1.%2.%3"/>
      <w:lvlJc w:val="left"/>
      <w:pPr>
        <w:ind w:left="1449"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445" w:hanging="600"/>
      </w:pPr>
      <w:rPr>
        <w:rFonts w:hint="default"/>
        <w:lang w:val="zh-CN" w:eastAsia="zh-CN" w:bidi="zh-CN"/>
      </w:rPr>
    </w:lvl>
    <w:lvl w:ilvl="4" w:tentative="0">
      <w:start w:val="0"/>
      <w:numFmt w:val="bullet"/>
      <w:lvlText w:val="•"/>
      <w:lvlJc w:val="left"/>
      <w:pPr>
        <w:ind w:left="3451" w:hanging="600"/>
      </w:pPr>
      <w:rPr>
        <w:rFonts w:hint="default"/>
        <w:lang w:val="zh-CN" w:eastAsia="zh-CN" w:bidi="zh-CN"/>
      </w:rPr>
    </w:lvl>
    <w:lvl w:ilvl="5" w:tentative="0">
      <w:start w:val="0"/>
      <w:numFmt w:val="bullet"/>
      <w:lvlText w:val="•"/>
      <w:lvlJc w:val="left"/>
      <w:pPr>
        <w:ind w:left="4457" w:hanging="600"/>
      </w:pPr>
      <w:rPr>
        <w:rFonts w:hint="default"/>
        <w:lang w:val="zh-CN" w:eastAsia="zh-CN" w:bidi="zh-CN"/>
      </w:rPr>
    </w:lvl>
    <w:lvl w:ilvl="6" w:tentative="0">
      <w:start w:val="0"/>
      <w:numFmt w:val="bullet"/>
      <w:lvlText w:val="•"/>
      <w:lvlJc w:val="left"/>
      <w:pPr>
        <w:ind w:left="5463" w:hanging="600"/>
      </w:pPr>
      <w:rPr>
        <w:rFonts w:hint="default"/>
        <w:lang w:val="zh-CN" w:eastAsia="zh-CN" w:bidi="zh-CN"/>
      </w:rPr>
    </w:lvl>
    <w:lvl w:ilvl="7" w:tentative="0">
      <w:start w:val="0"/>
      <w:numFmt w:val="bullet"/>
      <w:lvlText w:val="•"/>
      <w:lvlJc w:val="left"/>
      <w:pPr>
        <w:ind w:left="6469" w:hanging="600"/>
      </w:pPr>
      <w:rPr>
        <w:rFonts w:hint="default"/>
        <w:lang w:val="zh-CN" w:eastAsia="zh-CN" w:bidi="zh-CN"/>
      </w:rPr>
    </w:lvl>
    <w:lvl w:ilvl="8" w:tentative="0">
      <w:start w:val="0"/>
      <w:numFmt w:val="bullet"/>
      <w:lvlText w:val="•"/>
      <w:lvlJc w:val="left"/>
      <w:pPr>
        <w:ind w:left="7474" w:hanging="600"/>
      </w:pPr>
      <w:rPr>
        <w:rFonts w:hint="default"/>
        <w:lang w:val="zh-CN" w:eastAsia="zh-CN" w:bidi="zh-CN"/>
      </w:rPr>
    </w:lvl>
  </w:abstractNum>
  <w:abstractNum w:abstractNumId="23">
    <w:nsid w:val="44047DB7"/>
    <w:multiLevelType w:val="multilevel"/>
    <w:tmpl w:val="44047DB7"/>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24">
    <w:nsid w:val="4508083C"/>
    <w:multiLevelType w:val="multilevel"/>
    <w:tmpl w:val="4508083C"/>
    <w:lvl w:ilvl="0" w:tentative="0">
      <w:start w:val="1"/>
      <w:numFmt w:val="lowerLetter"/>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47CA515D"/>
    <w:multiLevelType w:val="multilevel"/>
    <w:tmpl w:val="47CA515D"/>
    <w:lvl w:ilvl="0" w:tentative="0">
      <w:start w:val="4"/>
      <w:numFmt w:val="decimal"/>
      <w:lvlText w:val="%1"/>
      <w:lvlJc w:val="left"/>
      <w:pPr>
        <w:ind w:left="369" w:hanging="600"/>
      </w:pPr>
      <w:rPr>
        <w:rFonts w:hint="default"/>
        <w:lang w:val="zh-CN" w:eastAsia="zh-CN" w:bidi="zh-CN"/>
      </w:rPr>
    </w:lvl>
    <w:lvl w:ilvl="1" w:tentative="0">
      <w:start w:val="2"/>
      <w:numFmt w:val="decimal"/>
      <w:lvlText w:val="%1.%2"/>
      <w:lvlJc w:val="left"/>
      <w:pPr>
        <w:ind w:left="369" w:hanging="600"/>
      </w:pPr>
      <w:rPr>
        <w:rFonts w:hint="default"/>
        <w:lang w:val="zh-CN" w:eastAsia="zh-CN" w:bidi="zh-CN"/>
      </w:rPr>
    </w:lvl>
    <w:lvl w:ilvl="2" w:tentative="0">
      <w:start w:val="4"/>
      <w:numFmt w:val="decimal"/>
      <w:lvlText w:val="%3.2.1"/>
      <w:lvlJc w:val="left"/>
      <w:pPr>
        <w:ind w:left="369" w:hanging="600"/>
      </w:pPr>
      <w:rPr>
        <w:rFonts w:hint="default" w:ascii="Times New Roman" w:hAnsi="Times New Roman"/>
        <w:spacing w:val="0"/>
        <w:w w:val="100"/>
        <w:sz w:val="24"/>
        <w:szCs w:val="24"/>
        <w:lang w:val="zh-CN" w:eastAsia="zh-CN" w:bidi="zh-CN"/>
      </w:rPr>
    </w:lvl>
    <w:lvl w:ilvl="3" w:tentative="0">
      <w:start w:val="0"/>
      <w:numFmt w:val="bullet"/>
      <w:lvlText w:val="•"/>
      <w:lvlJc w:val="left"/>
      <w:pPr>
        <w:ind w:left="3097" w:hanging="600"/>
      </w:pPr>
      <w:rPr>
        <w:rFonts w:hint="default"/>
        <w:lang w:val="zh-CN" w:eastAsia="zh-CN" w:bidi="zh-CN"/>
      </w:rPr>
    </w:lvl>
    <w:lvl w:ilvl="4" w:tentative="0">
      <w:start w:val="0"/>
      <w:numFmt w:val="bullet"/>
      <w:lvlText w:val="•"/>
      <w:lvlJc w:val="left"/>
      <w:pPr>
        <w:ind w:left="4010" w:hanging="600"/>
      </w:pPr>
      <w:rPr>
        <w:rFonts w:hint="default"/>
        <w:lang w:val="zh-CN" w:eastAsia="zh-CN" w:bidi="zh-CN"/>
      </w:rPr>
    </w:lvl>
    <w:lvl w:ilvl="5" w:tentative="0">
      <w:start w:val="0"/>
      <w:numFmt w:val="bullet"/>
      <w:lvlText w:val="•"/>
      <w:lvlJc w:val="left"/>
      <w:pPr>
        <w:ind w:left="4923" w:hanging="600"/>
      </w:pPr>
      <w:rPr>
        <w:rFonts w:hint="default"/>
        <w:lang w:val="zh-CN" w:eastAsia="zh-CN" w:bidi="zh-CN"/>
      </w:rPr>
    </w:lvl>
    <w:lvl w:ilvl="6" w:tentative="0">
      <w:start w:val="0"/>
      <w:numFmt w:val="bullet"/>
      <w:lvlText w:val="•"/>
      <w:lvlJc w:val="left"/>
      <w:pPr>
        <w:ind w:left="5835" w:hanging="600"/>
      </w:pPr>
      <w:rPr>
        <w:rFonts w:hint="default"/>
        <w:lang w:val="zh-CN" w:eastAsia="zh-CN" w:bidi="zh-CN"/>
      </w:rPr>
    </w:lvl>
    <w:lvl w:ilvl="7" w:tentative="0">
      <w:start w:val="0"/>
      <w:numFmt w:val="bullet"/>
      <w:lvlText w:val="•"/>
      <w:lvlJc w:val="left"/>
      <w:pPr>
        <w:ind w:left="6748" w:hanging="600"/>
      </w:pPr>
      <w:rPr>
        <w:rFonts w:hint="default"/>
        <w:lang w:val="zh-CN" w:eastAsia="zh-CN" w:bidi="zh-CN"/>
      </w:rPr>
    </w:lvl>
    <w:lvl w:ilvl="8" w:tentative="0">
      <w:start w:val="0"/>
      <w:numFmt w:val="bullet"/>
      <w:lvlText w:val="•"/>
      <w:lvlJc w:val="left"/>
      <w:pPr>
        <w:ind w:left="7661" w:hanging="600"/>
      </w:pPr>
      <w:rPr>
        <w:rFonts w:hint="default"/>
        <w:lang w:val="zh-CN" w:eastAsia="zh-CN" w:bidi="zh-CN"/>
      </w:rPr>
    </w:lvl>
  </w:abstractNum>
  <w:abstractNum w:abstractNumId="26">
    <w:nsid w:val="513C4340"/>
    <w:multiLevelType w:val="multilevel"/>
    <w:tmpl w:val="513C4340"/>
    <w:lvl w:ilvl="0" w:tentative="0">
      <w:start w:val="17"/>
      <w:numFmt w:val="decimal"/>
      <w:lvlText w:val="%1"/>
      <w:lvlJc w:val="left"/>
      <w:pPr>
        <w:ind w:left="1614" w:hanging="720"/>
      </w:pPr>
      <w:rPr>
        <w:rFonts w:hint="default"/>
        <w:lang w:val="zh-CN" w:eastAsia="zh-CN" w:bidi="zh-CN"/>
      </w:rPr>
    </w:lvl>
    <w:lvl w:ilvl="1" w:tentative="0">
      <w:start w:val="1"/>
      <w:numFmt w:val="decimal"/>
      <w:lvlText w:val="%1.%2"/>
      <w:lvlJc w:val="left"/>
      <w:pPr>
        <w:ind w:left="1614" w:hanging="720"/>
        <w:jc w:val="right"/>
      </w:pPr>
      <w:rPr>
        <w:rFonts w:hint="default"/>
        <w:lang w:val="zh-CN" w:eastAsia="zh-CN" w:bidi="zh-CN"/>
      </w:rPr>
    </w:lvl>
    <w:lvl w:ilvl="2" w:tentative="0">
      <w:start w:val="4"/>
      <w:numFmt w:val="decimal"/>
      <w:lvlText w:val="%1.%2.%3"/>
      <w:lvlJc w:val="left"/>
      <w:pPr>
        <w:ind w:left="161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79" w:hanging="720"/>
      </w:pPr>
      <w:rPr>
        <w:rFonts w:hint="default"/>
        <w:lang w:val="zh-CN" w:eastAsia="zh-CN" w:bidi="zh-CN"/>
      </w:rPr>
    </w:lvl>
    <w:lvl w:ilvl="4" w:tentative="0">
      <w:start w:val="0"/>
      <w:numFmt w:val="bullet"/>
      <w:lvlText w:val="•"/>
      <w:lvlJc w:val="left"/>
      <w:pPr>
        <w:ind w:left="4766" w:hanging="720"/>
      </w:pPr>
      <w:rPr>
        <w:rFonts w:hint="default"/>
        <w:lang w:val="zh-CN" w:eastAsia="zh-CN" w:bidi="zh-CN"/>
      </w:rPr>
    </w:lvl>
    <w:lvl w:ilvl="5" w:tentative="0">
      <w:start w:val="0"/>
      <w:numFmt w:val="bullet"/>
      <w:lvlText w:val="•"/>
      <w:lvlJc w:val="left"/>
      <w:pPr>
        <w:ind w:left="5553" w:hanging="720"/>
      </w:pPr>
      <w:rPr>
        <w:rFonts w:hint="default"/>
        <w:lang w:val="zh-CN" w:eastAsia="zh-CN" w:bidi="zh-CN"/>
      </w:rPr>
    </w:lvl>
    <w:lvl w:ilvl="6" w:tentative="0">
      <w:start w:val="0"/>
      <w:numFmt w:val="bullet"/>
      <w:lvlText w:val="•"/>
      <w:lvlJc w:val="left"/>
      <w:pPr>
        <w:ind w:left="6339" w:hanging="720"/>
      </w:pPr>
      <w:rPr>
        <w:rFonts w:hint="default"/>
        <w:lang w:val="zh-CN" w:eastAsia="zh-CN" w:bidi="zh-CN"/>
      </w:rPr>
    </w:lvl>
    <w:lvl w:ilvl="7" w:tentative="0">
      <w:start w:val="0"/>
      <w:numFmt w:val="bullet"/>
      <w:lvlText w:val="•"/>
      <w:lvlJc w:val="left"/>
      <w:pPr>
        <w:ind w:left="7126" w:hanging="720"/>
      </w:pPr>
      <w:rPr>
        <w:rFonts w:hint="default"/>
        <w:lang w:val="zh-CN" w:eastAsia="zh-CN" w:bidi="zh-CN"/>
      </w:rPr>
    </w:lvl>
    <w:lvl w:ilvl="8" w:tentative="0">
      <w:start w:val="0"/>
      <w:numFmt w:val="bullet"/>
      <w:lvlText w:val="•"/>
      <w:lvlJc w:val="left"/>
      <w:pPr>
        <w:ind w:left="7913" w:hanging="720"/>
      </w:pPr>
      <w:rPr>
        <w:rFonts w:hint="default"/>
        <w:lang w:val="zh-CN" w:eastAsia="zh-CN" w:bidi="zh-CN"/>
      </w:rPr>
    </w:lvl>
  </w:abstractNum>
  <w:abstractNum w:abstractNumId="27">
    <w:nsid w:val="56EA17A5"/>
    <w:multiLevelType w:val="multilevel"/>
    <w:tmpl w:val="56EA17A5"/>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12"/>
      <w:numFmt w:val="decimal"/>
      <w:lvlText w:val="%1.%2.%3.%4"/>
      <w:lvlJc w:val="left"/>
      <w:pPr>
        <w:ind w:left="424" w:hanging="903"/>
      </w:pPr>
      <w:rPr>
        <w:rFonts w:hint="default" w:ascii="Times New Roman" w:hAnsi="Times New Roman" w:eastAsia="Times New Roman" w:cs="Times New Roman"/>
        <w:w w:val="100"/>
        <w:sz w:val="24"/>
        <w:szCs w:val="24"/>
        <w:lang w:val="zh-CN" w:eastAsia="zh-CN" w:bidi="zh-CN"/>
      </w:rPr>
    </w:lvl>
    <w:lvl w:ilvl="4" w:tentative="0">
      <w:start w:val="0"/>
      <w:numFmt w:val="bullet"/>
      <w:lvlText w:val="•"/>
      <w:lvlJc w:val="left"/>
      <w:pPr>
        <w:ind w:left="960" w:hanging="903"/>
      </w:pPr>
      <w:rPr>
        <w:rFonts w:hint="default"/>
        <w:lang w:val="zh-CN" w:eastAsia="zh-CN" w:bidi="zh-CN"/>
      </w:rPr>
    </w:lvl>
    <w:lvl w:ilvl="5" w:tentative="0">
      <w:start w:val="0"/>
      <w:numFmt w:val="bullet"/>
      <w:lvlText w:val="•"/>
      <w:lvlJc w:val="left"/>
      <w:pPr>
        <w:ind w:left="1500" w:hanging="903"/>
      </w:pPr>
      <w:rPr>
        <w:rFonts w:hint="default"/>
        <w:lang w:val="zh-CN" w:eastAsia="zh-CN" w:bidi="zh-CN"/>
      </w:rPr>
    </w:lvl>
    <w:lvl w:ilvl="6" w:tentative="0">
      <w:start w:val="0"/>
      <w:numFmt w:val="bullet"/>
      <w:lvlText w:val="•"/>
      <w:lvlJc w:val="left"/>
      <w:pPr>
        <w:ind w:left="1620" w:hanging="903"/>
      </w:pPr>
      <w:rPr>
        <w:rFonts w:hint="default"/>
        <w:lang w:val="zh-CN" w:eastAsia="zh-CN" w:bidi="zh-CN"/>
      </w:rPr>
    </w:lvl>
    <w:lvl w:ilvl="7" w:tentative="0">
      <w:start w:val="0"/>
      <w:numFmt w:val="bullet"/>
      <w:lvlText w:val="•"/>
      <w:lvlJc w:val="left"/>
      <w:pPr>
        <w:ind w:left="3586" w:hanging="903"/>
      </w:pPr>
      <w:rPr>
        <w:rFonts w:hint="default"/>
        <w:lang w:val="zh-CN" w:eastAsia="zh-CN" w:bidi="zh-CN"/>
      </w:rPr>
    </w:lvl>
    <w:lvl w:ilvl="8" w:tentative="0">
      <w:start w:val="0"/>
      <w:numFmt w:val="bullet"/>
      <w:lvlText w:val="•"/>
      <w:lvlJc w:val="left"/>
      <w:pPr>
        <w:ind w:left="5553" w:hanging="903"/>
      </w:pPr>
      <w:rPr>
        <w:rFonts w:hint="default"/>
        <w:lang w:val="zh-CN" w:eastAsia="zh-CN" w:bidi="zh-CN"/>
      </w:rPr>
    </w:lvl>
  </w:abstractNum>
  <w:abstractNum w:abstractNumId="28">
    <w:nsid w:val="581B476B"/>
    <w:multiLevelType w:val="multilevel"/>
    <w:tmpl w:val="581B476B"/>
    <w:lvl w:ilvl="0" w:tentative="0">
      <w:start w:val="20"/>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422" w:hanging="540"/>
      </w:pPr>
      <w:rPr>
        <w:rFonts w:hint="default"/>
        <w:lang w:val="zh-CN" w:eastAsia="zh-CN" w:bidi="zh-CN"/>
      </w:rPr>
    </w:lvl>
    <w:lvl w:ilvl="3" w:tentative="0">
      <w:start w:val="0"/>
      <w:numFmt w:val="bullet"/>
      <w:lvlText w:val="•"/>
      <w:lvlJc w:val="left"/>
      <w:pPr>
        <w:ind w:left="3305" w:hanging="540"/>
      </w:pPr>
      <w:rPr>
        <w:rFonts w:hint="default"/>
        <w:lang w:val="zh-CN" w:eastAsia="zh-CN" w:bidi="zh-CN"/>
      </w:rPr>
    </w:lvl>
    <w:lvl w:ilvl="4" w:tentative="0">
      <w:start w:val="0"/>
      <w:numFmt w:val="bullet"/>
      <w:lvlText w:val="•"/>
      <w:lvlJc w:val="left"/>
      <w:pPr>
        <w:ind w:left="4188" w:hanging="540"/>
      </w:pPr>
      <w:rPr>
        <w:rFonts w:hint="default"/>
        <w:lang w:val="zh-CN" w:eastAsia="zh-CN" w:bidi="zh-CN"/>
      </w:rPr>
    </w:lvl>
    <w:lvl w:ilvl="5" w:tentative="0">
      <w:start w:val="0"/>
      <w:numFmt w:val="bullet"/>
      <w:lvlText w:val="•"/>
      <w:lvlJc w:val="left"/>
      <w:pPr>
        <w:ind w:left="5071" w:hanging="540"/>
      </w:pPr>
      <w:rPr>
        <w:rFonts w:hint="default"/>
        <w:lang w:val="zh-CN" w:eastAsia="zh-CN" w:bidi="zh-CN"/>
      </w:rPr>
    </w:lvl>
    <w:lvl w:ilvl="6" w:tentative="0">
      <w:start w:val="0"/>
      <w:numFmt w:val="bullet"/>
      <w:lvlText w:val="•"/>
      <w:lvlJc w:val="left"/>
      <w:pPr>
        <w:ind w:left="5954" w:hanging="540"/>
      </w:pPr>
      <w:rPr>
        <w:rFonts w:hint="default"/>
        <w:lang w:val="zh-CN" w:eastAsia="zh-CN" w:bidi="zh-CN"/>
      </w:rPr>
    </w:lvl>
    <w:lvl w:ilvl="7" w:tentative="0">
      <w:start w:val="0"/>
      <w:numFmt w:val="bullet"/>
      <w:lvlText w:val="•"/>
      <w:lvlJc w:val="left"/>
      <w:pPr>
        <w:ind w:left="6837" w:hanging="540"/>
      </w:pPr>
      <w:rPr>
        <w:rFonts w:hint="default"/>
        <w:lang w:val="zh-CN" w:eastAsia="zh-CN" w:bidi="zh-CN"/>
      </w:rPr>
    </w:lvl>
    <w:lvl w:ilvl="8" w:tentative="0">
      <w:start w:val="0"/>
      <w:numFmt w:val="bullet"/>
      <w:lvlText w:val="•"/>
      <w:lvlJc w:val="left"/>
      <w:pPr>
        <w:ind w:left="7720" w:hanging="540"/>
      </w:pPr>
      <w:rPr>
        <w:rFonts w:hint="default"/>
        <w:lang w:val="zh-CN" w:eastAsia="zh-CN" w:bidi="zh-CN"/>
      </w:rPr>
    </w:lvl>
  </w:abstractNum>
  <w:abstractNum w:abstractNumId="29">
    <w:nsid w:val="5E4256C7"/>
    <w:multiLevelType w:val="multilevel"/>
    <w:tmpl w:val="5E4256C7"/>
    <w:lvl w:ilvl="0" w:tentative="0">
      <w:start w:val="20"/>
      <w:numFmt w:val="decimal"/>
      <w:lvlText w:val="%1"/>
      <w:lvlJc w:val="left"/>
      <w:pPr>
        <w:ind w:left="1535" w:hanging="720"/>
      </w:pPr>
      <w:rPr>
        <w:rFonts w:hint="default"/>
        <w:lang w:val="zh-CN" w:eastAsia="zh-CN" w:bidi="zh-CN"/>
      </w:rPr>
    </w:lvl>
    <w:lvl w:ilvl="1" w:tentative="0">
      <w:start w:val="6"/>
      <w:numFmt w:val="decimal"/>
      <w:lvlText w:val="%1.%2"/>
      <w:lvlJc w:val="left"/>
      <w:pPr>
        <w:ind w:left="1535" w:hanging="720"/>
      </w:pPr>
      <w:rPr>
        <w:rFonts w:hint="default"/>
        <w:lang w:val="zh-CN" w:eastAsia="zh-CN" w:bidi="zh-CN"/>
      </w:rPr>
    </w:lvl>
    <w:lvl w:ilvl="2" w:tentative="0">
      <w:start w:val="3"/>
      <w:numFmt w:val="decimal"/>
      <w:lvlText w:val="%1.%2.%3"/>
      <w:lvlJc w:val="left"/>
      <w:pPr>
        <w:ind w:left="1535"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23" w:hanging="720"/>
      </w:pPr>
      <w:rPr>
        <w:rFonts w:hint="default"/>
        <w:lang w:val="zh-CN" w:eastAsia="zh-CN" w:bidi="zh-CN"/>
      </w:rPr>
    </w:lvl>
    <w:lvl w:ilvl="4" w:tentative="0">
      <w:start w:val="0"/>
      <w:numFmt w:val="bullet"/>
      <w:lvlText w:val="•"/>
      <w:lvlJc w:val="left"/>
      <w:pPr>
        <w:ind w:left="4718" w:hanging="720"/>
      </w:pPr>
      <w:rPr>
        <w:rFonts w:hint="default"/>
        <w:lang w:val="zh-CN" w:eastAsia="zh-CN" w:bidi="zh-CN"/>
      </w:rPr>
    </w:lvl>
    <w:lvl w:ilvl="5" w:tentative="0">
      <w:start w:val="0"/>
      <w:numFmt w:val="bullet"/>
      <w:lvlText w:val="•"/>
      <w:lvlJc w:val="left"/>
      <w:pPr>
        <w:ind w:left="5513" w:hanging="720"/>
      </w:pPr>
      <w:rPr>
        <w:rFonts w:hint="default"/>
        <w:lang w:val="zh-CN" w:eastAsia="zh-CN" w:bidi="zh-CN"/>
      </w:rPr>
    </w:lvl>
    <w:lvl w:ilvl="6" w:tentative="0">
      <w:start w:val="0"/>
      <w:numFmt w:val="bullet"/>
      <w:lvlText w:val="•"/>
      <w:lvlJc w:val="left"/>
      <w:pPr>
        <w:ind w:left="6307" w:hanging="720"/>
      </w:pPr>
      <w:rPr>
        <w:rFonts w:hint="default"/>
        <w:lang w:val="zh-CN" w:eastAsia="zh-CN" w:bidi="zh-CN"/>
      </w:rPr>
    </w:lvl>
    <w:lvl w:ilvl="7" w:tentative="0">
      <w:start w:val="0"/>
      <w:numFmt w:val="bullet"/>
      <w:lvlText w:val="•"/>
      <w:lvlJc w:val="left"/>
      <w:pPr>
        <w:ind w:left="7102" w:hanging="720"/>
      </w:pPr>
      <w:rPr>
        <w:rFonts w:hint="default"/>
        <w:lang w:val="zh-CN" w:eastAsia="zh-CN" w:bidi="zh-CN"/>
      </w:rPr>
    </w:lvl>
    <w:lvl w:ilvl="8" w:tentative="0">
      <w:start w:val="0"/>
      <w:numFmt w:val="bullet"/>
      <w:lvlText w:val="•"/>
      <w:lvlJc w:val="left"/>
      <w:pPr>
        <w:ind w:left="7897" w:hanging="720"/>
      </w:pPr>
      <w:rPr>
        <w:rFonts w:hint="default"/>
        <w:lang w:val="zh-CN" w:eastAsia="zh-CN" w:bidi="zh-CN"/>
      </w:rPr>
    </w:lvl>
  </w:abstractNum>
  <w:abstractNum w:abstractNumId="30">
    <w:nsid w:val="60573269"/>
    <w:multiLevelType w:val="multilevel"/>
    <w:tmpl w:val="60573269"/>
    <w:lvl w:ilvl="0" w:tentative="0">
      <w:start w:val="1"/>
      <w:numFmt w:val="decimal"/>
      <w:lvlText w:val="%1."/>
      <w:lvlJc w:val="left"/>
      <w:pPr>
        <w:ind w:left="789" w:hanging="420"/>
      </w:pPr>
      <w:rPr>
        <w:rFonts w:hint="default" w:ascii="黑体" w:hAnsi="黑体" w:eastAsia="黑体" w:cs="黑体"/>
        <w:w w:val="100"/>
        <w:sz w:val="28"/>
        <w:szCs w:val="28"/>
        <w:lang w:val="zh-CN" w:eastAsia="zh-CN" w:bidi="zh-CN"/>
      </w:rPr>
    </w:lvl>
    <w:lvl w:ilvl="1" w:tentative="0">
      <w:start w:val="1"/>
      <w:numFmt w:val="decimal"/>
      <w:lvlText w:val="%1.%2"/>
      <w:lvlJc w:val="left"/>
      <w:pPr>
        <w:ind w:left="369" w:hanging="543"/>
      </w:pPr>
      <w:rPr>
        <w:rFonts w:hint="default"/>
        <w:spacing w:val="-1"/>
        <w:w w:val="100"/>
        <w:lang w:val="zh-CN" w:eastAsia="zh-CN" w:bidi="zh-CN"/>
      </w:rPr>
    </w:lvl>
    <w:lvl w:ilvl="2" w:tentative="0">
      <w:start w:val="1"/>
      <w:numFmt w:val="decimal"/>
      <w:lvlText w:val="%1.%2.%3"/>
      <w:lvlJc w:val="left"/>
      <w:pPr>
        <w:ind w:left="1449" w:hanging="543"/>
      </w:pPr>
      <w:rPr>
        <w:rFonts w:hint="default" w:ascii="Times New Roman" w:hAnsi="Times New Roman" w:eastAsia="Times New Roman" w:cs="Times New Roman"/>
        <w:spacing w:val="-226"/>
        <w:w w:val="100"/>
        <w:sz w:val="24"/>
        <w:szCs w:val="24"/>
        <w:lang w:val="zh-CN" w:eastAsia="zh-CN" w:bidi="zh-CN"/>
      </w:rPr>
    </w:lvl>
    <w:lvl w:ilvl="3" w:tentative="0">
      <w:start w:val="0"/>
      <w:numFmt w:val="bullet"/>
      <w:lvlText w:val="•"/>
      <w:lvlJc w:val="left"/>
      <w:pPr>
        <w:ind w:left="900" w:hanging="543"/>
      </w:pPr>
      <w:rPr>
        <w:rFonts w:hint="default"/>
        <w:lang w:val="zh-CN" w:eastAsia="zh-CN" w:bidi="zh-CN"/>
      </w:rPr>
    </w:lvl>
    <w:lvl w:ilvl="4" w:tentative="0">
      <w:start w:val="0"/>
      <w:numFmt w:val="bullet"/>
      <w:lvlText w:val="•"/>
      <w:lvlJc w:val="left"/>
      <w:pPr>
        <w:ind w:left="1440" w:hanging="543"/>
      </w:pPr>
      <w:rPr>
        <w:rFonts w:hint="default"/>
        <w:lang w:val="zh-CN" w:eastAsia="zh-CN" w:bidi="zh-CN"/>
      </w:rPr>
    </w:lvl>
    <w:lvl w:ilvl="5" w:tentative="0">
      <w:start w:val="0"/>
      <w:numFmt w:val="bullet"/>
      <w:lvlText w:val="•"/>
      <w:lvlJc w:val="left"/>
      <w:pPr>
        <w:ind w:left="2781" w:hanging="543"/>
      </w:pPr>
      <w:rPr>
        <w:rFonts w:hint="default"/>
        <w:lang w:val="zh-CN" w:eastAsia="zh-CN" w:bidi="zh-CN"/>
      </w:rPr>
    </w:lvl>
    <w:lvl w:ilvl="6" w:tentative="0">
      <w:start w:val="0"/>
      <w:numFmt w:val="bullet"/>
      <w:lvlText w:val="•"/>
      <w:lvlJc w:val="left"/>
      <w:pPr>
        <w:ind w:left="4122" w:hanging="543"/>
      </w:pPr>
      <w:rPr>
        <w:rFonts w:hint="default"/>
        <w:lang w:val="zh-CN" w:eastAsia="zh-CN" w:bidi="zh-CN"/>
      </w:rPr>
    </w:lvl>
    <w:lvl w:ilvl="7" w:tentative="0">
      <w:start w:val="0"/>
      <w:numFmt w:val="bullet"/>
      <w:lvlText w:val="•"/>
      <w:lvlJc w:val="left"/>
      <w:pPr>
        <w:ind w:left="5463" w:hanging="543"/>
      </w:pPr>
      <w:rPr>
        <w:rFonts w:hint="default"/>
        <w:lang w:val="zh-CN" w:eastAsia="zh-CN" w:bidi="zh-CN"/>
      </w:rPr>
    </w:lvl>
    <w:lvl w:ilvl="8" w:tentative="0">
      <w:start w:val="0"/>
      <w:numFmt w:val="bullet"/>
      <w:lvlText w:val="•"/>
      <w:lvlJc w:val="left"/>
      <w:pPr>
        <w:ind w:left="6804" w:hanging="543"/>
      </w:pPr>
      <w:rPr>
        <w:rFonts w:hint="default"/>
        <w:lang w:val="zh-CN" w:eastAsia="zh-CN" w:bidi="zh-CN"/>
      </w:rPr>
    </w:lvl>
  </w:abstractNum>
  <w:abstractNum w:abstractNumId="31">
    <w:nsid w:val="61FB2F6D"/>
    <w:multiLevelType w:val="multilevel"/>
    <w:tmpl w:val="61FB2F6D"/>
    <w:lvl w:ilvl="0" w:tentative="0">
      <w:start w:val="1"/>
      <w:numFmt w:val="decimal"/>
      <w:lvlText w:val="%1."/>
      <w:lvlJc w:val="left"/>
      <w:pPr>
        <w:ind w:left="844" w:hanging="420"/>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pPr>
      <w:rPr>
        <w:rFonts w:hint="default" w:ascii="黑体" w:hAnsi="黑体" w:eastAsia="黑体" w:cs="黑体"/>
        <w:w w:val="100"/>
        <w:sz w:val="24"/>
        <w:szCs w:val="24"/>
        <w:lang w:val="zh-CN" w:eastAsia="zh-CN" w:bidi="zh-CN"/>
      </w:rPr>
    </w:lvl>
    <w:lvl w:ilvl="2" w:tentative="0">
      <w:start w:val="1"/>
      <w:numFmt w:val="decimal"/>
      <w:lvlText w:val="%1.%2.%3"/>
      <w:lvlJc w:val="left"/>
      <w:pPr>
        <w:ind w:left="424" w:hanging="600"/>
      </w:pPr>
      <w:rPr>
        <w:rFonts w:hint="default" w:ascii="Times New Roman" w:hAnsi="Times New Roman" w:eastAsia="Times New Roman" w:cs="Times New Roman"/>
        <w:spacing w:val="-120"/>
        <w:w w:val="100"/>
        <w:sz w:val="24"/>
        <w:szCs w:val="24"/>
        <w:lang w:val="zh-CN" w:eastAsia="zh-CN" w:bidi="zh-CN"/>
      </w:rPr>
    </w:lvl>
    <w:lvl w:ilvl="3" w:tentative="0">
      <w:start w:val="1"/>
      <w:numFmt w:val="upperLetter"/>
      <w:lvlText w:val="%4."/>
      <w:lvlJc w:val="left"/>
      <w:pPr>
        <w:ind w:left="3396" w:hanging="468"/>
      </w:pPr>
      <w:rPr>
        <w:rFonts w:hint="default" w:ascii="Times New Roman" w:hAnsi="Times New Roman" w:eastAsia="Times New Roman" w:cs="Times New Roman"/>
        <w:w w:val="99"/>
        <w:sz w:val="32"/>
        <w:szCs w:val="32"/>
        <w:lang w:val="zh-CN" w:eastAsia="zh-CN" w:bidi="zh-CN"/>
      </w:rPr>
    </w:lvl>
    <w:lvl w:ilvl="4" w:tentative="0">
      <w:start w:val="0"/>
      <w:numFmt w:val="bullet"/>
      <w:lvlText w:val="•"/>
      <w:lvlJc w:val="left"/>
      <w:pPr>
        <w:ind w:left="4269" w:hanging="468"/>
      </w:pPr>
      <w:rPr>
        <w:rFonts w:hint="default"/>
        <w:lang w:val="zh-CN" w:eastAsia="zh-CN" w:bidi="zh-CN"/>
      </w:rPr>
    </w:lvl>
    <w:lvl w:ilvl="5" w:tentative="0">
      <w:start w:val="0"/>
      <w:numFmt w:val="bullet"/>
      <w:lvlText w:val="•"/>
      <w:lvlJc w:val="left"/>
      <w:pPr>
        <w:ind w:left="5138" w:hanging="468"/>
      </w:pPr>
      <w:rPr>
        <w:rFonts w:hint="default"/>
        <w:lang w:val="zh-CN" w:eastAsia="zh-CN" w:bidi="zh-CN"/>
      </w:rPr>
    </w:lvl>
    <w:lvl w:ilvl="6" w:tentative="0">
      <w:start w:val="0"/>
      <w:numFmt w:val="bullet"/>
      <w:lvlText w:val="•"/>
      <w:lvlJc w:val="left"/>
      <w:pPr>
        <w:ind w:left="6008" w:hanging="468"/>
      </w:pPr>
      <w:rPr>
        <w:rFonts w:hint="default"/>
        <w:lang w:val="zh-CN" w:eastAsia="zh-CN" w:bidi="zh-CN"/>
      </w:rPr>
    </w:lvl>
    <w:lvl w:ilvl="7" w:tentative="0">
      <w:start w:val="0"/>
      <w:numFmt w:val="bullet"/>
      <w:lvlText w:val="•"/>
      <w:lvlJc w:val="left"/>
      <w:pPr>
        <w:ind w:left="6877" w:hanging="468"/>
      </w:pPr>
      <w:rPr>
        <w:rFonts w:hint="default"/>
        <w:lang w:val="zh-CN" w:eastAsia="zh-CN" w:bidi="zh-CN"/>
      </w:rPr>
    </w:lvl>
    <w:lvl w:ilvl="8" w:tentative="0">
      <w:start w:val="0"/>
      <w:numFmt w:val="bullet"/>
      <w:lvlText w:val="•"/>
      <w:lvlJc w:val="left"/>
      <w:pPr>
        <w:ind w:left="7747" w:hanging="468"/>
      </w:pPr>
      <w:rPr>
        <w:rFonts w:hint="default"/>
        <w:lang w:val="zh-CN" w:eastAsia="zh-CN" w:bidi="zh-CN"/>
      </w:rPr>
    </w:lvl>
  </w:abstractNum>
  <w:abstractNum w:abstractNumId="32">
    <w:nsid w:val="63E50983"/>
    <w:multiLevelType w:val="multilevel"/>
    <w:tmpl w:val="63E50983"/>
    <w:lvl w:ilvl="0" w:tentative="0">
      <w:start w:val="22"/>
      <w:numFmt w:val="decimal"/>
      <w:lvlText w:val="%1"/>
      <w:lvlJc w:val="left"/>
      <w:pPr>
        <w:ind w:left="1624" w:hanging="720"/>
      </w:pPr>
      <w:rPr>
        <w:rFonts w:hint="default"/>
        <w:lang w:val="zh-CN" w:eastAsia="zh-CN" w:bidi="zh-CN"/>
      </w:rPr>
    </w:lvl>
    <w:lvl w:ilvl="1" w:tentative="0">
      <w:start w:val="1"/>
      <w:numFmt w:val="decimal"/>
      <w:lvlText w:val="%1.%2"/>
      <w:lvlJc w:val="left"/>
      <w:pPr>
        <w:ind w:left="1624" w:hanging="720"/>
        <w:jc w:val="right"/>
      </w:pPr>
      <w:rPr>
        <w:rFonts w:hint="default"/>
        <w:lang w:val="zh-CN" w:eastAsia="zh-CN" w:bidi="zh-CN"/>
      </w:rPr>
    </w:lvl>
    <w:lvl w:ilvl="2" w:tentative="0">
      <w:start w:val="1"/>
      <w:numFmt w:val="decimal"/>
      <w:lvlText w:val="%1.%2.%3"/>
      <w:lvlJc w:val="left"/>
      <w:pPr>
        <w:ind w:left="16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68" w:hanging="720"/>
      </w:pPr>
      <w:rPr>
        <w:rFonts w:hint="default"/>
        <w:lang w:val="zh-CN" w:eastAsia="zh-CN" w:bidi="zh-CN"/>
      </w:rPr>
    </w:lvl>
    <w:lvl w:ilvl="4" w:tentative="0">
      <w:start w:val="0"/>
      <w:numFmt w:val="bullet"/>
      <w:lvlText w:val="•"/>
      <w:lvlJc w:val="left"/>
      <w:pPr>
        <w:ind w:left="4242" w:hanging="720"/>
      </w:pPr>
      <w:rPr>
        <w:rFonts w:hint="default"/>
        <w:lang w:val="zh-CN" w:eastAsia="zh-CN" w:bidi="zh-CN"/>
      </w:rPr>
    </w:lvl>
    <w:lvl w:ilvl="5" w:tentative="0">
      <w:start w:val="0"/>
      <w:numFmt w:val="bullet"/>
      <w:lvlText w:val="•"/>
      <w:lvlJc w:val="left"/>
      <w:pPr>
        <w:ind w:left="5116" w:hanging="720"/>
      </w:pPr>
      <w:rPr>
        <w:rFonts w:hint="default"/>
        <w:lang w:val="zh-CN" w:eastAsia="zh-CN" w:bidi="zh-CN"/>
      </w:rPr>
    </w:lvl>
    <w:lvl w:ilvl="6" w:tentative="0">
      <w:start w:val="0"/>
      <w:numFmt w:val="bullet"/>
      <w:lvlText w:val="•"/>
      <w:lvlJc w:val="left"/>
      <w:pPr>
        <w:ind w:left="5990" w:hanging="720"/>
      </w:pPr>
      <w:rPr>
        <w:rFonts w:hint="default"/>
        <w:lang w:val="zh-CN" w:eastAsia="zh-CN" w:bidi="zh-CN"/>
      </w:rPr>
    </w:lvl>
    <w:lvl w:ilvl="7" w:tentative="0">
      <w:start w:val="0"/>
      <w:numFmt w:val="bullet"/>
      <w:lvlText w:val="•"/>
      <w:lvlJc w:val="left"/>
      <w:pPr>
        <w:ind w:left="6864" w:hanging="720"/>
      </w:pPr>
      <w:rPr>
        <w:rFonts w:hint="default"/>
        <w:lang w:val="zh-CN" w:eastAsia="zh-CN" w:bidi="zh-CN"/>
      </w:rPr>
    </w:lvl>
    <w:lvl w:ilvl="8" w:tentative="0">
      <w:start w:val="0"/>
      <w:numFmt w:val="bullet"/>
      <w:lvlText w:val="•"/>
      <w:lvlJc w:val="left"/>
      <w:pPr>
        <w:ind w:left="7738" w:hanging="720"/>
      </w:pPr>
      <w:rPr>
        <w:rFonts w:hint="default"/>
        <w:lang w:val="zh-CN" w:eastAsia="zh-CN" w:bidi="zh-CN"/>
      </w:rPr>
    </w:lvl>
  </w:abstractNum>
  <w:abstractNum w:abstractNumId="33">
    <w:nsid w:val="63FD1D90"/>
    <w:multiLevelType w:val="multilevel"/>
    <w:tmpl w:val="63FD1D90"/>
    <w:lvl w:ilvl="0" w:tentative="0">
      <w:start w:val="1"/>
      <w:numFmt w:val="decimal"/>
      <w:lvlText w:val="%1."/>
      <w:lvlJc w:val="left"/>
      <w:pPr>
        <w:ind w:left="844" w:hanging="420"/>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pPr>
      <w:rPr>
        <w:rFonts w:hint="default" w:ascii="黑体" w:hAnsi="黑体" w:eastAsia="黑体" w:cs="黑体"/>
        <w:w w:val="100"/>
        <w:sz w:val="24"/>
        <w:szCs w:val="24"/>
        <w:lang w:val="zh-CN" w:eastAsia="zh-CN" w:bidi="zh-CN"/>
      </w:rPr>
    </w:lvl>
    <w:lvl w:ilvl="2" w:tentative="0">
      <w:start w:val="1"/>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00" w:hanging="600"/>
      </w:pPr>
      <w:rPr>
        <w:rFonts w:hint="default"/>
        <w:lang w:val="zh-CN" w:eastAsia="zh-CN" w:bidi="zh-CN"/>
      </w:rPr>
    </w:lvl>
    <w:lvl w:ilvl="4" w:tentative="0">
      <w:start w:val="0"/>
      <w:numFmt w:val="bullet"/>
      <w:lvlText w:val="•"/>
      <w:lvlJc w:val="left"/>
      <w:pPr>
        <w:ind w:left="2640" w:hanging="600"/>
      </w:pPr>
      <w:rPr>
        <w:rFonts w:hint="default"/>
        <w:lang w:val="zh-CN" w:eastAsia="zh-CN" w:bidi="zh-CN"/>
      </w:rPr>
    </w:lvl>
    <w:lvl w:ilvl="5" w:tentative="0">
      <w:start w:val="0"/>
      <w:numFmt w:val="bullet"/>
      <w:lvlText w:val="•"/>
      <w:lvlJc w:val="left"/>
      <w:pPr>
        <w:ind w:left="3781" w:hanging="600"/>
      </w:pPr>
      <w:rPr>
        <w:rFonts w:hint="default"/>
        <w:lang w:val="zh-CN" w:eastAsia="zh-CN" w:bidi="zh-CN"/>
      </w:rPr>
    </w:lvl>
    <w:lvl w:ilvl="6" w:tentative="0">
      <w:start w:val="0"/>
      <w:numFmt w:val="bullet"/>
      <w:lvlText w:val="•"/>
      <w:lvlJc w:val="left"/>
      <w:pPr>
        <w:ind w:left="4922" w:hanging="600"/>
      </w:pPr>
      <w:rPr>
        <w:rFonts w:hint="default"/>
        <w:lang w:val="zh-CN" w:eastAsia="zh-CN" w:bidi="zh-CN"/>
      </w:rPr>
    </w:lvl>
    <w:lvl w:ilvl="7" w:tentative="0">
      <w:start w:val="0"/>
      <w:numFmt w:val="bullet"/>
      <w:lvlText w:val="•"/>
      <w:lvlJc w:val="left"/>
      <w:pPr>
        <w:ind w:left="6063" w:hanging="600"/>
      </w:pPr>
      <w:rPr>
        <w:rFonts w:hint="default"/>
        <w:lang w:val="zh-CN" w:eastAsia="zh-CN" w:bidi="zh-CN"/>
      </w:rPr>
    </w:lvl>
    <w:lvl w:ilvl="8" w:tentative="0">
      <w:start w:val="0"/>
      <w:numFmt w:val="bullet"/>
      <w:lvlText w:val="•"/>
      <w:lvlJc w:val="left"/>
      <w:pPr>
        <w:ind w:left="7204" w:hanging="600"/>
      </w:pPr>
      <w:rPr>
        <w:rFonts w:hint="default"/>
        <w:lang w:val="zh-CN" w:eastAsia="zh-CN" w:bidi="zh-CN"/>
      </w:rPr>
    </w:lvl>
  </w:abstractNum>
  <w:abstractNum w:abstractNumId="34">
    <w:nsid w:val="6BB13A2E"/>
    <w:multiLevelType w:val="multilevel"/>
    <w:tmpl w:val="6BB13A2E"/>
    <w:lvl w:ilvl="0" w:tentative="0">
      <w:start w:val="1"/>
      <w:numFmt w:val="decimal"/>
      <w:lvlText w:val="%1."/>
      <w:lvlJc w:val="left"/>
      <w:pPr>
        <w:ind w:left="717" w:hanging="348"/>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369" w:hanging="420"/>
      </w:pPr>
      <w:rPr>
        <w:rFonts w:hint="default" w:ascii="Times New Roman" w:hAnsi="Times New Roman" w:eastAsia="Times New Roman" w:cs="Times New Roman"/>
        <w:spacing w:val="-51"/>
        <w:w w:val="100"/>
        <w:sz w:val="24"/>
        <w:szCs w:val="24"/>
        <w:lang w:val="zh-CN" w:eastAsia="zh-CN" w:bidi="zh-CN"/>
      </w:rPr>
    </w:lvl>
    <w:lvl w:ilvl="2" w:tentative="0">
      <w:start w:val="0"/>
      <w:numFmt w:val="bullet"/>
      <w:lvlText w:val="•"/>
      <w:lvlJc w:val="left"/>
      <w:pPr>
        <w:ind w:left="1260" w:hanging="420"/>
      </w:pPr>
      <w:rPr>
        <w:rFonts w:hint="default"/>
        <w:lang w:val="zh-CN" w:eastAsia="zh-CN" w:bidi="zh-CN"/>
      </w:rPr>
    </w:lvl>
    <w:lvl w:ilvl="3" w:tentative="0">
      <w:start w:val="0"/>
      <w:numFmt w:val="bullet"/>
      <w:lvlText w:val="•"/>
      <w:lvlJc w:val="left"/>
      <w:pPr>
        <w:ind w:left="2288" w:hanging="420"/>
      </w:pPr>
      <w:rPr>
        <w:rFonts w:hint="default"/>
        <w:lang w:val="zh-CN" w:eastAsia="zh-CN" w:bidi="zh-CN"/>
      </w:rPr>
    </w:lvl>
    <w:lvl w:ilvl="4" w:tentative="0">
      <w:start w:val="0"/>
      <w:numFmt w:val="bullet"/>
      <w:lvlText w:val="•"/>
      <w:lvlJc w:val="left"/>
      <w:pPr>
        <w:ind w:left="3316" w:hanging="420"/>
      </w:pPr>
      <w:rPr>
        <w:rFonts w:hint="default"/>
        <w:lang w:val="zh-CN" w:eastAsia="zh-CN" w:bidi="zh-CN"/>
      </w:rPr>
    </w:lvl>
    <w:lvl w:ilvl="5" w:tentative="0">
      <w:start w:val="0"/>
      <w:numFmt w:val="bullet"/>
      <w:lvlText w:val="•"/>
      <w:lvlJc w:val="left"/>
      <w:pPr>
        <w:ind w:left="4344" w:hanging="420"/>
      </w:pPr>
      <w:rPr>
        <w:rFonts w:hint="default"/>
        <w:lang w:val="zh-CN" w:eastAsia="zh-CN" w:bidi="zh-CN"/>
      </w:rPr>
    </w:lvl>
    <w:lvl w:ilvl="6" w:tentative="0">
      <w:start w:val="0"/>
      <w:numFmt w:val="bullet"/>
      <w:lvlText w:val="•"/>
      <w:lvlJc w:val="left"/>
      <w:pPr>
        <w:ind w:left="5373" w:hanging="420"/>
      </w:pPr>
      <w:rPr>
        <w:rFonts w:hint="default"/>
        <w:lang w:val="zh-CN" w:eastAsia="zh-CN" w:bidi="zh-CN"/>
      </w:rPr>
    </w:lvl>
    <w:lvl w:ilvl="7" w:tentative="0">
      <w:start w:val="0"/>
      <w:numFmt w:val="bullet"/>
      <w:lvlText w:val="•"/>
      <w:lvlJc w:val="left"/>
      <w:pPr>
        <w:ind w:left="6401" w:hanging="420"/>
      </w:pPr>
      <w:rPr>
        <w:rFonts w:hint="default"/>
        <w:lang w:val="zh-CN" w:eastAsia="zh-CN" w:bidi="zh-CN"/>
      </w:rPr>
    </w:lvl>
    <w:lvl w:ilvl="8" w:tentative="0">
      <w:start w:val="0"/>
      <w:numFmt w:val="bullet"/>
      <w:lvlText w:val="•"/>
      <w:lvlJc w:val="left"/>
      <w:pPr>
        <w:ind w:left="7429" w:hanging="420"/>
      </w:pPr>
      <w:rPr>
        <w:rFonts w:hint="default"/>
        <w:lang w:val="zh-CN" w:eastAsia="zh-CN" w:bidi="zh-CN"/>
      </w:rPr>
    </w:lvl>
  </w:abstractNum>
  <w:abstractNum w:abstractNumId="35">
    <w:nsid w:val="6ED652FF"/>
    <w:multiLevelType w:val="multilevel"/>
    <w:tmpl w:val="6ED652FF"/>
    <w:lvl w:ilvl="0" w:tentative="0">
      <w:start w:val="6"/>
      <w:numFmt w:val="decimal"/>
      <w:lvlText w:val="%1"/>
      <w:lvlJc w:val="left"/>
      <w:pPr>
        <w:ind w:left="369" w:hanging="600"/>
      </w:pPr>
      <w:rPr>
        <w:rFonts w:hint="default"/>
        <w:lang w:val="zh-CN" w:eastAsia="zh-CN" w:bidi="zh-CN"/>
      </w:rPr>
    </w:lvl>
    <w:lvl w:ilvl="1" w:tentative="0">
      <w:start w:val="1"/>
      <w:numFmt w:val="decimal"/>
      <w:lvlText w:val="%1.%2"/>
      <w:lvlJc w:val="left"/>
      <w:pPr>
        <w:ind w:left="369" w:hanging="600"/>
        <w:jc w:val="right"/>
      </w:pPr>
      <w:rPr>
        <w:rFonts w:hint="default"/>
        <w:lang w:val="zh-CN" w:eastAsia="zh-CN" w:bidi="zh-CN"/>
      </w:rPr>
    </w:lvl>
    <w:lvl w:ilvl="2" w:tentative="0">
      <w:start w:val="2"/>
      <w:numFmt w:val="decimal"/>
      <w:lvlText w:val="%1.%2.%3"/>
      <w:lvlJc w:val="left"/>
      <w:pPr>
        <w:ind w:left="369"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097" w:hanging="600"/>
      </w:pPr>
      <w:rPr>
        <w:rFonts w:hint="default"/>
        <w:lang w:val="zh-CN" w:eastAsia="zh-CN" w:bidi="zh-CN"/>
      </w:rPr>
    </w:lvl>
    <w:lvl w:ilvl="4" w:tentative="0">
      <w:start w:val="0"/>
      <w:numFmt w:val="bullet"/>
      <w:lvlText w:val="•"/>
      <w:lvlJc w:val="left"/>
      <w:pPr>
        <w:ind w:left="4010" w:hanging="600"/>
      </w:pPr>
      <w:rPr>
        <w:rFonts w:hint="default"/>
        <w:lang w:val="zh-CN" w:eastAsia="zh-CN" w:bidi="zh-CN"/>
      </w:rPr>
    </w:lvl>
    <w:lvl w:ilvl="5" w:tentative="0">
      <w:start w:val="0"/>
      <w:numFmt w:val="bullet"/>
      <w:lvlText w:val="•"/>
      <w:lvlJc w:val="left"/>
      <w:pPr>
        <w:ind w:left="4923" w:hanging="600"/>
      </w:pPr>
      <w:rPr>
        <w:rFonts w:hint="default"/>
        <w:lang w:val="zh-CN" w:eastAsia="zh-CN" w:bidi="zh-CN"/>
      </w:rPr>
    </w:lvl>
    <w:lvl w:ilvl="6" w:tentative="0">
      <w:start w:val="0"/>
      <w:numFmt w:val="bullet"/>
      <w:lvlText w:val="•"/>
      <w:lvlJc w:val="left"/>
      <w:pPr>
        <w:ind w:left="5835" w:hanging="600"/>
      </w:pPr>
      <w:rPr>
        <w:rFonts w:hint="default"/>
        <w:lang w:val="zh-CN" w:eastAsia="zh-CN" w:bidi="zh-CN"/>
      </w:rPr>
    </w:lvl>
    <w:lvl w:ilvl="7" w:tentative="0">
      <w:start w:val="0"/>
      <w:numFmt w:val="bullet"/>
      <w:lvlText w:val="•"/>
      <w:lvlJc w:val="left"/>
      <w:pPr>
        <w:ind w:left="6748" w:hanging="600"/>
      </w:pPr>
      <w:rPr>
        <w:rFonts w:hint="default"/>
        <w:lang w:val="zh-CN" w:eastAsia="zh-CN" w:bidi="zh-CN"/>
      </w:rPr>
    </w:lvl>
    <w:lvl w:ilvl="8" w:tentative="0">
      <w:start w:val="0"/>
      <w:numFmt w:val="bullet"/>
      <w:lvlText w:val="•"/>
      <w:lvlJc w:val="left"/>
      <w:pPr>
        <w:ind w:left="7661" w:hanging="600"/>
      </w:pPr>
      <w:rPr>
        <w:rFonts w:hint="default"/>
        <w:lang w:val="zh-CN" w:eastAsia="zh-CN" w:bidi="zh-CN"/>
      </w:rPr>
    </w:lvl>
  </w:abstractNum>
  <w:abstractNum w:abstractNumId="36">
    <w:nsid w:val="6F1973B1"/>
    <w:multiLevelType w:val="multilevel"/>
    <w:tmpl w:val="6F1973B1"/>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spacing w:val="-43"/>
        <w:w w:val="100"/>
        <w:sz w:val="24"/>
        <w:szCs w:val="24"/>
        <w:lang w:val="zh-CN" w:eastAsia="zh-CN" w:bidi="zh-CN"/>
      </w:rPr>
    </w:lvl>
    <w:lvl w:ilvl="3" w:tentative="0">
      <w:start w:val="1"/>
      <w:numFmt w:val="decimal"/>
      <w:lvlText w:val="%4."/>
      <w:lvlJc w:val="left"/>
      <w:pPr>
        <w:ind w:left="424" w:hanging="300"/>
      </w:pPr>
      <w:rPr>
        <w:rFonts w:hint="default" w:ascii="Times New Roman" w:hAnsi="Times New Roman" w:eastAsia="Times New Roman" w:cs="Times New Roman"/>
        <w:spacing w:val="-4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37">
    <w:nsid w:val="70A5396A"/>
    <w:multiLevelType w:val="multilevel"/>
    <w:tmpl w:val="70A5396A"/>
    <w:lvl w:ilvl="0" w:tentative="0">
      <w:start w:val="5"/>
      <w:numFmt w:val="decimal"/>
      <w:lvlText w:val="%1"/>
      <w:lvlJc w:val="left"/>
      <w:pPr>
        <w:ind w:left="789" w:hanging="420"/>
      </w:pPr>
      <w:rPr>
        <w:rFonts w:hint="default"/>
        <w:lang w:val="zh-CN" w:eastAsia="zh-CN" w:bidi="zh-CN"/>
      </w:rPr>
    </w:lvl>
    <w:lvl w:ilvl="1" w:tentative="0">
      <w:start w:val="3"/>
      <w:numFmt w:val="decimal"/>
      <w:lvlText w:val="%1.%2"/>
      <w:lvlJc w:val="left"/>
      <w:pPr>
        <w:ind w:left="789" w:hanging="420"/>
      </w:pPr>
      <w:rPr>
        <w:rFonts w:hint="default" w:ascii="黑体" w:hAnsi="黑体" w:eastAsia="黑体" w:cs="黑体"/>
        <w:w w:val="100"/>
        <w:sz w:val="24"/>
        <w:szCs w:val="24"/>
        <w:lang w:val="zh-CN" w:eastAsia="zh-CN" w:bidi="zh-CN"/>
      </w:rPr>
    </w:lvl>
    <w:lvl w:ilvl="2" w:tentative="0">
      <w:start w:val="1"/>
      <w:numFmt w:val="decimal"/>
      <w:lvlText w:val="%1.%2.%3"/>
      <w:lvlJc w:val="left"/>
      <w:pPr>
        <w:ind w:left="369" w:hanging="600"/>
      </w:pPr>
      <w:rPr>
        <w:rFonts w:hint="default" w:ascii="Times New Roman" w:hAnsi="Times New Roman" w:eastAsia="宋体" w:cs="Times New Roman"/>
        <w:w w:val="100"/>
        <w:sz w:val="24"/>
        <w:szCs w:val="24"/>
        <w:lang w:val="zh-CN" w:eastAsia="zh-CN" w:bidi="zh-CN"/>
      </w:rPr>
    </w:lvl>
    <w:lvl w:ilvl="3" w:tentative="0">
      <w:start w:val="0"/>
      <w:numFmt w:val="bullet"/>
      <w:lvlText w:val="•"/>
      <w:lvlJc w:val="left"/>
      <w:pPr>
        <w:ind w:left="2714" w:hanging="600"/>
      </w:pPr>
      <w:rPr>
        <w:rFonts w:hint="default"/>
        <w:lang w:val="zh-CN" w:eastAsia="zh-CN" w:bidi="zh-CN"/>
      </w:rPr>
    </w:lvl>
    <w:lvl w:ilvl="4" w:tentative="0">
      <w:start w:val="0"/>
      <w:numFmt w:val="bullet"/>
      <w:lvlText w:val="•"/>
      <w:lvlJc w:val="left"/>
      <w:pPr>
        <w:ind w:left="3682" w:hanging="600"/>
      </w:pPr>
      <w:rPr>
        <w:rFonts w:hint="default"/>
        <w:lang w:val="zh-CN" w:eastAsia="zh-CN" w:bidi="zh-CN"/>
      </w:rPr>
    </w:lvl>
    <w:lvl w:ilvl="5" w:tentative="0">
      <w:start w:val="0"/>
      <w:numFmt w:val="bullet"/>
      <w:lvlText w:val="•"/>
      <w:lvlJc w:val="left"/>
      <w:pPr>
        <w:ind w:left="4649" w:hanging="600"/>
      </w:pPr>
      <w:rPr>
        <w:rFonts w:hint="default"/>
        <w:lang w:val="zh-CN" w:eastAsia="zh-CN" w:bidi="zh-CN"/>
      </w:rPr>
    </w:lvl>
    <w:lvl w:ilvl="6" w:tentative="0">
      <w:start w:val="0"/>
      <w:numFmt w:val="bullet"/>
      <w:lvlText w:val="•"/>
      <w:lvlJc w:val="left"/>
      <w:pPr>
        <w:ind w:left="5616" w:hanging="600"/>
      </w:pPr>
      <w:rPr>
        <w:rFonts w:hint="default"/>
        <w:lang w:val="zh-CN" w:eastAsia="zh-CN" w:bidi="zh-CN"/>
      </w:rPr>
    </w:lvl>
    <w:lvl w:ilvl="7" w:tentative="0">
      <w:start w:val="0"/>
      <w:numFmt w:val="bullet"/>
      <w:lvlText w:val="•"/>
      <w:lvlJc w:val="left"/>
      <w:pPr>
        <w:ind w:left="6584" w:hanging="600"/>
      </w:pPr>
      <w:rPr>
        <w:rFonts w:hint="default"/>
        <w:lang w:val="zh-CN" w:eastAsia="zh-CN" w:bidi="zh-CN"/>
      </w:rPr>
    </w:lvl>
    <w:lvl w:ilvl="8" w:tentative="0">
      <w:start w:val="0"/>
      <w:numFmt w:val="bullet"/>
      <w:lvlText w:val="•"/>
      <w:lvlJc w:val="left"/>
      <w:pPr>
        <w:ind w:left="7551" w:hanging="600"/>
      </w:pPr>
      <w:rPr>
        <w:rFonts w:hint="default"/>
        <w:lang w:val="zh-CN" w:eastAsia="zh-CN" w:bidi="zh-CN"/>
      </w:rPr>
    </w:lvl>
  </w:abstractNum>
  <w:abstractNum w:abstractNumId="38">
    <w:nsid w:val="7451264E"/>
    <w:multiLevelType w:val="multilevel"/>
    <w:tmpl w:val="7451264E"/>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39">
    <w:nsid w:val="77066C18"/>
    <w:multiLevelType w:val="multilevel"/>
    <w:tmpl w:val="77066C18"/>
    <w:lvl w:ilvl="0" w:tentative="0">
      <w:start w:val="1"/>
      <w:numFmt w:val="lowerLetter"/>
      <w:lvlText w:val="%1."/>
      <w:lvlJc w:val="left"/>
      <w:pPr>
        <w:ind w:left="424"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286"/>
      </w:pPr>
      <w:rPr>
        <w:rFonts w:hint="default"/>
        <w:lang w:val="zh-CN" w:eastAsia="zh-CN" w:bidi="zh-CN"/>
      </w:rPr>
    </w:lvl>
    <w:lvl w:ilvl="2" w:tentative="0">
      <w:start w:val="0"/>
      <w:numFmt w:val="bullet"/>
      <w:lvlText w:val="•"/>
      <w:lvlJc w:val="left"/>
      <w:pPr>
        <w:ind w:left="2233" w:hanging="286"/>
      </w:pPr>
      <w:rPr>
        <w:rFonts w:hint="default"/>
        <w:lang w:val="zh-CN" w:eastAsia="zh-CN" w:bidi="zh-CN"/>
      </w:rPr>
    </w:lvl>
    <w:lvl w:ilvl="3" w:tentative="0">
      <w:start w:val="0"/>
      <w:numFmt w:val="bullet"/>
      <w:lvlText w:val="•"/>
      <w:lvlJc w:val="left"/>
      <w:pPr>
        <w:ind w:left="3139" w:hanging="286"/>
      </w:pPr>
      <w:rPr>
        <w:rFonts w:hint="default"/>
        <w:lang w:val="zh-CN" w:eastAsia="zh-CN" w:bidi="zh-CN"/>
      </w:rPr>
    </w:lvl>
    <w:lvl w:ilvl="4" w:tentative="0">
      <w:start w:val="0"/>
      <w:numFmt w:val="bullet"/>
      <w:lvlText w:val="•"/>
      <w:lvlJc w:val="left"/>
      <w:pPr>
        <w:ind w:left="4046" w:hanging="286"/>
      </w:pPr>
      <w:rPr>
        <w:rFonts w:hint="default"/>
        <w:lang w:val="zh-CN" w:eastAsia="zh-CN" w:bidi="zh-CN"/>
      </w:rPr>
    </w:lvl>
    <w:lvl w:ilvl="5" w:tentative="0">
      <w:start w:val="0"/>
      <w:numFmt w:val="bullet"/>
      <w:lvlText w:val="•"/>
      <w:lvlJc w:val="left"/>
      <w:pPr>
        <w:ind w:left="4953" w:hanging="286"/>
      </w:pPr>
      <w:rPr>
        <w:rFonts w:hint="default"/>
        <w:lang w:val="zh-CN" w:eastAsia="zh-CN" w:bidi="zh-CN"/>
      </w:rPr>
    </w:lvl>
    <w:lvl w:ilvl="6" w:tentative="0">
      <w:start w:val="0"/>
      <w:numFmt w:val="bullet"/>
      <w:lvlText w:val="•"/>
      <w:lvlJc w:val="left"/>
      <w:pPr>
        <w:ind w:left="5859" w:hanging="286"/>
      </w:pPr>
      <w:rPr>
        <w:rFonts w:hint="default"/>
        <w:lang w:val="zh-CN" w:eastAsia="zh-CN" w:bidi="zh-CN"/>
      </w:rPr>
    </w:lvl>
    <w:lvl w:ilvl="7" w:tentative="0">
      <w:start w:val="0"/>
      <w:numFmt w:val="bullet"/>
      <w:lvlText w:val="•"/>
      <w:lvlJc w:val="left"/>
      <w:pPr>
        <w:ind w:left="6766" w:hanging="286"/>
      </w:pPr>
      <w:rPr>
        <w:rFonts w:hint="default"/>
        <w:lang w:val="zh-CN" w:eastAsia="zh-CN" w:bidi="zh-CN"/>
      </w:rPr>
    </w:lvl>
    <w:lvl w:ilvl="8" w:tentative="0">
      <w:start w:val="0"/>
      <w:numFmt w:val="bullet"/>
      <w:lvlText w:val="•"/>
      <w:lvlJc w:val="left"/>
      <w:pPr>
        <w:ind w:left="7673" w:hanging="286"/>
      </w:pPr>
      <w:rPr>
        <w:rFonts w:hint="default"/>
        <w:lang w:val="zh-CN" w:eastAsia="zh-CN" w:bidi="zh-CN"/>
      </w:rPr>
    </w:lvl>
  </w:abstractNum>
  <w:abstractNum w:abstractNumId="40">
    <w:nsid w:val="797DA07C"/>
    <w:multiLevelType w:val="singleLevel"/>
    <w:tmpl w:val="797DA07C"/>
    <w:lvl w:ilvl="0" w:tentative="0">
      <w:start w:val="2"/>
      <w:numFmt w:val="upperLetter"/>
      <w:suff w:val="nothing"/>
      <w:lvlText w:val="%1、"/>
      <w:lvlJc w:val="left"/>
    </w:lvl>
  </w:abstractNum>
  <w:abstractNum w:abstractNumId="41">
    <w:nsid w:val="79FA4170"/>
    <w:multiLevelType w:val="multilevel"/>
    <w:tmpl w:val="79FA4170"/>
    <w:lvl w:ilvl="0" w:tentative="0">
      <w:start w:val="1"/>
      <w:numFmt w:val="lowerLetter"/>
      <w:lvlText w:val="%1."/>
      <w:lvlJc w:val="left"/>
      <w:pPr>
        <w:ind w:left="1190"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028" w:hanging="286"/>
      </w:pPr>
      <w:rPr>
        <w:rFonts w:hint="default"/>
        <w:lang w:val="zh-CN" w:eastAsia="zh-CN" w:bidi="zh-CN"/>
      </w:rPr>
    </w:lvl>
    <w:lvl w:ilvl="2" w:tentative="0">
      <w:start w:val="0"/>
      <w:numFmt w:val="bullet"/>
      <w:lvlText w:val="•"/>
      <w:lvlJc w:val="left"/>
      <w:pPr>
        <w:ind w:left="2857" w:hanging="286"/>
      </w:pPr>
      <w:rPr>
        <w:rFonts w:hint="default"/>
        <w:lang w:val="zh-CN" w:eastAsia="zh-CN" w:bidi="zh-CN"/>
      </w:rPr>
    </w:lvl>
    <w:lvl w:ilvl="3" w:tentative="0">
      <w:start w:val="0"/>
      <w:numFmt w:val="bullet"/>
      <w:lvlText w:val="•"/>
      <w:lvlJc w:val="left"/>
      <w:pPr>
        <w:ind w:left="3685" w:hanging="286"/>
      </w:pPr>
      <w:rPr>
        <w:rFonts w:hint="default"/>
        <w:lang w:val="zh-CN" w:eastAsia="zh-CN" w:bidi="zh-CN"/>
      </w:rPr>
    </w:lvl>
    <w:lvl w:ilvl="4" w:tentative="0">
      <w:start w:val="0"/>
      <w:numFmt w:val="bullet"/>
      <w:lvlText w:val="•"/>
      <w:lvlJc w:val="left"/>
      <w:pPr>
        <w:ind w:left="4514" w:hanging="286"/>
      </w:pPr>
      <w:rPr>
        <w:rFonts w:hint="default"/>
        <w:lang w:val="zh-CN" w:eastAsia="zh-CN" w:bidi="zh-CN"/>
      </w:rPr>
    </w:lvl>
    <w:lvl w:ilvl="5" w:tentative="0">
      <w:start w:val="0"/>
      <w:numFmt w:val="bullet"/>
      <w:lvlText w:val="•"/>
      <w:lvlJc w:val="left"/>
      <w:pPr>
        <w:ind w:left="5343" w:hanging="286"/>
      </w:pPr>
      <w:rPr>
        <w:rFonts w:hint="default"/>
        <w:lang w:val="zh-CN" w:eastAsia="zh-CN" w:bidi="zh-CN"/>
      </w:rPr>
    </w:lvl>
    <w:lvl w:ilvl="6" w:tentative="0">
      <w:start w:val="0"/>
      <w:numFmt w:val="bullet"/>
      <w:lvlText w:val="•"/>
      <w:lvlJc w:val="left"/>
      <w:pPr>
        <w:ind w:left="6171" w:hanging="286"/>
      </w:pPr>
      <w:rPr>
        <w:rFonts w:hint="default"/>
        <w:lang w:val="zh-CN" w:eastAsia="zh-CN" w:bidi="zh-CN"/>
      </w:rPr>
    </w:lvl>
    <w:lvl w:ilvl="7" w:tentative="0">
      <w:start w:val="0"/>
      <w:numFmt w:val="bullet"/>
      <w:lvlText w:val="•"/>
      <w:lvlJc w:val="left"/>
      <w:pPr>
        <w:ind w:left="7000" w:hanging="286"/>
      </w:pPr>
      <w:rPr>
        <w:rFonts w:hint="default"/>
        <w:lang w:val="zh-CN" w:eastAsia="zh-CN" w:bidi="zh-CN"/>
      </w:rPr>
    </w:lvl>
    <w:lvl w:ilvl="8" w:tentative="0">
      <w:start w:val="0"/>
      <w:numFmt w:val="bullet"/>
      <w:lvlText w:val="•"/>
      <w:lvlJc w:val="left"/>
      <w:pPr>
        <w:ind w:left="7829" w:hanging="286"/>
      </w:pPr>
      <w:rPr>
        <w:rFonts w:hint="default"/>
        <w:lang w:val="zh-CN" w:eastAsia="zh-CN" w:bidi="zh-CN"/>
      </w:rPr>
    </w:lvl>
  </w:abstractNum>
  <w:abstractNum w:abstractNumId="42">
    <w:nsid w:val="79FD3633"/>
    <w:multiLevelType w:val="multilevel"/>
    <w:tmpl w:val="79FD3633"/>
    <w:lvl w:ilvl="0" w:tentative="0">
      <w:start w:val="1"/>
      <w:numFmt w:val="decimalEnclosedCircle"/>
      <w:lvlText w:val="%1"/>
      <w:lvlJc w:val="left"/>
      <w:pPr>
        <w:ind w:left="900" w:hanging="360"/>
      </w:pPr>
      <w:rPr>
        <w:rFonts w:hint="default" w:ascii="宋体" w:eastAsia="宋体"/>
        <w:b w:val="0"/>
        <w:color w:val="auto"/>
        <w:sz w:val="24"/>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43">
    <w:nsid w:val="7A5A1A15"/>
    <w:multiLevelType w:val="multilevel"/>
    <w:tmpl w:val="7A5A1A15"/>
    <w:lvl w:ilvl="0" w:tentative="0">
      <w:start w:val="1"/>
      <w:numFmt w:val="japaneseCounting"/>
      <w:lvlText w:val="第%1节"/>
      <w:lvlJc w:val="left"/>
      <w:pPr>
        <w:ind w:left="4341" w:hanging="1680"/>
      </w:pPr>
      <w:rPr>
        <w:rFonts w:hint="default"/>
      </w:rPr>
    </w:lvl>
    <w:lvl w:ilvl="1" w:tentative="0">
      <w:start w:val="1"/>
      <w:numFmt w:val="lowerLetter"/>
      <w:lvlText w:val="%2)"/>
      <w:lvlJc w:val="left"/>
      <w:pPr>
        <w:ind w:left="3501" w:hanging="420"/>
      </w:pPr>
    </w:lvl>
    <w:lvl w:ilvl="2" w:tentative="0">
      <w:start w:val="1"/>
      <w:numFmt w:val="lowerRoman"/>
      <w:lvlText w:val="%3."/>
      <w:lvlJc w:val="right"/>
      <w:pPr>
        <w:ind w:left="3921" w:hanging="420"/>
      </w:pPr>
    </w:lvl>
    <w:lvl w:ilvl="3" w:tentative="0">
      <w:start w:val="1"/>
      <w:numFmt w:val="decimal"/>
      <w:lvlText w:val="%4."/>
      <w:lvlJc w:val="left"/>
      <w:pPr>
        <w:ind w:left="4341" w:hanging="420"/>
      </w:pPr>
    </w:lvl>
    <w:lvl w:ilvl="4" w:tentative="0">
      <w:start w:val="1"/>
      <w:numFmt w:val="lowerLetter"/>
      <w:lvlText w:val="%5)"/>
      <w:lvlJc w:val="left"/>
      <w:pPr>
        <w:ind w:left="4761" w:hanging="420"/>
      </w:pPr>
    </w:lvl>
    <w:lvl w:ilvl="5" w:tentative="0">
      <w:start w:val="1"/>
      <w:numFmt w:val="lowerRoman"/>
      <w:lvlText w:val="%6."/>
      <w:lvlJc w:val="right"/>
      <w:pPr>
        <w:ind w:left="5181" w:hanging="420"/>
      </w:pPr>
    </w:lvl>
    <w:lvl w:ilvl="6" w:tentative="0">
      <w:start w:val="1"/>
      <w:numFmt w:val="decimal"/>
      <w:lvlText w:val="%7."/>
      <w:lvlJc w:val="left"/>
      <w:pPr>
        <w:ind w:left="5601" w:hanging="420"/>
      </w:pPr>
    </w:lvl>
    <w:lvl w:ilvl="7" w:tentative="0">
      <w:start w:val="1"/>
      <w:numFmt w:val="lowerLetter"/>
      <w:lvlText w:val="%8)"/>
      <w:lvlJc w:val="left"/>
      <w:pPr>
        <w:ind w:left="6021" w:hanging="420"/>
      </w:pPr>
    </w:lvl>
    <w:lvl w:ilvl="8" w:tentative="0">
      <w:start w:val="1"/>
      <w:numFmt w:val="lowerRoman"/>
      <w:lvlText w:val="%9."/>
      <w:lvlJc w:val="right"/>
      <w:pPr>
        <w:ind w:left="6441" w:hanging="420"/>
      </w:pPr>
    </w:lvl>
  </w:abstractNum>
  <w:abstractNum w:abstractNumId="44">
    <w:nsid w:val="7BCE50B5"/>
    <w:multiLevelType w:val="multilevel"/>
    <w:tmpl w:val="7BCE50B5"/>
    <w:lvl w:ilvl="0" w:tentative="0">
      <w:start w:val="15"/>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720"/>
      </w:pPr>
      <w:rPr>
        <w:rFonts w:hint="default"/>
        <w:lang w:val="zh-CN" w:eastAsia="zh-CN" w:bidi="zh-CN"/>
      </w:rPr>
    </w:lvl>
    <w:lvl w:ilvl="4" w:tentative="0">
      <w:start w:val="0"/>
      <w:numFmt w:val="bullet"/>
      <w:lvlText w:val="•"/>
      <w:lvlJc w:val="left"/>
      <w:pPr>
        <w:ind w:left="3586" w:hanging="720"/>
      </w:pPr>
      <w:rPr>
        <w:rFonts w:hint="default"/>
        <w:lang w:val="zh-CN" w:eastAsia="zh-CN" w:bidi="zh-CN"/>
      </w:rPr>
    </w:lvl>
    <w:lvl w:ilvl="5" w:tentative="0">
      <w:start w:val="0"/>
      <w:numFmt w:val="bullet"/>
      <w:lvlText w:val="•"/>
      <w:lvlJc w:val="left"/>
      <w:pPr>
        <w:ind w:left="4569" w:hanging="720"/>
      </w:pPr>
      <w:rPr>
        <w:rFonts w:hint="default"/>
        <w:lang w:val="zh-CN" w:eastAsia="zh-CN" w:bidi="zh-CN"/>
      </w:rPr>
    </w:lvl>
    <w:lvl w:ilvl="6" w:tentative="0">
      <w:start w:val="0"/>
      <w:numFmt w:val="bullet"/>
      <w:lvlText w:val="•"/>
      <w:lvlJc w:val="left"/>
      <w:pPr>
        <w:ind w:left="5553" w:hanging="720"/>
      </w:pPr>
      <w:rPr>
        <w:rFonts w:hint="default"/>
        <w:lang w:val="zh-CN" w:eastAsia="zh-CN" w:bidi="zh-CN"/>
      </w:rPr>
    </w:lvl>
    <w:lvl w:ilvl="7" w:tentative="0">
      <w:start w:val="0"/>
      <w:numFmt w:val="bullet"/>
      <w:lvlText w:val="•"/>
      <w:lvlJc w:val="left"/>
      <w:pPr>
        <w:ind w:left="6536" w:hanging="720"/>
      </w:pPr>
      <w:rPr>
        <w:rFonts w:hint="default"/>
        <w:lang w:val="zh-CN" w:eastAsia="zh-CN" w:bidi="zh-CN"/>
      </w:rPr>
    </w:lvl>
    <w:lvl w:ilvl="8" w:tentative="0">
      <w:start w:val="0"/>
      <w:numFmt w:val="bullet"/>
      <w:lvlText w:val="•"/>
      <w:lvlJc w:val="left"/>
      <w:pPr>
        <w:ind w:left="7519" w:hanging="720"/>
      </w:pPr>
      <w:rPr>
        <w:rFonts w:hint="default"/>
        <w:lang w:val="zh-CN" w:eastAsia="zh-CN" w:bidi="zh-CN"/>
      </w:rPr>
    </w:lvl>
  </w:abstractNum>
  <w:abstractNum w:abstractNumId="45">
    <w:nsid w:val="7DA50914"/>
    <w:multiLevelType w:val="multilevel"/>
    <w:tmpl w:val="7DA50914"/>
    <w:lvl w:ilvl="0" w:tentative="0">
      <w:start w:val="1"/>
      <w:numFmt w:val="lowerLetter"/>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4"/>
    <w:lvlOverride w:ilvl="0">
      <w:startOverride w:val="1"/>
    </w:lvlOverride>
    <w:lvlOverride w:ilvl="1">
      <w:startOverride w:val="1"/>
    </w:lvlOverride>
  </w:num>
  <w:num w:numId="2">
    <w:abstractNumId w:val="30"/>
  </w:num>
  <w:num w:numId="3">
    <w:abstractNumId w:val="22"/>
  </w:num>
  <w:num w:numId="4">
    <w:abstractNumId w:val="9"/>
  </w:num>
  <w:num w:numId="5">
    <w:abstractNumId w:val="15"/>
  </w:num>
  <w:num w:numId="6">
    <w:abstractNumId w:val="25"/>
  </w:num>
  <w:num w:numId="7">
    <w:abstractNumId w:val="16"/>
  </w:num>
  <w:num w:numId="8">
    <w:abstractNumId w:val="37"/>
  </w:num>
  <w:num w:numId="9">
    <w:abstractNumId w:val="35"/>
  </w:num>
  <w:num w:numId="10">
    <w:abstractNumId w:val="12"/>
  </w:num>
  <w:num w:numId="11">
    <w:abstractNumId w:val="4"/>
  </w:num>
  <w:num w:numId="12">
    <w:abstractNumId w:val="33"/>
  </w:num>
  <w:num w:numId="13">
    <w:abstractNumId w:val="43"/>
  </w:num>
  <w:num w:numId="14">
    <w:abstractNumId w:val="31"/>
    <w:lvlOverride w:ilvl="0">
      <w:startOverride w:val="1"/>
    </w:lvlOverride>
    <w:lvlOverride w:ilvl="1">
      <w:startOverride w:val="1"/>
    </w:lvlOverride>
    <w:lvlOverride w:ilvl="2">
      <w:startOverride w:val="1"/>
    </w:lvlOverride>
    <w:lvlOverride w:ilvl="3">
      <w:startOverride w:val="1"/>
    </w:lvlOverride>
  </w:num>
  <w:num w:numId="15">
    <w:abstractNumId w:val="27"/>
    <w:lvlOverride w:ilvl="0">
      <w:startOverride w:val="1"/>
    </w:lvlOverride>
    <w:lvlOverride w:ilvl="1">
      <w:startOverride w:val="1"/>
    </w:lvlOverride>
    <w:lvlOverride w:ilvl="2">
      <w:startOverride w:val="2"/>
    </w:lvlOverride>
    <w:lvlOverride w:ilvl="3">
      <w:startOverride w:val="12"/>
    </w:lvlOverride>
  </w:num>
  <w:num w:numId="16">
    <w:abstractNumId w:val="11"/>
    <w:lvlOverride w:ilvl="0">
      <w:startOverride w:val="1"/>
    </w:lvlOverride>
    <w:lvlOverride w:ilvl="1">
      <w:startOverride w:val="1"/>
    </w:lvlOverride>
    <w:lvlOverride w:ilvl="2">
      <w:startOverride w:val="6"/>
    </w:lvlOverride>
    <w:lvlOverride w:ilvl="3">
      <w:startOverride w:val="2"/>
    </w:lvlOverride>
  </w:num>
  <w:num w:numId="17">
    <w:abstractNumId w:val="7"/>
    <w:lvlOverride w:ilvl="0">
      <w:startOverride w:val="1"/>
    </w:lvlOverride>
    <w:lvlOverride w:ilvl="1">
      <w:startOverride w:val="4"/>
    </w:lvlOverride>
    <w:lvlOverride w:ilvl="2">
      <w:startOverride w:val="1"/>
    </w:lvlOverride>
  </w:num>
  <w:num w:numId="18">
    <w:abstractNumId w:val="6"/>
    <w:lvlOverride w:ilvl="0">
      <w:startOverride w:val="4"/>
    </w:lvlOverride>
    <w:lvlOverride w:ilvl="1">
      <w:startOverride w:val="1"/>
    </w:lvlOverride>
    <w:lvlOverride w:ilvl="2">
      <w:startOverride w:val="9"/>
    </w:lvlOverride>
  </w:num>
  <w:num w:numId="19">
    <w:abstractNumId w:val="41"/>
    <w:lvlOverride w:ilvl="0">
      <w:startOverride w:val="1"/>
    </w:lvlOverride>
  </w:num>
  <w:num w:numId="20">
    <w:abstractNumId w:val="8"/>
    <w:lvlOverride w:ilvl="0">
      <w:startOverride w:val="4"/>
    </w:lvlOverride>
    <w:lvlOverride w:ilvl="1">
      <w:startOverride w:val="3"/>
    </w:lvlOverride>
    <w:lvlOverride w:ilvl="2">
      <w:startOverride w:val="6"/>
    </w:lvlOverride>
  </w:num>
  <w:num w:numId="21">
    <w:abstractNumId w:val="19"/>
    <w:lvlOverride w:ilvl="0">
      <w:startOverride w:val="4"/>
    </w:lvlOverride>
    <w:lvlOverride w:ilvl="1">
      <w:startOverride w:val="6"/>
    </w:lvlOverride>
  </w:num>
  <w:num w:numId="22">
    <w:abstractNumId w:val="13"/>
    <w:lvlOverride w:ilvl="0">
      <w:startOverride w:val="4"/>
    </w:lvlOverride>
    <w:lvlOverride w:ilvl="1">
      <w:startOverride w:val="9"/>
    </w:lvlOverride>
    <w:lvlOverride w:ilvl="2">
      <w:startOverride w:val="2"/>
    </w:lvlOverride>
  </w:num>
  <w:num w:numId="23">
    <w:abstractNumId w:val="14"/>
    <w:lvlOverride w:ilvl="0">
      <w:startOverride w:val="9"/>
    </w:lvlOverride>
    <w:lvlOverride w:ilvl="1">
      <w:startOverride w:val="2"/>
    </w:lvlOverride>
    <w:lvlOverride w:ilvl="2">
      <w:startOverride w:val="8"/>
    </w:lvlOverride>
  </w:num>
  <w:num w:numId="24">
    <w:abstractNumId w:val="18"/>
    <w:lvlOverride w:ilvl="0">
      <w:startOverride w:val="9"/>
    </w:lvlOverride>
    <w:lvlOverride w:ilvl="1">
      <w:startOverride w:val="4"/>
    </w:lvlOverride>
    <w:lvlOverride w:ilvl="2">
      <w:startOverride w:val="7"/>
    </w:lvlOverride>
  </w:num>
  <w:num w:numId="25">
    <w:abstractNumId w:val="39"/>
    <w:lvlOverride w:ilvl="0">
      <w:startOverride w:val="1"/>
    </w:lvlOverride>
  </w:num>
  <w:num w:numId="26">
    <w:abstractNumId w:val="5"/>
    <w:lvlOverride w:ilvl="0">
      <w:startOverride w:val="11"/>
    </w:lvlOverride>
    <w:lvlOverride w:ilvl="1">
      <w:startOverride w:val="3"/>
    </w:lvlOverride>
  </w:num>
  <w:num w:numId="27">
    <w:abstractNumId w:val="10"/>
    <w:lvlOverride w:ilvl="0">
      <w:startOverride w:val="13"/>
    </w:lvlOverride>
    <w:lvlOverride w:ilvl="1">
      <w:startOverride w:val="1"/>
    </w:lvlOverride>
    <w:lvlOverride w:ilvl="2">
      <w:startOverride w:val="4"/>
    </w:lvlOverride>
  </w:num>
  <w:num w:numId="28">
    <w:abstractNumId w:val="2"/>
    <w:lvlOverride w:ilvl="0">
      <w:startOverride w:val="13"/>
    </w:lvlOverride>
    <w:lvlOverride w:ilvl="1">
      <w:startOverride w:val="2"/>
    </w:lvlOverride>
    <w:lvlOverride w:ilvl="2">
      <w:startOverride w:val="3"/>
    </w:lvlOverride>
  </w:num>
  <w:num w:numId="29">
    <w:abstractNumId w:val="20"/>
    <w:lvlOverride w:ilvl="0">
      <w:startOverride w:val="13"/>
    </w:lvlOverride>
    <w:lvlOverride w:ilvl="1">
      <w:startOverride w:val="4"/>
    </w:lvlOverride>
  </w:num>
  <w:num w:numId="30">
    <w:abstractNumId w:val="44"/>
    <w:lvlOverride w:ilvl="0">
      <w:startOverride w:val="15"/>
    </w:lvlOverride>
    <w:lvlOverride w:ilvl="1">
      <w:startOverride w:val="3"/>
    </w:lvlOverride>
    <w:lvlOverride w:ilvl="2">
      <w:startOverride w:val="1"/>
    </w:lvlOverride>
  </w:num>
  <w:num w:numId="31">
    <w:abstractNumId w:val="26"/>
    <w:lvlOverride w:ilvl="0">
      <w:startOverride w:val="17"/>
    </w:lvlOverride>
    <w:lvlOverride w:ilvl="1">
      <w:startOverride w:val="1"/>
    </w:lvlOverride>
    <w:lvlOverride w:ilvl="2">
      <w:startOverride w:val="4"/>
    </w:lvlOverride>
  </w:num>
  <w:num w:numId="32">
    <w:abstractNumId w:val="17"/>
    <w:lvlOverride w:ilvl="0">
      <w:startOverride w:val="18"/>
    </w:lvlOverride>
    <w:lvlOverride w:ilvl="1">
      <w:startOverride w:val="2"/>
    </w:lvlOverride>
  </w:num>
  <w:num w:numId="33">
    <w:abstractNumId w:val="28"/>
    <w:lvlOverride w:ilvl="0">
      <w:startOverride w:val="20"/>
    </w:lvlOverride>
    <w:lvlOverride w:ilvl="1">
      <w:startOverride w:val="4"/>
    </w:lvlOverride>
  </w:num>
  <w:num w:numId="34">
    <w:abstractNumId w:val="29"/>
    <w:lvlOverride w:ilvl="0">
      <w:startOverride w:val="20"/>
    </w:lvlOverride>
    <w:lvlOverride w:ilvl="1">
      <w:startOverride w:val="6"/>
    </w:lvlOverride>
    <w:lvlOverride w:ilvl="2">
      <w:startOverride w:val="3"/>
    </w:lvlOverride>
  </w:num>
  <w:num w:numId="35">
    <w:abstractNumId w:val="32"/>
    <w:lvlOverride w:ilvl="0">
      <w:startOverride w:val="22"/>
    </w:lvlOverride>
    <w:lvlOverride w:ilvl="1">
      <w:startOverride w:val="1"/>
    </w:lvlOverride>
    <w:lvlOverride w:ilvl="2">
      <w:startOverride w:val="1"/>
    </w:lvlOverride>
  </w:num>
  <w:num w:numId="36">
    <w:abstractNumId w:val="40"/>
  </w:num>
  <w:num w:numId="37">
    <w:abstractNumId w:val="45"/>
    <w:lvlOverride w:ilvl="0">
      <w:startOverride w:val="1"/>
    </w:lvlOverride>
  </w:num>
  <w:num w:numId="38">
    <w:abstractNumId w:val="24"/>
    <w:lvlOverride w:ilvl="0">
      <w:startOverride w:val="1"/>
    </w:lvlOverride>
  </w:num>
  <w:num w:numId="39">
    <w:abstractNumId w:val="36"/>
  </w:num>
  <w:num w:numId="40">
    <w:abstractNumId w:val="23"/>
  </w:num>
  <w:num w:numId="41">
    <w:abstractNumId w:val="38"/>
  </w:num>
  <w:num w:numId="42">
    <w:abstractNumId w:val="3"/>
  </w:num>
  <w:num w:numId="43">
    <w:abstractNumId w:val="21"/>
  </w:num>
  <w:num w:numId="44">
    <w:abstractNumId w:val="42"/>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4"/>
    <w:footnote w:id="5"/>
  </w:foot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72B64"/>
    <w:rsid w:val="000024AE"/>
    <w:rsid w:val="00006C84"/>
    <w:rsid w:val="00012336"/>
    <w:rsid w:val="00012DB6"/>
    <w:rsid w:val="0001459C"/>
    <w:rsid w:val="00015152"/>
    <w:rsid w:val="00016DE4"/>
    <w:rsid w:val="00022902"/>
    <w:rsid w:val="00025AB2"/>
    <w:rsid w:val="00026F68"/>
    <w:rsid w:val="00042335"/>
    <w:rsid w:val="00043F25"/>
    <w:rsid w:val="00050393"/>
    <w:rsid w:val="000643B6"/>
    <w:rsid w:val="00067048"/>
    <w:rsid w:val="00067156"/>
    <w:rsid w:val="00070A56"/>
    <w:rsid w:val="00071692"/>
    <w:rsid w:val="00086FEE"/>
    <w:rsid w:val="00095F8D"/>
    <w:rsid w:val="000A1476"/>
    <w:rsid w:val="000B3A9E"/>
    <w:rsid w:val="000C223A"/>
    <w:rsid w:val="000C3802"/>
    <w:rsid w:val="000C41FB"/>
    <w:rsid w:val="000D298A"/>
    <w:rsid w:val="000D4CFA"/>
    <w:rsid w:val="000D6BA6"/>
    <w:rsid w:val="000D6D7B"/>
    <w:rsid w:val="000E34A2"/>
    <w:rsid w:val="000F4D04"/>
    <w:rsid w:val="00124429"/>
    <w:rsid w:val="00132EC4"/>
    <w:rsid w:val="00134866"/>
    <w:rsid w:val="00134998"/>
    <w:rsid w:val="00137DEF"/>
    <w:rsid w:val="001502FF"/>
    <w:rsid w:val="001579BA"/>
    <w:rsid w:val="00162D89"/>
    <w:rsid w:val="00171219"/>
    <w:rsid w:val="00174D64"/>
    <w:rsid w:val="0017610B"/>
    <w:rsid w:val="0018519C"/>
    <w:rsid w:val="001972C7"/>
    <w:rsid w:val="001A3E2F"/>
    <w:rsid w:val="001A4385"/>
    <w:rsid w:val="001A4C03"/>
    <w:rsid w:val="001B070D"/>
    <w:rsid w:val="001B64AC"/>
    <w:rsid w:val="001C2106"/>
    <w:rsid w:val="001D3EA3"/>
    <w:rsid w:val="001D7FED"/>
    <w:rsid w:val="001E6C3C"/>
    <w:rsid w:val="001F266F"/>
    <w:rsid w:val="002017B7"/>
    <w:rsid w:val="00206C86"/>
    <w:rsid w:val="00206F9E"/>
    <w:rsid w:val="002248A4"/>
    <w:rsid w:val="00224B92"/>
    <w:rsid w:val="00230FE6"/>
    <w:rsid w:val="00241C90"/>
    <w:rsid w:val="00245102"/>
    <w:rsid w:val="00255A87"/>
    <w:rsid w:val="00257931"/>
    <w:rsid w:val="002635FA"/>
    <w:rsid w:val="0026395B"/>
    <w:rsid w:val="002721CD"/>
    <w:rsid w:val="00274D5B"/>
    <w:rsid w:val="00277457"/>
    <w:rsid w:val="0028721B"/>
    <w:rsid w:val="002913ED"/>
    <w:rsid w:val="00292189"/>
    <w:rsid w:val="002A6C8B"/>
    <w:rsid w:val="002A71CB"/>
    <w:rsid w:val="002B205D"/>
    <w:rsid w:val="002C6C1C"/>
    <w:rsid w:val="002D44D8"/>
    <w:rsid w:val="002D59D3"/>
    <w:rsid w:val="002E16C6"/>
    <w:rsid w:val="002E7029"/>
    <w:rsid w:val="00301C2B"/>
    <w:rsid w:val="00301E3F"/>
    <w:rsid w:val="003046AE"/>
    <w:rsid w:val="00306735"/>
    <w:rsid w:val="00310732"/>
    <w:rsid w:val="00311A2E"/>
    <w:rsid w:val="003144D0"/>
    <w:rsid w:val="003154A3"/>
    <w:rsid w:val="003232CF"/>
    <w:rsid w:val="0033114A"/>
    <w:rsid w:val="00337D85"/>
    <w:rsid w:val="003441CF"/>
    <w:rsid w:val="00344E3D"/>
    <w:rsid w:val="0034638E"/>
    <w:rsid w:val="0035079C"/>
    <w:rsid w:val="00363AC4"/>
    <w:rsid w:val="00364345"/>
    <w:rsid w:val="003753B7"/>
    <w:rsid w:val="0039363A"/>
    <w:rsid w:val="00394D51"/>
    <w:rsid w:val="003A1244"/>
    <w:rsid w:val="003A4BF8"/>
    <w:rsid w:val="003C1480"/>
    <w:rsid w:val="003C6F7B"/>
    <w:rsid w:val="003D0A7B"/>
    <w:rsid w:val="003E0EE2"/>
    <w:rsid w:val="00401D28"/>
    <w:rsid w:val="00401D53"/>
    <w:rsid w:val="00403B6A"/>
    <w:rsid w:val="00403E8B"/>
    <w:rsid w:val="00416552"/>
    <w:rsid w:val="00431E9D"/>
    <w:rsid w:val="00432AD5"/>
    <w:rsid w:val="00434D72"/>
    <w:rsid w:val="00443F9D"/>
    <w:rsid w:val="00447626"/>
    <w:rsid w:val="004540BE"/>
    <w:rsid w:val="00454EEE"/>
    <w:rsid w:val="00455224"/>
    <w:rsid w:val="004615EF"/>
    <w:rsid w:val="0046552C"/>
    <w:rsid w:val="00467709"/>
    <w:rsid w:val="00467B54"/>
    <w:rsid w:val="00471C86"/>
    <w:rsid w:val="00483201"/>
    <w:rsid w:val="004952A4"/>
    <w:rsid w:val="00495A8B"/>
    <w:rsid w:val="004A6E01"/>
    <w:rsid w:val="004B074B"/>
    <w:rsid w:val="004B35E4"/>
    <w:rsid w:val="004B4B41"/>
    <w:rsid w:val="004D109F"/>
    <w:rsid w:val="004D283F"/>
    <w:rsid w:val="004E0A67"/>
    <w:rsid w:val="004E4D35"/>
    <w:rsid w:val="004F563E"/>
    <w:rsid w:val="00500A30"/>
    <w:rsid w:val="005023C0"/>
    <w:rsid w:val="00503643"/>
    <w:rsid w:val="00505E68"/>
    <w:rsid w:val="005063DB"/>
    <w:rsid w:val="00506F47"/>
    <w:rsid w:val="00523D14"/>
    <w:rsid w:val="0053121F"/>
    <w:rsid w:val="0053517A"/>
    <w:rsid w:val="005411E8"/>
    <w:rsid w:val="00544159"/>
    <w:rsid w:val="005453AA"/>
    <w:rsid w:val="00546CF4"/>
    <w:rsid w:val="00555783"/>
    <w:rsid w:val="00560F85"/>
    <w:rsid w:val="0056287F"/>
    <w:rsid w:val="0057232B"/>
    <w:rsid w:val="00573467"/>
    <w:rsid w:val="00575C7D"/>
    <w:rsid w:val="00584F71"/>
    <w:rsid w:val="005912D5"/>
    <w:rsid w:val="005920B2"/>
    <w:rsid w:val="005940C2"/>
    <w:rsid w:val="00594529"/>
    <w:rsid w:val="00596D56"/>
    <w:rsid w:val="005A1940"/>
    <w:rsid w:val="005A26F1"/>
    <w:rsid w:val="005A275A"/>
    <w:rsid w:val="005B1D19"/>
    <w:rsid w:val="005C14AD"/>
    <w:rsid w:val="005D0DE9"/>
    <w:rsid w:val="005D1492"/>
    <w:rsid w:val="005D464A"/>
    <w:rsid w:val="005E235F"/>
    <w:rsid w:val="005E5141"/>
    <w:rsid w:val="005E52E8"/>
    <w:rsid w:val="006037D8"/>
    <w:rsid w:val="00632FCF"/>
    <w:rsid w:val="006366E4"/>
    <w:rsid w:val="00641F82"/>
    <w:rsid w:val="006474BF"/>
    <w:rsid w:val="00647B9C"/>
    <w:rsid w:val="00661F07"/>
    <w:rsid w:val="00667FE5"/>
    <w:rsid w:val="006739FE"/>
    <w:rsid w:val="006820DE"/>
    <w:rsid w:val="00685303"/>
    <w:rsid w:val="006858EF"/>
    <w:rsid w:val="006915EE"/>
    <w:rsid w:val="00694AD1"/>
    <w:rsid w:val="006A0263"/>
    <w:rsid w:val="006A0450"/>
    <w:rsid w:val="006A61F7"/>
    <w:rsid w:val="006A6F1C"/>
    <w:rsid w:val="006B7330"/>
    <w:rsid w:val="006C1999"/>
    <w:rsid w:val="006C633D"/>
    <w:rsid w:val="006D4762"/>
    <w:rsid w:val="006D4763"/>
    <w:rsid w:val="006D6180"/>
    <w:rsid w:val="006D66D5"/>
    <w:rsid w:val="006E2991"/>
    <w:rsid w:val="006F3F7D"/>
    <w:rsid w:val="006F4344"/>
    <w:rsid w:val="006F67EE"/>
    <w:rsid w:val="0070178C"/>
    <w:rsid w:val="0070643D"/>
    <w:rsid w:val="007154FD"/>
    <w:rsid w:val="00723659"/>
    <w:rsid w:val="00727F73"/>
    <w:rsid w:val="0074097D"/>
    <w:rsid w:val="00743FDB"/>
    <w:rsid w:val="007513EB"/>
    <w:rsid w:val="00755585"/>
    <w:rsid w:val="0075703E"/>
    <w:rsid w:val="00757C2E"/>
    <w:rsid w:val="0077117E"/>
    <w:rsid w:val="00780D94"/>
    <w:rsid w:val="007825A5"/>
    <w:rsid w:val="00791AFB"/>
    <w:rsid w:val="0079675E"/>
    <w:rsid w:val="007A0812"/>
    <w:rsid w:val="007A7A1F"/>
    <w:rsid w:val="007A7D67"/>
    <w:rsid w:val="007B5A50"/>
    <w:rsid w:val="007B6BD9"/>
    <w:rsid w:val="007C6678"/>
    <w:rsid w:val="007D0F4B"/>
    <w:rsid w:val="007E7842"/>
    <w:rsid w:val="007F403A"/>
    <w:rsid w:val="007F57AC"/>
    <w:rsid w:val="007F5DBB"/>
    <w:rsid w:val="008020F2"/>
    <w:rsid w:val="00803665"/>
    <w:rsid w:val="00807546"/>
    <w:rsid w:val="00813BFB"/>
    <w:rsid w:val="0081688B"/>
    <w:rsid w:val="00834B77"/>
    <w:rsid w:val="00835DAE"/>
    <w:rsid w:val="00837657"/>
    <w:rsid w:val="008454A3"/>
    <w:rsid w:val="00853826"/>
    <w:rsid w:val="00854BA7"/>
    <w:rsid w:val="008565F9"/>
    <w:rsid w:val="00872B64"/>
    <w:rsid w:val="00873C90"/>
    <w:rsid w:val="008749FA"/>
    <w:rsid w:val="0088261D"/>
    <w:rsid w:val="008861AC"/>
    <w:rsid w:val="008A37AC"/>
    <w:rsid w:val="008A5906"/>
    <w:rsid w:val="008A61C7"/>
    <w:rsid w:val="008A64FA"/>
    <w:rsid w:val="008A65E3"/>
    <w:rsid w:val="008B0B66"/>
    <w:rsid w:val="008B7986"/>
    <w:rsid w:val="008C4657"/>
    <w:rsid w:val="008C4FDD"/>
    <w:rsid w:val="008C7BB5"/>
    <w:rsid w:val="008E4C79"/>
    <w:rsid w:val="008E6A1C"/>
    <w:rsid w:val="008F1B6F"/>
    <w:rsid w:val="008F3646"/>
    <w:rsid w:val="00900950"/>
    <w:rsid w:val="00901D06"/>
    <w:rsid w:val="00902F62"/>
    <w:rsid w:val="00904076"/>
    <w:rsid w:val="00904E01"/>
    <w:rsid w:val="00911D32"/>
    <w:rsid w:val="00917558"/>
    <w:rsid w:val="0092152A"/>
    <w:rsid w:val="0092623A"/>
    <w:rsid w:val="00932E32"/>
    <w:rsid w:val="0093305C"/>
    <w:rsid w:val="00935D4F"/>
    <w:rsid w:val="00940597"/>
    <w:rsid w:val="00946C29"/>
    <w:rsid w:val="00971D9D"/>
    <w:rsid w:val="00972E5A"/>
    <w:rsid w:val="0098708C"/>
    <w:rsid w:val="009A1B97"/>
    <w:rsid w:val="009A4D5F"/>
    <w:rsid w:val="009A76BA"/>
    <w:rsid w:val="009B67A8"/>
    <w:rsid w:val="009B70C0"/>
    <w:rsid w:val="009C1CAA"/>
    <w:rsid w:val="009C1FA9"/>
    <w:rsid w:val="009C61D6"/>
    <w:rsid w:val="009C7E57"/>
    <w:rsid w:val="009D2E8A"/>
    <w:rsid w:val="009E58C0"/>
    <w:rsid w:val="009F048B"/>
    <w:rsid w:val="00A0507F"/>
    <w:rsid w:val="00A10F09"/>
    <w:rsid w:val="00A113D2"/>
    <w:rsid w:val="00A12813"/>
    <w:rsid w:val="00A13D91"/>
    <w:rsid w:val="00A21123"/>
    <w:rsid w:val="00A24564"/>
    <w:rsid w:val="00A27064"/>
    <w:rsid w:val="00A31957"/>
    <w:rsid w:val="00A339C8"/>
    <w:rsid w:val="00A35297"/>
    <w:rsid w:val="00A5458A"/>
    <w:rsid w:val="00A75C15"/>
    <w:rsid w:val="00A76463"/>
    <w:rsid w:val="00A8192A"/>
    <w:rsid w:val="00A82A84"/>
    <w:rsid w:val="00A83C46"/>
    <w:rsid w:val="00A84A62"/>
    <w:rsid w:val="00A931A4"/>
    <w:rsid w:val="00A96CAB"/>
    <w:rsid w:val="00A9769C"/>
    <w:rsid w:val="00A97C7F"/>
    <w:rsid w:val="00AA1BEB"/>
    <w:rsid w:val="00AA1EAF"/>
    <w:rsid w:val="00AB273F"/>
    <w:rsid w:val="00AD1BB9"/>
    <w:rsid w:val="00AD776A"/>
    <w:rsid w:val="00AE4D0E"/>
    <w:rsid w:val="00AE7B3F"/>
    <w:rsid w:val="00AE7C9C"/>
    <w:rsid w:val="00AF0955"/>
    <w:rsid w:val="00AF5A5D"/>
    <w:rsid w:val="00B0035B"/>
    <w:rsid w:val="00B05F96"/>
    <w:rsid w:val="00B20AC4"/>
    <w:rsid w:val="00B247BF"/>
    <w:rsid w:val="00B24EEF"/>
    <w:rsid w:val="00B31550"/>
    <w:rsid w:val="00B34794"/>
    <w:rsid w:val="00B3498C"/>
    <w:rsid w:val="00B43C9D"/>
    <w:rsid w:val="00B51C6E"/>
    <w:rsid w:val="00B618AA"/>
    <w:rsid w:val="00B764A0"/>
    <w:rsid w:val="00B878A7"/>
    <w:rsid w:val="00B94667"/>
    <w:rsid w:val="00BA2DB6"/>
    <w:rsid w:val="00BA64CC"/>
    <w:rsid w:val="00BB1F92"/>
    <w:rsid w:val="00BB3173"/>
    <w:rsid w:val="00BB554B"/>
    <w:rsid w:val="00BC212B"/>
    <w:rsid w:val="00BD3BD7"/>
    <w:rsid w:val="00BE43BB"/>
    <w:rsid w:val="00BE7690"/>
    <w:rsid w:val="00BE7876"/>
    <w:rsid w:val="00C0208B"/>
    <w:rsid w:val="00C103BA"/>
    <w:rsid w:val="00C133E8"/>
    <w:rsid w:val="00C22C55"/>
    <w:rsid w:val="00C275E3"/>
    <w:rsid w:val="00C2782D"/>
    <w:rsid w:val="00C603A7"/>
    <w:rsid w:val="00C62C21"/>
    <w:rsid w:val="00C73F1E"/>
    <w:rsid w:val="00C75527"/>
    <w:rsid w:val="00C75E44"/>
    <w:rsid w:val="00C80D1F"/>
    <w:rsid w:val="00C85AED"/>
    <w:rsid w:val="00C959D0"/>
    <w:rsid w:val="00CA3C73"/>
    <w:rsid w:val="00CB6F9D"/>
    <w:rsid w:val="00CC25B5"/>
    <w:rsid w:val="00CD608A"/>
    <w:rsid w:val="00CD60A9"/>
    <w:rsid w:val="00CE30A5"/>
    <w:rsid w:val="00CE4779"/>
    <w:rsid w:val="00CE4E9B"/>
    <w:rsid w:val="00CE5C51"/>
    <w:rsid w:val="00CF0CE9"/>
    <w:rsid w:val="00D01840"/>
    <w:rsid w:val="00D04A6E"/>
    <w:rsid w:val="00D1678C"/>
    <w:rsid w:val="00D23312"/>
    <w:rsid w:val="00D25912"/>
    <w:rsid w:val="00D270E3"/>
    <w:rsid w:val="00D32AEE"/>
    <w:rsid w:val="00D450FF"/>
    <w:rsid w:val="00D45644"/>
    <w:rsid w:val="00D50920"/>
    <w:rsid w:val="00D518F7"/>
    <w:rsid w:val="00D56466"/>
    <w:rsid w:val="00D65E97"/>
    <w:rsid w:val="00D67317"/>
    <w:rsid w:val="00D75153"/>
    <w:rsid w:val="00D81B7F"/>
    <w:rsid w:val="00DB139B"/>
    <w:rsid w:val="00DB311A"/>
    <w:rsid w:val="00DC7658"/>
    <w:rsid w:val="00DD04EB"/>
    <w:rsid w:val="00DD1390"/>
    <w:rsid w:val="00DE4C92"/>
    <w:rsid w:val="00DE59B5"/>
    <w:rsid w:val="00DF58C0"/>
    <w:rsid w:val="00E36C88"/>
    <w:rsid w:val="00E424B6"/>
    <w:rsid w:val="00E45534"/>
    <w:rsid w:val="00E55C9F"/>
    <w:rsid w:val="00E93FC9"/>
    <w:rsid w:val="00E9668D"/>
    <w:rsid w:val="00E967CB"/>
    <w:rsid w:val="00E96A28"/>
    <w:rsid w:val="00EA12CA"/>
    <w:rsid w:val="00EA3276"/>
    <w:rsid w:val="00EA6405"/>
    <w:rsid w:val="00EB243D"/>
    <w:rsid w:val="00EC2433"/>
    <w:rsid w:val="00EC325E"/>
    <w:rsid w:val="00EF1519"/>
    <w:rsid w:val="00F004A8"/>
    <w:rsid w:val="00F00DA0"/>
    <w:rsid w:val="00F03426"/>
    <w:rsid w:val="00F24392"/>
    <w:rsid w:val="00F35985"/>
    <w:rsid w:val="00F42276"/>
    <w:rsid w:val="00F4782A"/>
    <w:rsid w:val="00F543A7"/>
    <w:rsid w:val="00F569A7"/>
    <w:rsid w:val="00F75730"/>
    <w:rsid w:val="00F820DE"/>
    <w:rsid w:val="00F8720A"/>
    <w:rsid w:val="00F91594"/>
    <w:rsid w:val="00F92A05"/>
    <w:rsid w:val="00F92DD5"/>
    <w:rsid w:val="00FA04AA"/>
    <w:rsid w:val="00FA0747"/>
    <w:rsid w:val="00FA41B9"/>
    <w:rsid w:val="00FA5133"/>
    <w:rsid w:val="00FB7002"/>
    <w:rsid w:val="00FD0A18"/>
    <w:rsid w:val="00FD2D76"/>
    <w:rsid w:val="0366755B"/>
    <w:rsid w:val="04292E18"/>
    <w:rsid w:val="04AC5423"/>
    <w:rsid w:val="05C055B6"/>
    <w:rsid w:val="05E17495"/>
    <w:rsid w:val="05FD6928"/>
    <w:rsid w:val="06DD60EF"/>
    <w:rsid w:val="0951569D"/>
    <w:rsid w:val="0A7A2236"/>
    <w:rsid w:val="0C101ECD"/>
    <w:rsid w:val="0C68018E"/>
    <w:rsid w:val="0C9D244A"/>
    <w:rsid w:val="0DD03EA9"/>
    <w:rsid w:val="0F192413"/>
    <w:rsid w:val="107F54D7"/>
    <w:rsid w:val="10EE5276"/>
    <w:rsid w:val="11152BA8"/>
    <w:rsid w:val="122F05D9"/>
    <w:rsid w:val="131272CE"/>
    <w:rsid w:val="132C067D"/>
    <w:rsid w:val="138F7B58"/>
    <w:rsid w:val="14C07297"/>
    <w:rsid w:val="16DF427C"/>
    <w:rsid w:val="17D152B0"/>
    <w:rsid w:val="17F4202D"/>
    <w:rsid w:val="18B6169D"/>
    <w:rsid w:val="1B435FEF"/>
    <w:rsid w:val="1BE03DB5"/>
    <w:rsid w:val="1CE26102"/>
    <w:rsid w:val="1F6A3A1A"/>
    <w:rsid w:val="1F835FDC"/>
    <w:rsid w:val="201B344D"/>
    <w:rsid w:val="2032468F"/>
    <w:rsid w:val="20711AA5"/>
    <w:rsid w:val="209D3E84"/>
    <w:rsid w:val="21446C14"/>
    <w:rsid w:val="230C37DD"/>
    <w:rsid w:val="23E57BDC"/>
    <w:rsid w:val="24365232"/>
    <w:rsid w:val="2499613F"/>
    <w:rsid w:val="24E34AEC"/>
    <w:rsid w:val="26637A31"/>
    <w:rsid w:val="276A4A63"/>
    <w:rsid w:val="29225AD7"/>
    <w:rsid w:val="296A1E0B"/>
    <w:rsid w:val="298B229A"/>
    <w:rsid w:val="2C3146BD"/>
    <w:rsid w:val="2DFF62FC"/>
    <w:rsid w:val="2E0B1575"/>
    <w:rsid w:val="2E6E3910"/>
    <w:rsid w:val="308A3676"/>
    <w:rsid w:val="308B3624"/>
    <w:rsid w:val="30DE1ADC"/>
    <w:rsid w:val="331A3AAD"/>
    <w:rsid w:val="33B73993"/>
    <w:rsid w:val="36A8722F"/>
    <w:rsid w:val="3711788B"/>
    <w:rsid w:val="37981034"/>
    <w:rsid w:val="37FE4341"/>
    <w:rsid w:val="392B7CD8"/>
    <w:rsid w:val="393D79C3"/>
    <w:rsid w:val="39706F37"/>
    <w:rsid w:val="39A519DE"/>
    <w:rsid w:val="3A3478E7"/>
    <w:rsid w:val="3AFF2D3D"/>
    <w:rsid w:val="3B48758E"/>
    <w:rsid w:val="3C65063F"/>
    <w:rsid w:val="3C7E0CC1"/>
    <w:rsid w:val="3CA200D3"/>
    <w:rsid w:val="3CE1104D"/>
    <w:rsid w:val="3D22010C"/>
    <w:rsid w:val="3D4679E0"/>
    <w:rsid w:val="3DF6479F"/>
    <w:rsid w:val="3EC44D55"/>
    <w:rsid w:val="420C1A99"/>
    <w:rsid w:val="44324997"/>
    <w:rsid w:val="447A574B"/>
    <w:rsid w:val="44A91CE2"/>
    <w:rsid w:val="44F779DF"/>
    <w:rsid w:val="45C16D9A"/>
    <w:rsid w:val="45D9721E"/>
    <w:rsid w:val="45F34189"/>
    <w:rsid w:val="45F56C9D"/>
    <w:rsid w:val="465758DF"/>
    <w:rsid w:val="46E1752C"/>
    <w:rsid w:val="483F482B"/>
    <w:rsid w:val="4A3A4C2A"/>
    <w:rsid w:val="4B831AF2"/>
    <w:rsid w:val="4D23143D"/>
    <w:rsid w:val="4E9F2D96"/>
    <w:rsid w:val="4ECC2ECE"/>
    <w:rsid w:val="4F864569"/>
    <w:rsid w:val="520163CA"/>
    <w:rsid w:val="543945B6"/>
    <w:rsid w:val="54BE7D69"/>
    <w:rsid w:val="55FA7EC1"/>
    <w:rsid w:val="56042B75"/>
    <w:rsid w:val="567A5D45"/>
    <w:rsid w:val="56CC01D4"/>
    <w:rsid w:val="56F227A5"/>
    <w:rsid w:val="574B07FC"/>
    <w:rsid w:val="58250210"/>
    <w:rsid w:val="592375F5"/>
    <w:rsid w:val="596F51F7"/>
    <w:rsid w:val="5A352225"/>
    <w:rsid w:val="5A361F20"/>
    <w:rsid w:val="5B0136E7"/>
    <w:rsid w:val="5B357F02"/>
    <w:rsid w:val="5BE076BE"/>
    <w:rsid w:val="5CB9213C"/>
    <w:rsid w:val="5E303D89"/>
    <w:rsid w:val="5E526C64"/>
    <w:rsid w:val="5F633500"/>
    <w:rsid w:val="5FFA2EC4"/>
    <w:rsid w:val="60135A2C"/>
    <w:rsid w:val="605439DD"/>
    <w:rsid w:val="60EF4A7C"/>
    <w:rsid w:val="612C0710"/>
    <w:rsid w:val="614A1DC4"/>
    <w:rsid w:val="619167C4"/>
    <w:rsid w:val="63053EC2"/>
    <w:rsid w:val="639A01E7"/>
    <w:rsid w:val="64615FEA"/>
    <w:rsid w:val="656027C7"/>
    <w:rsid w:val="67834DA7"/>
    <w:rsid w:val="68B653ED"/>
    <w:rsid w:val="694B078B"/>
    <w:rsid w:val="699C630F"/>
    <w:rsid w:val="6B1B0F25"/>
    <w:rsid w:val="6C4F16EF"/>
    <w:rsid w:val="6EEB68DE"/>
    <w:rsid w:val="6F01698A"/>
    <w:rsid w:val="70B97569"/>
    <w:rsid w:val="72BA2D3F"/>
    <w:rsid w:val="72C0584D"/>
    <w:rsid w:val="732E27B8"/>
    <w:rsid w:val="743D0A40"/>
    <w:rsid w:val="75ED28EE"/>
    <w:rsid w:val="795A6327"/>
    <w:rsid w:val="7A7D06BE"/>
    <w:rsid w:val="7D146E1F"/>
    <w:rsid w:val="7DA57218"/>
    <w:rsid w:val="7F4D7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56"/>
    <w:qFormat/>
    <w:uiPriority w:val="0"/>
    <w:pPr>
      <w:spacing w:before="169"/>
      <w:outlineLvl w:val="0"/>
    </w:pPr>
    <w:rPr>
      <w:rFonts w:ascii="黑体" w:hAnsi="黑体" w:eastAsia="黑体" w:cs="黑体"/>
      <w:sz w:val="76"/>
      <w:szCs w:val="56"/>
    </w:rPr>
  </w:style>
  <w:style w:type="paragraph" w:styleId="3">
    <w:name w:val="heading 2"/>
    <w:basedOn w:val="1"/>
    <w:next w:val="1"/>
    <w:link w:val="57"/>
    <w:qFormat/>
    <w:uiPriority w:val="99"/>
    <w:pPr>
      <w:spacing w:before="41"/>
      <w:ind w:left="2661"/>
      <w:outlineLvl w:val="1"/>
    </w:pPr>
    <w:rPr>
      <w:rFonts w:ascii="黑体" w:hAnsi="黑体" w:eastAsia="黑体" w:cs="黑体"/>
      <w:sz w:val="56"/>
      <w:szCs w:val="42"/>
    </w:rPr>
  </w:style>
  <w:style w:type="paragraph" w:styleId="4">
    <w:name w:val="heading 3"/>
    <w:basedOn w:val="1"/>
    <w:next w:val="1"/>
    <w:link w:val="58"/>
    <w:qFormat/>
    <w:uiPriority w:val="99"/>
    <w:pPr>
      <w:spacing w:before="45"/>
      <w:ind w:left="1881"/>
      <w:outlineLvl w:val="2"/>
    </w:pPr>
    <w:rPr>
      <w:rFonts w:ascii="黑体" w:hAnsi="黑体" w:eastAsia="黑体" w:cs="黑体"/>
      <w:sz w:val="40"/>
      <w:szCs w:val="40"/>
    </w:rPr>
  </w:style>
  <w:style w:type="paragraph" w:styleId="5">
    <w:name w:val="heading 4"/>
    <w:basedOn w:val="1"/>
    <w:next w:val="6"/>
    <w:link w:val="59"/>
    <w:qFormat/>
    <w:uiPriority w:val="99"/>
    <w:pPr>
      <w:spacing w:before="30"/>
      <w:ind w:left="359" w:right="347"/>
      <w:jc w:val="center"/>
      <w:outlineLvl w:val="3"/>
    </w:pPr>
    <w:rPr>
      <w:b/>
      <w:bCs/>
      <w:sz w:val="38"/>
      <w:szCs w:val="38"/>
    </w:rPr>
  </w:style>
  <w:style w:type="paragraph" w:styleId="7">
    <w:name w:val="heading 5"/>
    <w:basedOn w:val="1"/>
    <w:next w:val="1"/>
    <w:link w:val="60"/>
    <w:qFormat/>
    <w:uiPriority w:val="99"/>
    <w:pPr>
      <w:ind w:left="42"/>
      <w:jc w:val="center"/>
      <w:outlineLvl w:val="4"/>
    </w:pPr>
    <w:rPr>
      <w:rFonts w:ascii="黑体" w:hAnsi="黑体" w:eastAsia="黑体" w:cs="黑体"/>
      <w:sz w:val="36"/>
      <w:szCs w:val="36"/>
    </w:rPr>
  </w:style>
  <w:style w:type="paragraph" w:styleId="8">
    <w:name w:val="heading 6"/>
    <w:basedOn w:val="1"/>
    <w:next w:val="1"/>
    <w:link w:val="61"/>
    <w:qFormat/>
    <w:uiPriority w:val="99"/>
    <w:pPr>
      <w:spacing w:before="55"/>
      <w:outlineLvl w:val="5"/>
    </w:pPr>
    <w:rPr>
      <w:rFonts w:ascii="黑体" w:hAnsi="黑体" w:eastAsia="黑体" w:cs="黑体"/>
      <w:sz w:val="32"/>
      <w:szCs w:val="32"/>
    </w:rPr>
  </w:style>
  <w:style w:type="paragraph" w:styleId="9">
    <w:name w:val="heading 7"/>
    <w:basedOn w:val="1"/>
    <w:next w:val="1"/>
    <w:link w:val="62"/>
    <w:qFormat/>
    <w:uiPriority w:val="99"/>
    <w:pPr>
      <w:spacing w:before="66"/>
      <w:ind w:left="1199"/>
      <w:outlineLvl w:val="6"/>
    </w:pPr>
    <w:rPr>
      <w:rFonts w:ascii="黑体" w:hAnsi="黑体" w:eastAsia="黑体" w:cs="黑体"/>
      <w:sz w:val="31"/>
      <w:szCs w:val="31"/>
      <w:u w:val="single" w:color="000000"/>
    </w:rPr>
  </w:style>
  <w:style w:type="paragraph" w:styleId="10">
    <w:name w:val="heading 8"/>
    <w:basedOn w:val="1"/>
    <w:next w:val="1"/>
    <w:link w:val="63"/>
    <w:qFormat/>
    <w:uiPriority w:val="99"/>
    <w:pPr>
      <w:spacing w:before="200"/>
      <w:ind w:left="3999"/>
      <w:outlineLvl w:val="7"/>
    </w:pPr>
    <w:rPr>
      <w:rFonts w:ascii="黑体" w:hAnsi="黑体" w:eastAsia="黑体" w:cs="黑体"/>
      <w:b/>
      <w:bCs/>
      <w:sz w:val="30"/>
      <w:szCs w:val="30"/>
    </w:rPr>
  </w:style>
  <w:style w:type="paragraph" w:styleId="11">
    <w:name w:val="heading 9"/>
    <w:basedOn w:val="1"/>
    <w:next w:val="1"/>
    <w:link w:val="64"/>
    <w:qFormat/>
    <w:uiPriority w:val="99"/>
    <w:pPr>
      <w:ind w:right="1061"/>
      <w:jc w:val="center"/>
      <w:outlineLvl w:val="8"/>
    </w:pPr>
    <w:rPr>
      <w:rFonts w:ascii="黑体" w:hAnsi="黑体" w:eastAsia="黑体" w:cs="黑体"/>
      <w:sz w:val="30"/>
      <w:szCs w:val="3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utoSpaceDE/>
      <w:autoSpaceDN/>
      <w:ind w:firstLine="420" w:firstLineChars="200"/>
      <w:jc w:val="both"/>
    </w:pPr>
    <w:rPr>
      <w:rFonts w:ascii="Times New Roman" w:hAnsi="Times New Roman" w:cs="Times New Roman"/>
      <w:kern w:val="2"/>
      <w:sz w:val="21"/>
      <w:szCs w:val="24"/>
      <w:lang w:val="en-US" w:bidi="ar-SA"/>
    </w:rPr>
  </w:style>
  <w:style w:type="paragraph" w:styleId="12">
    <w:name w:val="toc 7"/>
    <w:basedOn w:val="1"/>
    <w:next w:val="1"/>
    <w:qFormat/>
    <w:uiPriority w:val="39"/>
    <w:pPr>
      <w:autoSpaceDE/>
      <w:autoSpaceDN/>
      <w:ind w:left="1260"/>
    </w:pPr>
    <w:rPr>
      <w:rFonts w:ascii="Times New Roman" w:hAnsi="Times New Roman" w:cs="Times New Roman"/>
      <w:kern w:val="2"/>
      <w:sz w:val="21"/>
      <w:szCs w:val="21"/>
      <w:lang w:val="en-US" w:bidi="ar-SA"/>
    </w:rPr>
  </w:style>
  <w:style w:type="paragraph" w:styleId="13">
    <w:name w:val="List Bullet 4"/>
    <w:basedOn w:val="1"/>
    <w:qFormat/>
    <w:uiPriority w:val="99"/>
    <w:pPr>
      <w:tabs>
        <w:tab w:val="left" w:pos="1620"/>
      </w:tabs>
      <w:autoSpaceDE/>
      <w:autoSpaceDN/>
      <w:ind w:left="600" w:leftChars="600" w:hanging="200" w:hangingChars="200"/>
      <w:jc w:val="both"/>
    </w:pPr>
    <w:rPr>
      <w:rFonts w:ascii="Times New Roman" w:hAnsi="Times New Roman" w:cs="Times New Roman"/>
      <w:kern w:val="2"/>
      <w:sz w:val="21"/>
      <w:szCs w:val="24"/>
      <w:lang w:val="en-US" w:bidi="ar-SA"/>
    </w:rPr>
  </w:style>
  <w:style w:type="paragraph" w:styleId="14">
    <w:name w:val="caption"/>
    <w:basedOn w:val="1"/>
    <w:next w:val="1"/>
    <w:qFormat/>
    <w:uiPriority w:val="99"/>
    <w:pPr>
      <w:autoSpaceDE/>
      <w:autoSpaceDN/>
      <w:jc w:val="both"/>
    </w:pPr>
    <w:rPr>
      <w:rFonts w:ascii="Arial" w:hAnsi="Arial" w:eastAsia="黑体" w:cs="Arial"/>
      <w:kern w:val="2"/>
      <w:sz w:val="20"/>
      <w:szCs w:val="20"/>
      <w:lang w:val="en-US" w:bidi="ar-SA"/>
    </w:rPr>
  </w:style>
  <w:style w:type="paragraph" w:styleId="15">
    <w:name w:val="List Bullet"/>
    <w:basedOn w:val="1"/>
    <w:qFormat/>
    <w:uiPriority w:val="99"/>
    <w:pPr>
      <w:tabs>
        <w:tab w:val="left" w:pos="360"/>
      </w:tabs>
      <w:autoSpaceDE/>
      <w:autoSpaceDN/>
      <w:ind w:left="360" w:hanging="200" w:hangingChars="200"/>
      <w:jc w:val="both"/>
    </w:pPr>
    <w:rPr>
      <w:rFonts w:ascii="Times New Roman" w:hAnsi="Times New Roman" w:cs="Times New Roman"/>
      <w:kern w:val="2"/>
      <w:sz w:val="21"/>
      <w:szCs w:val="24"/>
      <w:lang w:val="en-US" w:bidi="ar-SA"/>
    </w:rPr>
  </w:style>
  <w:style w:type="paragraph" w:styleId="16">
    <w:name w:val="Document Map"/>
    <w:basedOn w:val="1"/>
    <w:link w:val="65"/>
    <w:qFormat/>
    <w:uiPriority w:val="99"/>
    <w:pPr>
      <w:shd w:val="clear" w:color="auto" w:fill="000080"/>
      <w:autoSpaceDE/>
      <w:autoSpaceDN/>
      <w:jc w:val="both"/>
    </w:pPr>
    <w:rPr>
      <w:rFonts w:ascii="Times New Roman" w:hAnsi="Times New Roman" w:cs="Times New Roman"/>
      <w:kern w:val="2"/>
      <w:sz w:val="21"/>
      <w:szCs w:val="24"/>
      <w:lang w:val="en-US" w:bidi="ar-SA"/>
    </w:rPr>
  </w:style>
  <w:style w:type="paragraph" w:styleId="17">
    <w:name w:val="annotation text"/>
    <w:basedOn w:val="1"/>
    <w:link w:val="66"/>
    <w:qFormat/>
    <w:uiPriority w:val="99"/>
    <w:pPr>
      <w:autoSpaceDE/>
      <w:autoSpaceDN/>
    </w:pPr>
    <w:rPr>
      <w:rFonts w:ascii="Times New Roman" w:hAnsi="Times New Roman" w:cs="Times New Roman"/>
      <w:kern w:val="2"/>
      <w:sz w:val="21"/>
      <w:szCs w:val="24"/>
      <w:lang w:val="en-US" w:bidi="ar-SA"/>
    </w:rPr>
  </w:style>
  <w:style w:type="paragraph" w:styleId="18">
    <w:name w:val="Body Text 3"/>
    <w:basedOn w:val="1"/>
    <w:link w:val="67"/>
    <w:qFormat/>
    <w:uiPriority w:val="99"/>
    <w:pPr>
      <w:autoSpaceDE/>
      <w:autoSpaceDN/>
      <w:jc w:val="both"/>
    </w:pPr>
    <w:rPr>
      <w:rFonts w:hAnsi="Times New Roman" w:cs="Times New Roman"/>
      <w:kern w:val="2"/>
      <w:sz w:val="24"/>
      <w:szCs w:val="20"/>
      <w:lang w:val="en-US" w:bidi="ar-SA"/>
    </w:rPr>
  </w:style>
  <w:style w:type="paragraph" w:styleId="19">
    <w:name w:val="List Bullet 3"/>
    <w:basedOn w:val="1"/>
    <w:qFormat/>
    <w:uiPriority w:val="99"/>
    <w:pPr>
      <w:tabs>
        <w:tab w:val="left" w:pos="1200"/>
      </w:tabs>
      <w:autoSpaceDE/>
      <w:autoSpaceDN/>
      <w:ind w:left="400" w:leftChars="400" w:hanging="200" w:hangingChars="200"/>
      <w:jc w:val="both"/>
    </w:pPr>
    <w:rPr>
      <w:rFonts w:ascii="Times New Roman" w:hAnsi="Times New Roman" w:cs="Times New Roman"/>
      <w:kern w:val="2"/>
      <w:sz w:val="21"/>
      <w:szCs w:val="24"/>
      <w:lang w:val="en-US" w:bidi="ar-SA"/>
    </w:rPr>
  </w:style>
  <w:style w:type="paragraph" w:styleId="20">
    <w:name w:val="Body Text"/>
    <w:basedOn w:val="1"/>
    <w:link w:val="68"/>
    <w:qFormat/>
    <w:uiPriority w:val="1"/>
    <w:rPr>
      <w:sz w:val="24"/>
      <w:szCs w:val="24"/>
    </w:rPr>
  </w:style>
  <w:style w:type="paragraph" w:styleId="21">
    <w:name w:val="Body Text Indent"/>
    <w:basedOn w:val="1"/>
    <w:link w:val="69"/>
    <w:qFormat/>
    <w:uiPriority w:val="0"/>
    <w:pPr>
      <w:autoSpaceDE/>
      <w:autoSpaceDN/>
      <w:spacing w:after="120"/>
      <w:ind w:left="420" w:leftChars="200"/>
      <w:jc w:val="both"/>
    </w:pPr>
    <w:rPr>
      <w:rFonts w:ascii="Times New Roman" w:hAnsi="Times New Roman" w:cs="Times New Roman"/>
      <w:kern w:val="2"/>
      <w:sz w:val="21"/>
      <w:szCs w:val="24"/>
      <w:lang w:val="en-US" w:bidi="ar-SA"/>
    </w:rPr>
  </w:style>
  <w:style w:type="paragraph" w:styleId="22">
    <w:name w:val="List Bullet 2"/>
    <w:basedOn w:val="1"/>
    <w:qFormat/>
    <w:uiPriority w:val="99"/>
    <w:pPr>
      <w:tabs>
        <w:tab w:val="left" w:pos="780"/>
      </w:tabs>
      <w:autoSpaceDE/>
      <w:autoSpaceDN/>
      <w:ind w:left="200" w:leftChars="200" w:hanging="200" w:hangingChars="200"/>
      <w:jc w:val="both"/>
    </w:pPr>
    <w:rPr>
      <w:rFonts w:ascii="Times New Roman" w:hAnsi="Times New Roman" w:cs="Times New Roman"/>
      <w:kern w:val="2"/>
      <w:sz w:val="21"/>
      <w:szCs w:val="24"/>
      <w:lang w:val="en-US" w:bidi="ar-SA"/>
    </w:rPr>
  </w:style>
  <w:style w:type="paragraph" w:styleId="23">
    <w:name w:val="toc 5"/>
    <w:basedOn w:val="1"/>
    <w:next w:val="1"/>
    <w:qFormat/>
    <w:uiPriority w:val="39"/>
    <w:pPr>
      <w:autoSpaceDE/>
      <w:autoSpaceDN/>
      <w:ind w:left="840"/>
    </w:pPr>
    <w:rPr>
      <w:rFonts w:ascii="Times New Roman" w:hAnsi="Times New Roman" w:cs="Times New Roman"/>
      <w:kern w:val="2"/>
      <w:sz w:val="21"/>
      <w:szCs w:val="21"/>
      <w:lang w:val="en-US" w:bidi="ar-SA"/>
    </w:rPr>
  </w:style>
  <w:style w:type="paragraph" w:styleId="24">
    <w:name w:val="toc 3"/>
    <w:basedOn w:val="1"/>
    <w:next w:val="1"/>
    <w:qFormat/>
    <w:uiPriority w:val="39"/>
    <w:pPr>
      <w:autoSpaceDE/>
      <w:autoSpaceDN/>
      <w:ind w:left="840" w:leftChars="400"/>
      <w:jc w:val="both"/>
    </w:pPr>
    <w:rPr>
      <w:rFonts w:ascii="Times New Roman" w:hAnsi="Times New Roman" w:cs="Times New Roman"/>
      <w:kern w:val="2"/>
      <w:sz w:val="21"/>
      <w:szCs w:val="24"/>
      <w:lang w:val="en-US" w:bidi="ar-SA"/>
    </w:rPr>
  </w:style>
  <w:style w:type="paragraph" w:styleId="25">
    <w:name w:val="Plain Text"/>
    <w:basedOn w:val="1"/>
    <w:link w:val="70"/>
    <w:qFormat/>
    <w:uiPriority w:val="0"/>
    <w:pPr>
      <w:autoSpaceDE/>
      <w:autoSpaceDN/>
      <w:jc w:val="both"/>
    </w:pPr>
    <w:rPr>
      <w:rFonts w:hAnsi="Courier New" w:cs="Times New Roman"/>
      <w:color w:val="000000"/>
      <w:kern w:val="2"/>
      <w:sz w:val="21"/>
      <w:szCs w:val="20"/>
      <w:lang w:val="en-US" w:bidi="ar-SA"/>
    </w:rPr>
  </w:style>
  <w:style w:type="paragraph" w:styleId="26">
    <w:name w:val="List Bullet 5"/>
    <w:basedOn w:val="1"/>
    <w:qFormat/>
    <w:uiPriority w:val="99"/>
    <w:pPr>
      <w:tabs>
        <w:tab w:val="left" w:pos="2040"/>
      </w:tabs>
      <w:autoSpaceDE/>
      <w:autoSpaceDN/>
      <w:ind w:left="800" w:leftChars="800" w:hanging="200" w:hangingChars="200"/>
      <w:jc w:val="both"/>
    </w:pPr>
    <w:rPr>
      <w:rFonts w:ascii="Times New Roman" w:hAnsi="Times New Roman" w:cs="Times New Roman"/>
      <w:kern w:val="2"/>
      <w:sz w:val="21"/>
      <w:szCs w:val="24"/>
      <w:lang w:val="en-US" w:bidi="ar-SA"/>
    </w:rPr>
  </w:style>
  <w:style w:type="paragraph" w:styleId="27">
    <w:name w:val="toc 8"/>
    <w:basedOn w:val="1"/>
    <w:next w:val="1"/>
    <w:qFormat/>
    <w:uiPriority w:val="39"/>
    <w:pPr>
      <w:autoSpaceDE/>
      <w:autoSpaceDN/>
      <w:ind w:left="1470"/>
    </w:pPr>
    <w:rPr>
      <w:rFonts w:ascii="Times New Roman" w:hAnsi="Times New Roman" w:cs="Times New Roman"/>
      <w:kern w:val="2"/>
      <w:sz w:val="21"/>
      <w:szCs w:val="21"/>
      <w:lang w:val="en-US" w:bidi="ar-SA"/>
    </w:rPr>
  </w:style>
  <w:style w:type="paragraph" w:styleId="28">
    <w:name w:val="Date"/>
    <w:basedOn w:val="1"/>
    <w:next w:val="1"/>
    <w:link w:val="71"/>
    <w:qFormat/>
    <w:uiPriority w:val="99"/>
    <w:pPr>
      <w:autoSpaceDE/>
      <w:autoSpaceDN/>
      <w:ind w:left="100" w:leftChars="2500"/>
      <w:jc w:val="both"/>
    </w:pPr>
    <w:rPr>
      <w:rFonts w:ascii="Times New Roman" w:hAnsi="Times New Roman" w:cs="Times New Roman"/>
      <w:kern w:val="2"/>
      <w:sz w:val="21"/>
      <w:szCs w:val="24"/>
      <w:lang w:val="en-US" w:bidi="ar-SA"/>
    </w:rPr>
  </w:style>
  <w:style w:type="paragraph" w:styleId="29">
    <w:name w:val="Body Text Indent 2"/>
    <w:basedOn w:val="1"/>
    <w:link w:val="72"/>
    <w:qFormat/>
    <w:uiPriority w:val="99"/>
    <w:pPr>
      <w:autoSpaceDE/>
      <w:autoSpaceDN/>
      <w:ind w:firstLine="624"/>
      <w:jc w:val="both"/>
    </w:pPr>
    <w:rPr>
      <w:rFonts w:ascii="仿宋_GB2312" w:hAnsi="Times New Roman" w:eastAsia="仿宋_GB2312" w:cs="Times New Roman"/>
      <w:kern w:val="2"/>
      <w:sz w:val="28"/>
      <w:szCs w:val="24"/>
      <w:lang w:val="en-US" w:bidi="ar-SA"/>
    </w:rPr>
  </w:style>
  <w:style w:type="paragraph" w:styleId="30">
    <w:name w:val="endnote text"/>
    <w:basedOn w:val="1"/>
    <w:link w:val="73"/>
    <w:qFormat/>
    <w:uiPriority w:val="99"/>
    <w:pPr>
      <w:autoSpaceDE/>
      <w:autoSpaceDN/>
      <w:snapToGrid w:val="0"/>
    </w:pPr>
    <w:rPr>
      <w:rFonts w:ascii="Times New Roman" w:hAnsi="Times New Roman" w:cs="Times New Roman"/>
      <w:kern w:val="2"/>
      <w:sz w:val="21"/>
      <w:szCs w:val="24"/>
      <w:lang w:val="en-US" w:bidi="ar-SA"/>
    </w:rPr>
  </w:style>
  <w:style w:type="paragraph" w:styleId="31">
    <w:name w:val="Balloon Text"/>
    <w:basedOn w:val="1"/>
    <w:link w:val="74"/>
    <w:unhideWhenUsed/>
    <w:qFormat/>
    <w:uiPriority w:val="99"/>
    <w:rPr>
      <w:sz w:val="18"/>
      <w:szCs w:val="18"/>
    </w:rPr>
  </w:style>
  <w:style w:type="paragraph" w:styleId="32">
    <w:name w:val="footer"/>
    <w:basedOn w:val="1"/>
    <w:link w:val="75"/>
    <w:unhideWhenUsed/>
    <w:qFormat/>
    <w:uiPriority w:val="99"/>
    <w:pPr>
      <w:tabs>
        <w:tab w:val="center" w:pos="4153"/>
        <w:tab w:val="right" w:pos="8306"/>
      </w:tabs>
      <w:snapToGrid w:val="0"/>
    </w:pPr>
    <w:rPr>
      <w:sz w:val="18"/>
      <w:szCs w:val="18"/>
    </w:rPr>
  </w:style>
  <w:style w:type="paragraph" w:styleId="33">
    <w:name w:val="header"/>
    <w:basedOn w:val="1"/>
    <w:link w:val="76"/>
    <w:unhideWhenUsed/>
    <w:qFormat/>
    <w:uiPriority w:val="99"/>
    <w:pPr>
      <w:tabs>
        <w:tab w:val="center" w:pos="4153"/>
        <w:tab w:val="right" w:pos="8306"/>
      </w:tabs>
      <w:snapToGrid w:val="0"/>
      <w:jc w:val="center"/>
    </w:pPr>
    <w:rPr>
      <w:sz w:val="18"/>
      <w:szCs w:val="18"/>
    </w:rPr>
  </w:style>
  <w:style w:type="paragraph" w:styleId="34">
    <w:name w:val="toc 1"/>
    <w:basedOn w:val="1"/>
    <w:next w:val="1"/>
    <w:link w:val="77"/>
    <w:qFormat/>
    <w:uiPriority w:val="39"/>
    <w:pPr>
      <w:spacing w:before="183"/>
      <w:ind w:left="424"/>
    </w:pPr>
    <w:rPr>
      <w:rFonts w:ascii="黑体" w:hAnsi="黑体" w:eastAsia="黑体" w:cs="黑体"/>
      <w:sz w:val="20"/>
      <w:szCs w:val="20"/>
    </w:rPr>
  </w:style>
  <w:style w:type="paragraph" w:styleId="35">
    <w:name w:val="toc 4"/>
    <w:basedOn w:val="1"/>
    <w:next w:val="1"/>
    <w:qFormat/>
    <w:uiPriority w:val="39"/>
    <w:pPr>
      <w:autoSpaceDE/>
      <w:autoSpaceDN/>
      <w:ind w:left="630"/>
    </w:pPr>
    <w:rPr>
      <w:rFonts w:ascii="Times New Roman" w:hAnsi="Times New Roman" w:cs="Times New Roman"/>
      <w:kern w:val="2"/>
      <w:sz w:val="21"/>
      <w:szCs w:val="21"/>
      <w:lang w:val="en-US" w:bidi="ar-SA"/>
    </w:rPr>
  </w:style>
  <w:style w:type="paragraph" w:styleId="36">
    <w:name w:val="footnote text"/>
    <w:basedOn w:val="1"/>
    <w:link w:val="78"/>
    <w:qFormat/>
    <w:uiPriority w:val="0"/>
    <w:pPr>
      <w:autoSpaceDE/>
      <w:autoSpaceDN/>
      <w:snapToGrid w:val="0"/>
    </w:pPr>
    <w:rPr>
      <w:rFonts w:ascii="Times New Roman" w:hAnsi="Times New Roman" w:cs="Times New Roman"/>
      <w:kern w:val="2"/>
      <w:sz w:val="18"/>
      <w:szCs w:val="18"/>
      <w:lang w:val="en-US" w:bidi="ar-SA"/>
    </w:rPr>
  </w:style>
  <w:style w:type="paragraph" w:styleId="37">
    <w:name w:val="toc 6"/>
    <w:basedOn w:val="1"/>
    <w:next w:val="1"/>
    <w:qFormat/>
    <w:uiPriority w:val="39"/>
    <w:pPr>
      <w:autoSpaceDE/>
      <w:autoSpaceDN/>
      <w:ind w:left="1050"/>
    </w:pPr>
    <w:rPr>
      <w:rFonts w:ascii="Times New Roman" w:hAnsi="Times New Roman" w:cs="Times New Roman"/>
      <w:kern w:val="2"/>
      <w:sz w:val="21"/>
      <w:szCs w:val="21"/>
      <w:lang w:val="en-US" w:bidi="ar-SA"/>
    </w:rPr>
  </w:style>
  <w:style w:type="paragraph" w:styleId="38">
    <w:name w:val="Body Text Indent 3"/>
    <w:basedOn w:val="1"/>
    <w:link w:val="79"/>
    <w:qFormat/>
    <w:uiPriority w:val="99"/>
    <w:pPr>
      <w:autoSpaceDE/>
      <w:autoSpaceDN/>
      <w:spacing w:after="120"/>
      <w:ind w:left="420" w:leftChars="200"/>
      <w:jc w:val="both"/>
    </w:pPr>
    <w:rPr>
      <w:rFonts w:ascii="Times New Roman" w:hAnsi="Times New Roman" w:cs="Times New Roman"/>
      <w:kern w:val="2"/>
      <w:sz w:val="16"/>
      <w:szCs w:val="16"/>
      <w:lang w:val="en-US" w:bidi="ar-SA"/>
    </w:rPr>
  </w:style>
  <w:style w:type="paragraph" w:styleId="39">
    <w:name w:val="toc 2"/>
    <w:basedOn w:val="1"/>
    <w:next w:val="1"/>
    <w:qFormat/>
    <w:uiPriority w:val="39"/>
    <w:pPr>
      <w:spacing w:before="182"/>
      <w:ind w:left="707"/>
    </w:pPr>
    <w:rPr>
      <w:rFonts w:ascii="黑体" w:hAnsi="黑体" w:eastAsia="黑体" w:cs="黑体"/>
      <w:sz w:val="20"/>
      <w:szCs w:val="20"/>
    </w:rPr>
  </w:style>
  <w:style w:type="paragraph" w:styleId="40">
    <w:name w:val="toc 9"/>
    <w:basedOn w:val="1"/>
    <w:next w:val="1"/>
    <w:qFormat/>
    <w:uiPriority w:val="39"/>
    <w:pPr>
      <w:autoSpaceDE/>
      <w:autoSpaceDN/>
      <w:ind w:left="1680"/>
    </w:pPr>
    <w:rPr>
      <w:rFonts w:ascii="Times New Roman" w:hAnsi="Times New Roman" w:cs="Times New Roman"/>
      <w:kern w:val="2"/>
      <w:sz w:val="21"/>
      <w:szCs w:val="21"/>
      <w:lang w:val="en-US" w:bidi="ar-SA"/>
    </w:rPr>
  </w:style>
  <w:style w:type="paragraph" w:styleId="41">
    <w:name w:val="Body Text 2"/>
    <w:basedOn w:val="1"/>
    <w:link w:val="80"/>
    <w:qFormat/>
    <w:uiPriority w:val="99"/>
    <w:pPr>
      <w:autoSpaceDE/>
      <w:autoSpaceDN/>
      <w:jc w:val="both"/>
    </w:pPr>
    <w:rPr>
      <w:rFonts w:cs="Times New Roman"/>
      <w:kern w:val="2"/>
      <w:sz w:val="28"/>
      <w:szCs w:val="24"/>
      <w:lang w:val="en-US" w:bidi="ar-SA"/>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43">
    <w:name w:val="index 1"/>
    <w:basedOn w:val="1"/>
    <w:next w:val="1"/>
    <w:qFormat/>
    <w:uiPriority w:val="99"/>
    <w:pPr>
      <w:autoSpaceDE/>
      <w:autoSpaceDN/>
      <w:spacing w:line="220" w:lineRule="exact"/>
      <w:jc w:val="center"/>
    </w:pPr>
    <w:rPr>
      <w:rFonts w:ascii="仿宋_GB2312" w:hAnsi="Times New Roman" w:eastAsia="仿宋_GB2312" w:cs="Times New Roman"/>
      <w:kern w:val="2"/>
      <w:sz w:val="21"/>
      <w:szCs w:val="21"/>
      <w:lang w:val="en-US" w:bidi="ar-SA"/>
    </w:rPr>
  </w:style>
  <w:style w:type="paragraph" w:styleId="44">
    <w:name w:val="Title"/>
    <w:basedOn w:val="1"/>
    <w:link w:val="82"/>
    <w:qFormat/>
    <w:uiPriority w:val="99"/>
    <w:pPr>
      <w:autoSpaceDE/>
      <w:autoSpaceDN/>
      <w:adjustRightInd w:val="0"/>
      <w:spacing w:before="240" w:after="60" w:line="420" w:lineRule="atLeast"/>
      <w:jc w:val="center"/>
      <w:textAlignment w:val="baseline"/>
      <w:outlineLvl w:val="0"/>
    </w:pPr>
    <w:rPr>
      <w:rFonts w:ascii="Arial" w:hAnsi="Arial" w:cs="Times New Roman"/>
      <w:b/>
      <w:sz w:val="32"/>
      <w:szCs w:val="20"/>
      <w:lang w:val="en-US" w:bidi="ar-SA"/>
    </w:rPr>
  </w:style>
  <w:style w:type="paragraph" w:styleId="45">
    <w:name w:val="annotation subject"/>
    <w:basedOn w:val="17"/>
    <w:next w:val="17"/>
    <w:link w:val="83"/>
    <w:semiHidden/>
    <w:qFormat/>
    <w:uiPriority w:val="99"/>
    <w:rPr>
      <w:b/>
      <w:bCs/>
    </w:rPr>
  </w:style>
  <w:style w:type="paragraph" w:styleId="46">
    <w:name w:val="Body Text First Indent 2"/>
    <w:basedOn w:val="21"/>
    <w:link w:val="84"/>
    <w:qFormat/>
    <w:uiPriority w:val="99"/>
    <w:pPr>
      <w:ind w:firstLine="420" w:firstLineChars="200"/>
    </w:pPr>
  </w:style>
  <w:style w:type="table" w:styleId="48">
    <w:name w:val="Table Grid"/>
    <w:basedOn w:val="47"/>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endnote reference"/>
    <w:basedOn w:val="49"/>
    <w:qFormat/>
    <w:uiPriority w:val="99"/>
    <w:rPr>
      <w:rFonts w:cs="Times New Roman"/>
      <w:vertAlign w:val="superscript"/>
    </w:rPr>
  </w:style>
  <w:style w:type="character" w:styleId="51">
    <w:name w:val="page number"/>
    <w:basedOn w:val="49"/>
    <w:qFormat/>
    <w:uiPriority w:val="0"/>
    <w:rPr>
      <w:rFonts w:cs="Times New Roman"/>
    </w:rPr>
  </w:style>
  <w:style w:type="character" w:styleId="52">
    <w:name w:val="FollowedHyperlink"/>
    <w:basedOn w:val="49"/>
    <w:qFormat/>
    <w:uiPriority w:val="99"/>
    <w:rPr>
      <w:rFonts w:cs="Times New Roman"/>
      <w:color w:val="800080"/>
      <w:u w:val="single"/>
    </w:rPr>
  </w:style>
  <w:style w:type="character" w:styleId="53">
    <w:name w:val="Hyperlink"/>
    <w:basedOn w:val="49"/>
    <w:qFormat/>
    <w:uiPriority w:val="99"/>
    <w:rPr>
      <w:rFonts w:cs="Times New Roman"/>
      <w:color w:val="0000FF"/>
      <w:u w:val="single"/>
    </w:rPr>
  </w:style>
  <w:style w:type="character" w:styleId="54">
    <w:name w:val="annotation reference"/>
    <w:basedOn w:val="49"/>
    <w:qFormat/>
    <w:uiPriority w:val="99"/>
    <w:rPr>
      <w:rFonts w:cs="Times New Roman"/>
      <w:sz w:val="21"/>
      <w:szCs w:val="21"/>
    </w:rPr>
  </w:style>
  <w:style w:type="character" w:styleId="55">
    <w:name w:val="footnote reference"/>
    <w:basedOn w:val="49"/>
    <w:qFormat/>
    <w:uiPriority w:val="0"/>
    <w:rPr>
      <w:rFonts w:cs="Times New Roman"/>
      <w:vertAlign w:val="superscript"/>
    </w:rPr>
  </w:style>
  <w:style w:type="character" w:customStyle="1" w:styleId="56">
    <w:name w:val="标题 1 Char"/>
    <w:basedOn w:val="49"/>
    <w:link w:val="2"/>
    <w:qFormat/>
    <w:locked/>
    <w:uiPriority w:val="0"/>
    <w:rPr>
      <w:rFonts w:ascii="黑体" w:hAnsi="黑体" w:eastAsia="黑体" w:cs="黑体"/>
      <w:sz w:val="76"/>
      <w:szCs w:val="56"/>
      <w:lang w:val="zh-CN" w:eastAsia="zh-CN" w:bidi="zh-CN"/>
    </w:rPr>
  </w:style>
  <w:style w:type="character" w:customStyle="1" w:styleId="57">
    <w:name w:val="标题 2 Char"/>
    <w:basedOn w:val="49"/>
    <w:link w:val="3"/>
    <w:qFormat/>
    <w:locked/>
    <w:uiPriority w:val="99"/>
    <w:rPr>
      <w:rFonts w:ascii="黑体" w:hAnsi="黑体" w:eastAsia="黑体" w:cs="黑体"/>
      <w:sz w:val="56"/>
      <w:szCs w:val="42"/>
      <w:lang w:val="zh-CN" w:eastAsia="zh-CN" w:bidi="zh-CN"/>
    </w:rPr>
  </w:style>
  <w:style w:type="character" w:customStyle="1" w:styleId="58">
    <w:name w:val="标题 3 Char"/>
    <w:basedOn w:val="49"/>
    <w:link w:val="4"/>
    <w:qFormat/>
    <w:locked/>
    <w:uiPriority w:val="99"/>
    <w:rPr>
      <w:rFonts w:ascii="黑体" w:hAnsi="黑体" w:eastAsia="黑体" w:cs="黑体"/>
      <w:sz w:val="40"/>
      <w:szCs w:val="40"/>
      <w:lang w:val="zh-CN" w:eastAsia="zh-CN" w:bidi="zh-CN"/>
    </w:rPr>
  </w:style>
  <w:style w:type="character" w:customStyle="1" w:styleId="59">
    <w:name w:val="标题 4 Char"/>
    <w:basedOn w:val="49"/>
    <w:link w:val="5"/>
    <w:qFormat/>
    <w:locked/>
    <w:uiPriority w:val="99"/>
    <w:rPr>
      <w:rFonts w:ascii="宋体" w:hAnsi="宋体" w:eastAsia="宋体" w:cs="宋体"/>
      <w:b/>
      <w:bCs/>
      <w:sz w:val="38"/>
      <w:szCs w:val="38"/>
      <w:lang w:val="zh-CN" w:eastAsia="zh-CN" w:bidi="zh-CN"/>
    </w:rPr>
  </w:style>
  <w:style w:type="character" w:customStyle="1" w:styleId="60">
    <w:name w:val="标题 5 Char"/>
    <w:basedOn w:val="49"/>
    <w:link w:val="7"/>
    <w:qFormat/>
    <w:locked/>
    <w:uiPriority w:val="99"/>
    <w:rPr>
      <w:rFonts w:ascii="黑体" w:hAnsi="黑体" w:eastAsia="黑体" w:cs="黑体"/>
      <w:sz w:val="36"/>
      <w:szCs w:val="36"/>
      <w:lang w:val="zh-CN" w:eastAsia="zh-CN" w:bidi="zh-CN"/>
    </w:rPr>
  </w:style>
  <w:style w:type="character" w:customStyle="1" w:styleId="61">
    <w:name w:val="标题 6 Char"/>
    <w:basedOn w:val="49"/>
    <w:link w:val="8"/>
    <w:qFormat/>
    <w:locked/>
    <w:uiPriority w:val="99"/>
    <w:rPr>
      <w:rFonts w:ascii="黑体" w:hAnsi="黑体" w:eastAsia="黑体" w:cs="黑体"/>
      <w:sz w:val="32"/>
      <w:szCs w:val="32"/>
      <w:lang w:val="zh-CN" w:eastAsia="zh-CN" w:bidi="zh-CN"/>
    </w:rPr>
  </w:style>
  <w:style w:type="character" w:customStyle="1" w:styleId="62">
    <w:name w:val="标题 7 Char"/>
    <w:basedOn w:val="49"/>
    <w:link w:val="9"/>
    <w:qFormat/>
    <w:locked/>
    <w:uiPriority w:val="99"/>
    <w:rPr>
      <w:rFonts w:ascii="黑体" w:hAnsi="黑体" w:eastAsia="黑体" w:cs="黑体"/>
      <w:sz w:val="31"/>
      <w:szCs w:val="31"/>
      <w:u w:val="single" w:color="000000"/>
      <w:lang w:val="zh-CN" w:eastAsia="zh-CN" w:bidi="zh-CN"/>
    </w:rPr>
  </w:style>
  <w:style w:type="character" w:customStyle="1" w:styleId="63">
    <w:name w:val="标题 8 Char"/>
    <w:basedOn w:val="49"/>
    <w:link w:val="10"/>
    <w:qFormat/>
    <w:locked/>
    <w:uiPriority w:val="99"/>
    <w:rPr>
      <w:rFonts w:ascii="黑体" w:hAnsi="黑体" w:eastAsia="黑体" w:cs="黑体"/>
      <w:b/>
      <w:bCs/>
      <w:sz w:val="30"/>
      <w:szCs w:val="30"/>
      <w:lang w:val="zh-CN" w:eastAsia="zh-CN" w:bidi="zh-CN"/>
    </w:rPr>
  </w:style>
  <w:style w:type="character" w:customStyle="1" w:styleId="64">
    <w:name w:val="标题 9 Char"/>
    <w:basedOn w:val="49"/>
    <w:link w:val="11"/>
    <w:qFormat/>
    <w:locked/>
    <w:uiPriority w:val="99"/>
    <w:rPr>
      <w:rFonts w:ascii="黑体" w:hAnsi="黑体" w:eastAsia="黑体" w:cs="黑体"/>
      <w:sz w:val="30"/>
      <w:szCs w:val="30"/>
      <w:lang w:val="zh-CN" w:eastAsia="zh-CN" w:bidi="zh-CN"/>
    </w:rPr>
  </w:style>
  <w:style w:type="character" w:customStyle="1" w:styleId="65">
    <w:name w:val="文档结构图 Char"/>
    <w:basedOn w:val="49"/>
    <w:link w:val="16"/>
    <w:qFormat/>
    <w:uiPriority w:val="99"/>
    <w:rPr>
      <w:rFonts w:ascii="Times New Roman" w:hAnsi="Times New Roman" w:eastAsia="宋体" w:cs="Times New Roman"/>
      <w:kern w:val="2"/>
      <w:sz w:val="21"/>
      <w:szCs w:val="24"/>
      <w:shd w:val="clear" w:color="auto" w:fill="000080"/>
      <w:lang w:eastAsia="zh-CN"/>
    </w:rPr>
  </w:style>
  <w:style w:type="character" w:customStyle="1" w:styleId="66">
    <w:name w:val="批注文字 Char"/>
    <w:basedOn w:val="49"/>
    <w:link w:val="17"/>
    <w:qFormat/>
    <w:uiPriority w:val="99"/>
    <w:rPr>
      <w:rFonts w:ascii="Times New Roman" w:hAnsi="Times New Roman" w:eastAsia="宋体" w:cs="Times New Roman"/>
      <w:kern w:val="2"/>
      <w:sz w:val="21"/>
      <w:szCs w:val="24"/>
      <w:lang w:eastAsia="zh-CN"/>
    </w:rPr>
  </w:style>
  <w:style w:type="character" w:customStyle="1" w:styleId="67">
    <w:name w:val="正文文本 3 Char"/>
    <w:basedOn w:val="49"/>
    <w:link w:val="18"/>
    <w:qFormat/>
    <w:uiPriority w:val="99"/>
    <w:rPr>
      <w:rFonts w:ascii="宋体" w:hAnsi="Times New Roman" w:eastAsia="宋体" w:cs="Times New Roman"/>
      <w:kern w:val="2"/>
      <w:sz w:val="24"/>
      <w:szCs w:val="20"/>
      <w:lang w:eastAsia="zh-CN"/>
    </w:rPr>
  </w:style>
  <w:style w:type="character" w:customStyle="1" w:styleId="68">
    <w:name w:val="正文文本 Char"/>
    <w:basedOn w:val="49"/>
    <w:link w:val="20"/>
    <w:qFormat/>
    <w:locked/>
    <w:uiPriority w:val="1"/>
    <w:rPr>
      <w:rFonts w:ascii="宋体" w:hAnsi="宋体" w:eastAsia="宋体" w:cs="宋体"/>
      <w:sz w:val="24"/>
      <w:szCs w:val="24"/>
      <w:lang w:val="zh-CN" w:eastAsia="zh-CN" w:bidi="zh-CN"/>
    </w:rPr>
  </w:style>
  <w:style w:type="character" w:customStyle="1" w:styleId="69">
    <w:name w:val="正文文本缩进 Char"/>
    <w:basedOn w:val="49"/>
    <w:link w:val="21"/>
    <w:qFormat/>
    <w:uiPriority w:val="0"/>
    <w:rPr>
      <w:rFonts w:ascii="Times New Roman" w:hAnsi="Times New Roman" w:eastAsia="宋体" w:cs="Times New Roman"/>
      <w:kern w:val="2"/>
      <w:sz w:val="21"/>
      <w:szCs w:val="24"/>
      <w:lang w:eastAsia="zh-CN"/>
    </w:rPr>
  </w:style>
  <w:style w:type="character" w:customStyle="1" w:styleId="70">
    <w:name w:val="纯文本 Char"/>
    <w:basedOn w:val="49"/>
    <w:link w:val="25"/>
    <w:qFormat/>
    <w:uiPriority w:val="0"/>
    <w:rPr>
      <w:rFonts w:ascii="宋体" w:hAnsi="Courier New" w:eastAsia="宋体" w:cs="Times New Roman"/>
      <w:color w:val="000000"/>
      <w:kern w:val="2"/>
      <w:sz w:val="21"/>
      <w:szCs w:val="20"/>
      <w:lang w:eastAsia="zh-CN"/>
    </w:rPr>
  </w:style>
  <w:style w:type="character" w:customStyle="1" w:styleId="71">
    <w:name w:val="日期 Char"/>
    <w:basedOn w:val="49"/>
    <w:link w:val="28"/>
    <w:qFormat/>
    <w:uiPriority w:val="99"/>
    <w:rPr>
      <w:rFonts w:ascii="Times New Roman" w:hAnsi="Times New Roman" w:eastAsia="宋体" w:cs="Times New Roman"/>
      <w:kern w:val="2"/>
      <w:sz w:val="21"/>
      <w:szCs w:val="24"/>
      <w:lang w:eastAsia="zh-CN"/>
    </w:rPr>
  </w:style>
  <w:style w:type="character" w:customStyle="1" w:styleId="72">
    <w:name w:val="正文文本缩进 2 Char"/>
    <w:basedOn w:val="49"/>
    <w:link w:val="29"/>
    <w:qFormat/>
    <w:uiPriority w:val="99"/>
    <w:rPr>
      <w:rFonts w:ascii="仿宋_GB2312" w:hAnsi="Times New Roman" w:eastAsia="仿宋_GB2312" w:cs="Times New Roman"/>
      <w:kern w:val="2"/>
      <w:sz w:val="28"/>
      <w:szCs w:val="24"/>
      <w:lang w:eastAsia="zh-CN"/>
    </w:rPr>
  </w:style>
  <w:style w:type="character" w:customStyle="1" w:styleId="73">
    <w:name w:val="尾注文本 Char"/>
    <w:basedOn w:val="49"/>
    <w:link w:val="30"/>
    <w:qFormat/>
    <w:uiPriority w:val="99"/>
    <w:rPr>
      <w:rFonts w:ascii="Times New Roman" w:hAnsi="Times New Roman" w:eastAsia="宋体" w:cs="Times New Roman"/>
      <w:kern w:val="2"/>
      <w:sz w:val="21"/>
      <w:szCs w:val="24"/>
      <w:lang w:eastAsia="zh-CN"/>
    </w:rPr>
  </w:style>
  <w:style w:type="character" w:customStyle="1" w:styleId="74">
    <w:name w:val="批注框文本 Char"/>
    <w:basedOn w:val="49"/>
    <w:link w:val="31"/>
    <w:qFormat/>
    <w:uiPriority w:val="99"/>
    <w:rPr>
      <w:rFonts w:ascii="宋体" w:hAnsi="宋体" w:eastAsia="宋体" w:cs="宋体"/>
      <w:sz w:val="18"/>
      <w:szCs w:val="18"/>
      <w:lang w:val="zh-CN" w:eastAsia="zh-CN" w:bidi="zh-CN"/>
    </w:rPr>
  </w:style>
  <w:style w:type="character" w:customStyle="1" w:styleId="75">
    <w:name w:val="页脚 Char"/>
    <w:basedOn w:val="49"/>
    <w:link w:val="32"/>
    <w:qFormat/>
    <w:uiPriority w:val="99"/>
    <w:rPr>
      <w:rFonts w:ascii="宋体" w:hAnsi="宋体" w:eastAsia="宋体" w:cs="宋体"/>
      <w:sz w:val="18"/>
      <w:szCs w:val="18"/>
      <w:lang w:val="zh-CN" w:eastAsia="zh-CN" w:bidi="zh-CN"/>
    </w:rPr>
  </w:style>
  <w:style w:type="character" w:customStyle="1" w:styleId="76">
    <w:name w:val="页眉 Char"/>
    <w:basedOn w:val="49"/>
    <w:link w:val="33"/>
    <w:qFormat/>
    <w:uiPriority w:val="99"/>
    <w:rPr>
      <w:rFonts w:ascii="宋体" w:hAnsi="宋体" w:eastAsia="宋体" w:cs="宋体"/>
      <w:sz w:val="18"/>
      <w:szCs w:val="18"/>
      <w:lang w:val="zh-CN" w:bidi="zh-CN"/>
    </w:rPr>
  </w:style>
  <w:style w:type="character" w:customStyle="1" w:styleId="77">
    <w:name w:val="目录 1 Char"/>
    <w:basedOn w:val="49"/>
    <w:link w:val="34"/>
    <w:qFormat/>
    <w:uiPriority w:val="1"/>
    <w:rPr>
      <w:rFonts w:ascii="黑体" w:hAnsi="黑体" w:eastAsia="黑体" w:cs="黑体"/>
      <w:lang w:val="zh-CN" w:bidi="zh-CN"/>
    </w:rPr>
  </w:style>
  <w:style w:type="character" w:customStyle="1" w:styleId="78">
    <w:name w:val="脚注文本 Char"/>
    <w:basedOn w:val="49"/>
    <w:link w:val="36"/>
    <w:qFormat/>
    <w:uiPriority w:val="0"/>
    <w:rPr>
      <w:rFonts w:ascii="Times New Roman" w:hAnsi="Times New Roman" w:eastAsia="宋体" w:cs="Times New Roman"/>
      <w:kern w:val="2"/>
      <w:sz w:val="18"/>
      <w:szCs w:val="18"/>
      <w:lang w:eastAsia="zh-CN"/>
    </w:rPr>
  </w:style>
  <w:style w:type="character" w:customStyle="1" w:styleId="79">
    <w:name w:val="正文文本缩进 3 Char"/>
    <w:basedOn w:val="49"/>
    <w:link w:val="38"/>
    <w:qFormat/>
    <w:uiPriority w:val="99"/>
    <w:rPr>
      <w:rFonts w:ascii="Times New Roman" w:hAnsi="Times New Roman" w:eastAsia="宋体" w:cs="Times New Roman"/>
      <w:kern w:val="2"/>
      <w:sz w:val="16"/>
      <w:szCs w:val="16"/>
      <w:lang w:eastAsia="zh-CN"/>
    </w:rPr>
  </w:style>
  <w:style w:type="character" w:customStyle="1" w:styleId="80">
    <w:name w:val="正文文本 2 Char"/>
    <w:basedOn w:val="49"/>
    <w:link w:val="41"/>
    <w:qFormat/>
    <w:uiPriority w:val="99"/>
    <w:rPr>
      <w:rFonts w:ascii="宋体" w:hAnsi="宋体" w:eastAsia="宋体" w:cs="Times New Roman"/>
      <w:kern w:val="2"/>
      <w:sz w:val="28"/>
      <w:szCs w:val="24"/>
      <w:lang w:eastAsia="zh-CN"/>
    </w:rPr>
  </w:style>
  <w:style w:type="character" w:customStyle="1" w:styleId="81">
    <w:name w:val="HTML 预设格式 Char"/>
    <w:basedOn w:val="49"/>
    <w:link w:val="42"/>
    <w:qFormat/>
    <w:uiPriority w:val="99"/>
    <w:rPr>
      <w:rFonts w:ascii="宋体" w:hAnsi="宋体" w:eastAsia="宋体" w:cs="宋体"/>
      <w:sz w:val="24"/>
      <w:szCs w:val="24"/>
      <w:lang w:eastAsia="zh-CN"/>
    </w:rPr>
  </w:style>
  <w:style w:type="character" w:customStyle="1" w:styleId="82">
    <w:name w:val="标题 Char"/>
    <w:basedOn w:val="49"/>
    <w:link w:val="44"/>
    <w:qFormat/>
    <w:uiPriority w:val="99"/>
    <w:rPr>
      <w:rFonts w:ascii="Arial" w:hAnsi="Arial" w:eastAsia="宋体" w:cs="Times New Roman"/>
      <w:b/>
      <w:sz w:val="32"/>
      <w:szCs w:val="20"/>
      <w:lang w:eastAsia="zh-CN"/>
    </w:rPr>
  </w:style>
  <w:style w:type="character" w:customStyle="1" w:styleId="83">
    <w:name w:val="批注主题 Char"/>
    <w:basedOn w:val="66"/>
    <w:link w:val="45"/>
    <w:semiHidden/>
    <w:qFormat/>
    <w:uiPriority w:val="99"/>
    <w:rPr>
      <w:rFonts w:ascii="Times New Roman" w:hAnsi="Times New Roman" w:eastAsia="宋体" w:cs="Times New Roman"/>
      <w:b/>
      <w:bCs/>
      <w:kern w:val="2"/>
      <w:sz w:val="21"/>
      <w:szCs w:val="24"/>
      <w:lang w:eastAsia="zh-CN"/>
    </w:rPr>
  </w:style>
  <w:style w:type="character" w:customStyle="1" w:styleId="84">
    <w:name w:val="正文首行缩进 2 Char"/>
    <w:basedOn w:val="69"/>
    <w:link w:val="46"/>
    <w:qFormat/>
    <w:uiPriority w:val="99"/>
    <w:rPr>
      <w:rFonts w:ascii="Times New Roman" w:hAnsi="Times New Roman" w:eastAsia="宋体" w:cs="Times New Roman"/>
      <w:kern w:val="2"/>
      <w:sz w:val="21"/>
      <w:szCs w:val="24"/>
      <w:lang w:eastAsia="zh-CN"/>
    </w:rPr>
  </w:style>
  <w:style w:type="table" w:customStyle="1" w:styleId="85">
    <w:name w:val="Table Normal"/>
    <w:unhideWhenUsed/>
    <w:qFormat/>
    <w:uiPriority w:val="2"/>
    <w:tblPr>
      <w:tblCellMar>
        <w:top w:w="0" w:type="dxa"/>
        <w:left w:w="0" w:type="dxa"/>
        <w:bottom w:w="0" w:type="dxa"/>
        <w:right w:w="0" w:type="dxa"/>
      </w:tblCellMar>
    </w:tblPr>
  </w:style>
  <w:style w:type="paragraph" w:styleId="86">
    <w:name w:val="List Paragraph"/>
    <w:basedOn w:val="1"/>
    <w:qFormat/>
    <w:uiPriority w:val="1"/>
    <w:pPr>
      <w:ind w:left="424" w:firstLine="480"/>
    </w:pPr>
  </w:style>
  <w:style w:type="paragraph" w:customStyle="1" w:styleId="87">
    <w:name w:val="Table Paragraph"/>
    <w:basedOn w:val="1"/>
    <w:qFormat/>
    <w:uiPriority w:val="1"/>
  </w:style>
  <w:style w:type="paragraph" w:customStyle="1" w:styleId="88">
    <w:name w:val="TOC Heading1"/>
    <w:basedOn w:val="2"/>
    <w:next w:val="1"/>
    <w:qFormat/>
    <w:uiPriority w:val="99"/>
    <w:pPr>
      <w:keepNext/>
      <w:keepLines/>
      <w:widowControl/>
      <w:autoSpaceDE/>
      <w:autoSpaceDN/>
      <w:spacing w:before="480" w:line="276" w:lineRule="auto"/>
      <w:outlineLvl w:val="9"/>
    </w:pPr>
    <w:rPr>
      <w:rFonts w:ascii="Cambria" w:hAnsi="Cambria" w:eastAsia="宋体" w:cs="Times New Roman"/>
      <w:b/>
      <w:bCs/>
      <w:color w:val="365F91"/>
      <w:sz w:val="28"/>
      <w:szCs w:val="28"/>
      <w:lang w:val="en-US" w:bidi="ar-SA"/>
    </w:rPr>
  </w:style>
  <w:style w:type="paragraph" w:customStyle="1" w:styleId="89">
    <w:name w:val="样式 标题 3 + (中文) 黑体 小四 非加粗 段前: 7.8 磅 段后: 0 磅 行距: 固定值 20 磅"/>
    <w:basedOn w:val="4"/>
    <w:link w:val="90"/>
    <w:qFormat/>
    <w:uiPriority w:val="99"/>
    <w:pPr>
      <w:keepNext/>
      <w:keepLines/>
      <w:autoSpaceDE/>
      <w:autoSpaceDN/>
      <w:spacing w:before="0" w:line="400" w:lineRule="exact"/>
      <w:ind w:left="0"/>
      <w:jc w:val="both"/>
    </w:pPr>
    <w:rPr>
      <w:rFonts w:ascii="Times New Roman" w:hAnsi="Times New Roman" w:cs="Times New Roman"/>
      <w:kern w:val="2"/>
      <w:sz w:val="24"/>
      <w:szCs w:val="20"/>
      <w:lang w:val="en-US" w:bidi="ar-SA"/>
    </w:rPr>
  </w:style>
  <w:style w:type="character" w:customStyle="1" w:styleId="90">
    <w:name w:val="样式 标题 3 + (中文) 黑体 小四 非加粗 段前: 7.8 磅 段后: 0 磅 行距: 固定值 20 磅 Char"/>
    <w:link w:val="89"/>
    <w:qFormat/>
    <w:locked/>
    <w:uiPriority w:val="99"/>
    <w:rPr>
      <w:rFonts w:ascii="Times New Roman" w:hAnsi="Times New Roman" w:eastAsia="黑体" w:cs="Times New Roman"/>
      <w:kern w:val="2"/>
      <w:sz w:val="24"/>
      <w:szCs w:val="20"/>
      <w:lang w:eastAsia="zh-CN"/>
    </w:rPr>
  </w:style>
  <w:style w:type="paragraph" w:customStyle="1" w:styleId="91">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cs="宋体"/>
      <w:kern w:val="2"/>
      <w:sz w:val="28"/>
      <w:szCs w:val="20"/>
      <w:lang w:val="en-US" w:bidi="ar-SA"/>
    </w:rPr>
  </w:style>
  <w:style w:type="paragraph" w:customStyle="1" w:styleId="92">
    <w:name w:val="样式 标题 1 + 黑体 三号 非加粗 居中 段前: 6 磅 段后: 6 磅 行距: 固定值 20 磅"/>
    <w:basedOn w:val="2"/>
    <w:qFormat/>
    <w:uiPriority w:val="99"/>
    <w:pPr>
      <w:keepNext/>
      <w:keepLines/>
      <w:autoSpaceDE/>
      <w:autoSpaceDN/>
      <w:spacing w:before="120" w:after="120" w:line="400" w:lineRule="exact"/>
      <w:jc w:val="center"/>
    </w:pPr>
    <w:rPr>
      <w:rFonts w:cs="宋体"/>
      <w:kern w:val="44"/>
      <w:sz w:val="32"/>
      <w:szCs w:val="20"/>
      <w:lang w:val="en-US" w:bidi="ar-SA"/>
    </w:rPr>
  </w:style>
  <w:style w:type="paragraph" w:customStyle="1" w:styleId="93">
    <w:name w:val="1"/>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94">
    <w:name w:val="6'"/>
    <w:basedOn w:val="1"/>
    <w:qFormat/>
    <w:uiPriority w:val="99"/>
    <w:pPr>
      <w:adjustRightInd w:val="0"/>
      <w:snapToGrid w:val="0"/>
      <w:spacing w:line="320" w:lineRule="exact"/>
      <w:jc w:val="center"/>
      <w:textAlignment w:val="baseline"/>
    </w:pPr>
    <w:rPr>
      <w:rFonts w:ascii="Times New Roman" w:hAnsi="Times New Roman" w:cs="Times New Roman"/>
      <w:spacing w:val="20"/>
      <w:kern w:val="28"/>
      <w:sz w:val="21"/>
      <w:szCs w:val="20"/>
      <w:lang w:val="en-US" w:bidi="ar-SA"/>
    </w:rPr>
  </w:style>
  <w:style w:type="paragraph" w:customStyle="1" w:styleId="95">
    <w:name w:val="表格"/>
    <w:basedOn w:val="1"/>
    <w:qFormat/>
    <w:uiPriority w:val="99"/>
    <w:pPr>
      <w:autoSpaceDE/>
      <w:autoSpaceDN/>
      <w:jc w:val="center"/>
      <w:textAlignment w:val="center"/>
    </w:pPr>
    <w:rPr>
      <w:rFonts w:ascii="华文细黑" w:hAnsi="华文细黑" w:cs="Times New Roman"/>
      <w:sz w:val="21"/>
      <w:szCs w:val="20"/>
      <w:lang w:val="en-US" w:bidi="ar-SA"/>
    </w:rPr>
  </w:style>
  <w:style w:type="paragraph" w:customStyle="1" w:styleId="96">
    <w:name w:val="表格文字"/>
    <w:basedOn w:val="1"/>
    <w:qFormat/>
    <w:uiPriority w:val="99"/>
    <w:pPr>
      <w:autoSpaceDE/>
      <w:autoSpaceDN/>
      <w:adjustRightInd w:val="0"/>
      <w:spacing w:line="420" w:lineRule="atLeast"/>
      <w:textAlignment w:val="baseline"/>
    </w:pPr>
    <w:rPr>
      <w:rFonts w:ascii="Times New Roman" w:hAnsi="Times New Roman" w:cs="Times New Roman"/>
      <w:sz w:val="21"/>
      <w:szCs w:val="20"/>
      <w:lang w:val="en-US" w:bidi="ar-SA"/>
    </w:rPr>
  </w:style>
  <w:style w:type="paragraph" w:customStyle="1" w:styleId="97">
    <w:name w:val="表格文字居中"/>
    <w:basedOn w:val="1"/>
    <w:next w:val="1"/>
    <w:qFormat/>
    <w:uiPriority w:val="99"/>
    <w:pPr>
      <w:tabs>
        <w:tab w:val="left" w:pos="720"/>
        <w:tab w:val="left" w:pos="900"/>
      </w:tabs>
      <w:autoSpaceDE/>
      <w:autoSpaceDN/>
      <w:adjustRightInd w:val="0"/>
      <w:snapToGrid w:val="0"/>
      <w:spacing w:beforeLines="20" w:afterLines="20" w:line="360" w:lineRule="auto"/>
      <w:jc w:val="center"/>
    </w:pPr>
    <w:rPr>
      <w:rFonts w:hAnsi="Arial" w:cs="Times New Roman"/>
      <w:sz w:val="18"/>
      <w:szCs w:val="20"/>
      <w:lang w:val="en-US" w:bidi="ar-SA"/>
    </w:rPr>
  </w:style>
  <w:style w:type="paragraph" w:customStyle="1" w:styleId="98">
    <w:name w:val="Char Char Char Char Char Char Char Char Char Char Char Char Char Char Char Char"/>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99">
    <w:name w:val="Char Char Char Char Char Char Char Char Char Char Char Char Char Char Char Char1"/>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100">
    <w:name w:val="font5"/>
    <w:basedOn w:val="1"/>
    <w:qFormat/>
    <w:uiPriority w:val="99"/>
    <w:pPr>
      <w:widowControl/>
      <w:autoSpaceDE/>
      <w:autoSpaceDN/>
      <w:spacing w:before="100" w:beforeAutospacing="1" w:after="100" w:afterAutospacing="1"/>
    </w:pPr>
    <w:rPr>
      <w:sz w:val="24"/>
      <w:szCs w:val="24"/>
      <w:lang w:val="en-US" w:bidi="ar-SA"/>
    </w:rPr>
  </w:style>
  <w:style w:type="paragraph" w:customStyle="1" w:styleId="101">
    <w:name w:val="font6"/>
    <w:basedOn w:val="1"/>
    <w:qFormat/>
    <w:uiPriority w:val="99"/>
    <w:pPr>
      <w:widowControl/>
      <w:autoSpaceDE/>
      <w:autoSpaceDN/>
      <w:spacing w:before="100" w:beforeAutospacing="1" w:after="100" w:afterAutospacing="1"/>
    </w:pPr>
    <w:rPr>
      <w:sz w:val="18"/>
      <w:szCs w:val="18"/>
      <w:lang w:val="en-US" w:bidi="ar-SA"/>
    </w:rPr>
  </w:style>
  <w:style w:type="paragraph" w:customStyle="1" w:styleId="102">
    <w:name w:val="font7"/>
    <w:basedOn w:val="1"/>
    <w:qFormat/>
    <w:uiPriority w:val="99"/>
    <w:pPr>
      <w:widowControl/>
      <w:autoSpaceDE/>
      <w:autoSpaceDN/>
      <w:spacing w:before="100" w:beforeAutospacing="1" w:after="100" w:afterAutospacing="1"/>
    </w:pPr>
    <w:rPr>
      <w:sz w:val="28"/>
      <w:szCs w:val="28"/>
      <w:lang w:val="en-US" w:bidi="ar-SA"/>
    </w:rPr>
  </w:style>
  <w:style w:type="paragraph" w:customStyle="1" w:styleId="103">
    <w:name w:val="font8"/>
    <w:basedOn w:val="1"/>
    <w:qFormat/>
    <w:uiPriority w:val="99"/>
    <w:pPr>
      <w:widowControl/>
      <w:autoSpaceDE/>
      <w:autoSpaceDN/>
      <w:spacing w:before="100" w:beforeAutospacing="1" w:after="100" w:afterAutospacing="1"/>
    </w:pPr>
    <w:rPr>
      <w:rFonts w:ascii="Times New Roman" w:hAnsi="Times New Roman" w:cs="Times New Roman"/>
      <w:sz w:val="28"/>
      <w:szCs w:val="28"/>
      <w:lang w:val="en-US" w:bidi="ar-SA"/>
    </w:rPr>
  </w:style>
  <w:style w:type="paragraph" w:customStyle="1" w:styleId="104">
    <w:name w:val="font9"/>
    <w:basedOn w:val="1"/>
    <w:qFormat/>
    <w:uiPriority w:val="99"/>
    <w:pPr>
      <w:widowControl/>
      <w:autoSpaceDE/>
      <w:autoSpaceDN/>
      <w:spacing w:before="100" w:beforeAutospacing="1" w:after="100" w:afterAutospacing="1"/>
    </w:pPr>
    <w:rPr>
      <w:rFonts w:ascii="Times New Roman" w:hAnsi="Times New Roman" w:cs="Times New Roman"/>
      <w:sz w:val="24"/>
      <w:szCs w:val="24"/>
      <w:lang w:val="en-US" w:bidi="ar-SA"/>
    </w:rPr>
  </w:style>
  <w:style w:type="paragraph" w:customStyle="1" w:styleId="105">
    <w:name w:val="font10"/>
    <w:basedOn w:val="1"/>
    <w:qFormat/>
    <w:uiPriority w:val="99"/>
    <w:pPr>
      <w:widowControl/>
      <w:autoSpaceDE/>
      <w:autoSpaceDN/>
      <w:spacing w:before="100" w:beforeAutospacing="1" w:after="100" w:afterAutospacing="1"/>
    </w:pPr>
    <w:rPr>
      <w:color w:val="000000"/>
      <w:sz w:val="24"/>
      <w:szCs w:val="24"/>
      <w:lang w:val="en-US" w:bidi="ar-SA"/>
    </w:rPr>
  </w:style>
  <w:style w:type="paragraph" w:customStyle="1" w:styleId="106">
    <w:name w:val="font11"/>
    <w:basedOn w:val="1"/>
    <w:qFormat/>
    <w:uiPriority w:val="99"/>
    <w:pPr>
      <w:widowControl/>
      <w:autoSpaceDE/>
      <w:autoSpaceDN/>
      <w:spacing w:before="100" w:beforeAutospacing="1" w:after="100" w:afterAutospacing="1"/>
    </w:pPr>
    <w:rPr>
      <w:color w:val="000000"/>
      <w:sz w:val="24"/>
      <w:szCs w:val="24"/>
      <w:lang w:val="en-US" w:bidi="ar-SA"/>
    </w:rPr>
  </w:style>
  <w:style w:type="paragraph" w:customStyle="1" w:styleId="107">
    <w:name w:val="font12"/>
    <w:basedOn w:val="1"/>
    <w:qFormat/>
    <w:uiPriority w:val="99"/>
    <w:pPr>
      <w:widowControl/>
      <w:autoSpaceDE/>
      <w:autoSpaceDN/>
      <w:spacing w:before="100" w:beforeAutospacing="1" w:after="100" w:afterAutospacing="1"/>
    </w:pPr>
    <w:rPr>
      <w:color w:val="000000"/>
      <w:sz w:val="28"/>
      <w:szCs w:val="28"/>
      <w:lang w:val="en-US" w:bidi="ar-SA"/>
    </w:rPr>
  </w:style>
  <w:style w:type="paragraph" w:customStyle="1" w:styleId="108">
    <w:name w:val="font13"/>
    <w:basedOn w:val="1"/>
    <w:qFormat/>
    <w:uiPriority w:val="99"/>
    <w:pPr>
      <w:widowControl/>
      <w:autoSpaceDE/>
      <w:autoSpaceDN/>
      <w:spacing w:before="100" w:beforeAutospacing="1" w:after="100" w:afterAutospacing="1"/>
    </w:pPr>
    <w:rPr>
      <w:rFonts w:ascii="Times New Roman" w:hAnsi="Times New Roman" w:cs="Times New Roman"/>
      <w:color w:val="000000"/>
      <w:sz w:val="28"/>
      <w:szCs w:val="28"/>
      <w:lang w:val="en-US" w:bidi="ar-SA"/>
    </w:rPr>
  </w:style>
  <w:style w:type="paragraph" w:customStyle="1" w:styleId="109">
    <w:name w:val="font14"/>
    <w:basedOn w:val="1"/>
    <w:qFormat/>
    <w:uiPriority w:val="99"/>
    <w:pPr>
      <w:widowControl/>
      <w:autoSpaceDE/>
      <w:autoSpaceDN/>
      <w:spacing w:before="100" w:beforeAutospacing="1" w:after="100" w:afterAutospacing="1"/>
    </w:pPr>
    <w:rPr>
      <w:rFonts w:ascii="Times New Roman" w:hAnsi="Times New Roman" w:cs="Times New Roman"/>
      <w:color w:val="000000"/>
      <w:sz w:val="24"/>
      <w:szCs w:val="24"/>
      <w:lang w:val="en-US" w:bidi="ar-SA"/>
    </w:rPr>
  </w:style>
  <w:style w:type="paragraph" w:customStyle="1" w:styleId="110">
    <w:name w:val="font15"/>
    <w:basedOn w:val="1"/>
    <w:qFormat/>
    <w:uiPriority w:val="99"/>
    <w:pPr>
      <w:widowControl/>
      <w:autoSpaceDE/>
      <w:autoSpaceDN/>
      <w:spacing w:before="100" w:beforeAutospacing="1" w:after="100" w:afterAutospacing="1"/>
    </w:pPr>
    <w:rPr>
      <w:sz w:val="24"/>
      <w:szCs w:val="24"/>
      <w:lang w:val="en-US" w:bidi="ar-SA"/>
    </w:rPr>
  </w:style>
  <w:style w:type="paragraph" w:customStyle="1" w:styleId="111">
    <w:name w:val="xl2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12">
    <w:name w:val="xl2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13">
    <w:name w:val="xl2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14">
    <w:name w:val="xl2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15">
    <w:name w:val="xl2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sz w:val="24"/>
      <w:szCs w:val="24"/>
      <w:lang w:val="en-US" w:bidi="ar-SA"/>
    </w:rPr>
  </w:style>
  <w:style w:type="paragraph" w:customStyle="1" w:styleId="116">
    <w:name w:val="xl27"/>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17">
    <w:name w:val="xl28"/>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18">
    <w:name w:val="xl29"/>
    <w:basedOn w:val="1"/>
    <w:qFormat/>
    <w:uiPriority w:val="99"/>
    <w:pPr>
      <w:widowControl/>
      <w:autoSpaceDE/>
      <w:autoSpaceDN/>
      <w:spacing w:before="100" w:beforeAutospacing="1" w:after="100" w:afterAutospacing="1"/>
      <w:jc w:val="center"/>
    </w:pPr>
    <w:rPr>
      <w:sz w:val="24"/>
      <w:szCs w:val="24"/>
      <w:lang w:val="en-US" w:bidi="ar-SA"/>
    </w:rPr>
  </w:style>
  <w:style w:type="paragraph" w:customStyle="1" w:styleId="119">
    <w:name w:val="xl30"/>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0">
    <w:name w:val="xl3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1">
    <w:name w:val="xl3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2">
    <w:name w:val="xl3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3">
    <w:name w:val="xl3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24">
    <w:name w:val="xl3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25">
    <w:name w:val="xl3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26">
    <w:name w:val="xl3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27">
    <w:name w:val="xl3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28">
    <w:name w:val="xl3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29">
    <w:name w:val="xl4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30">
    <w:name w:val="xl4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1">
    <w:name w:val="xl4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32">
    <w:name w:val="xl4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33">
    <w:name w:val="xl4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4">
    <w:name w:val="xl4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5">
    <w:name w:val="xl46"/>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6">
    <w:name w:val="xl4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7">
    <w:name w:val="xl48"/>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color w:val="000000"/>
      <w:sz w:val="24"/>
      <w:szCs w:val="24"/>
      <w:lang w:val="en-US" w:bidi="ar-SA"/>
    </w:rPr>
  </w:style>
  <w:style w:type="paragraph" w:customStyle="1" w:styleId="138">
    <w:name w:val="xl49"/>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39">
    <w:name w:val="xl5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40">
    <w:name w:val="xl5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FF0000"/>
      <w:sz w:val="24"/>
      <w:szCs w:val="24"/>
      <w:lang w:val="en-US" w:bidi="ar-SA"/>
    </w:rPr>
  </w:style>
  <w:style w:type="paragraph" w:customStyle="1" w:styleId="141">
    <w:name w:val="xl5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FF0000"/>
      <w:sz w:val="24"/>
      <w:szCs w:val="24"/>
      <w:lang w:val="en-US" w:bidi="ar-SA"/>
    </w:rPr>
  </w:style>
  <w:style w:type="paragraph" w:customStyle="1" w:styleId="142">
    <w:name w:val="xl5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FF0000"/>
      <w:sz w:val="24"/>
      <w:szCs w:val="24"/>
      <w:lang w:val="en-US" w:bidi="ar-SA"/>
    </w:rPr>
  </w:style>
  <w:style w:type="paragraph" w:customStyle="1" w:styleId="143">
    <w:name w:val="xl5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FF"/>
      <w:sz w:val="24"/>
      <w:szCs w:val="24"/>
      <w:lang w:val="en-US" w:bidi="ar-SA"/>
    </w:rPr>
  </w:style>
  <w:style w:type="paragraph" w:customStyle="1" w:styleId="144">
    <w:name w:val="xl5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FF"/>
      <w:sz w:val="24"/>
      <w:szCs w:val="24"/>
      <w:lang w:val="en-US" w:bidi="ar-SA"/>
    </w:rPr>
  </w:style>
  <w:style w:type="paragraph" w:customStyle="1" w:styleId="145">
    <w:name w:val="xl5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FF"/>
      <w:sz w:val="24"/>
      <w:szCs w:val="24"/>
      <w:lang w:val="en-US" w:bidi="ar-SA"/>
    </w:rPr>
  </w:style>
  <w:style w:type="paragraph" w:customStyle="1" w:styleId="146">
    <w:name w:val="xl57"/>
    <w:basedOn w:val="1"/>
    <w:qFormat/>
    <w:uiPriority w:val="99"/>
    <w:pPr>
      <w:widowControl/>
      <w:autoSpaceDE/>
      <w:autoSpaceDN/>
      <w:spacing w:before="100" w:beforeAutospacing="1" w:after="100" w:afterAutospacing="1"/>
      <w:jc w:val="center"/>
    </w:pPr>
    <w:rPr>
      <w:color w:val="000000"/>
      <w:sz w:val="44"/>
      <w:szCs w:val="44"/>
      <w:lang w:val="en-US" w:bidi="ar-SA"/>
    </w:rPr>
  </w:style>
  <w:style w:type="paragraph" w:customStyle="1" w:styleId="147">
    <w:name w:val="xl58"/>
    <w:basedOn w:val="1"/>
    <w:qFormat/>
    <w:uiPriority w:val="99"/>
    <w:pPr>
      <w:widowControl/>
      <w:autoSpaceDE/>
      <w:autoSpaceDN/>
      <w:spacing w:before="100" w:beforeAutospacing="1" w:after="100" w:afterAutospacing="1"/>
    </w:pPr>
    <w:rPr>
      <w:color w:val="000000"/>
      <w:sz w:val="24"/>
      <w:szCs w:val="24"/>
      <w:lang w:val="en-US" w:bidi="ar-SA"/>
    </w:rPr>
  </w:style>
  <w:style w:type="paragraph" w:customStyle="1" w:styleId="148">
    <w:name w:val="xl5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8"/>
      <w:szCs w:val="28"/>
      <w:lang w:val="en-US" w:bidi="ar-SA"/>
    </w:rPr>
  </w:style>
  <w:style w:type="paragraph" w:customStyle="1" w:styleId="149">
    <w:name w:val="xl60"/>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50">
    <w:name w:val="xl61"/>
    <w:basedOn w:val="1"/>
    <w:qFormat/>
    <w:uiPriority w:val="99"/>
    <w:pPr>
      <w:widowControl/>
      <w:pBdr>
        <w:top w:val="single" w:color="auto" w:sz="4" w:space="0"/>
        <w:bottom w:val="single" w:color="auto" w:sz="4" w:space="0"/>
      </w:pBdr>
      <w:autoSpaceDE/>
      <w:autoSpaceDN/>
      <w:spacing w:before="100" w:beforeAutospacing="1" w:after="100" w:afterAutospacing="1"/>
      <w:jc w:val="right"/>
    </w:pPr>
    <w:rPr>
      <w:color w:val="000000"/>
      <w:sz w:val="24"/>
      <w:szCs w:val="24"/>
      <w:lang w:val="en-US" w:bidi="ar-SA"/>
    </w:rPr>
  </w:style>
  <w:style w:type="paragraph" w:customStyle="1" w:styleId="151">
    <w:name w:val="xl62"/>
    <w:basedOn w:val="1"/>
    <w:qFormat/>
    <w:uiPriority w:val="99"/>
    <w:pPr>
      <w:widowControl/>
      <w:pBdr>
        <w:top w:val="single" w:color="auto" w:sz="4" w:space="0"/>
        <w:bottom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52">
    <w:name w:val="xl63"/>
    <w:basedOn w:val="1"/>
    <w:qFormat/>
    <w:uiPriority w:val="99"/>
    <w:pPr>
      <w:widowControl/>
      <w:pBdr>
        <w:bottom w:val="single" w:color="auto" w:sz="4" w:space="0"/>
      </w:pBdr>
      <w:autoSpaceDE/>
      <w:autoSpaceDN/>
      <w:spacing w:before="100" w:beforeAutospacing="1" w:after="100" w:afterAutospacing="1"/>
    </w:pPr>
    <w:rPr>
      <w:color w:val="000000"/>
      <w:sz w:val="24"/>
      <w:szCs w:val="24"/>
      <w:lang w:val="en-US" w:bidi="ar-SA"/>
    </w:rPr>
  </w:style>
  <w:style w:type="paragraph" w:customStyle="1" w:styleId="153">
    <w:name w:val="xl64"/>
    <w:basedOn w:val="1"/>
    <w:qFormat/>
    <w:uiPriority w:val="99"/>
    <w:pPr>
      <w:widowControl/>
      <w:pBdr>
        <w:top w:val="single" w:color="auto" w:sz="4" w:space="0"/>
        <w:bottom w:val="single" w:color="auto" w:sz="4" w:space="0"/>
      </w:pBdr>
      <w:autoSpaceDE/>
      <w:autoSpaceDN/>
      <w:spacing w:before="100" w:beforeAutospacing="1" w:after="100" w:afterAutospacing="1"/>
      <w:jc w:val="center"/>
    </w:pPr>
    <w:rPr>
      <w:color w:val="000000"/>
      <w:sz w:val="24"/>
      <w:szCs w:val="24"/>
      <w:lang w:val="en-US" w:bidi="ar-SA"/>
    </w:rPr>
  </w:style>
  <w:style w:type="paragraph" w:customStyle="1" w:styleId="154">
    <w:name w:val="xl6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8"/>
      <w:szCs w:val="28"/>
      <w:lang w:val="en-US" w:bidi="ar-SA"/>
    </w:rPr>
  </w:style>
  <w:style w:type="paragraph" w:customStyle="1" w:styleId="155">
    <w:name w:val="xl66"/>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156">
    <w:name w:val="xl67"/>
    <w:basedOn w:val="1"/>
    <w:qFormat/>
    <w:uiPriority w:val="99"/>
    <w:pPr>
      <w:widowControl/>
      <w:pBdr>
        <w:top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157">
    <w:name w:val="xl68"/>
    <w:basedOn w:val="1"/>
    <w:qFormat/>
    <w:uiPriority w:val="99"/>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58">
    <w:name w:val="xl69"/>
    <w:basedOn w:val="1"/>
    <w:qFormat/>
    <w:uiPriority w:val="99"/>
    <w:pPr>
      <w:widowControl/>
      <w:autoSpaceDE/>
      <w:autoSpaceDN/>
      <w:spacing w:before="100" w:beforeAutospacing="1" w:after="100" w:afterAutospacing="1"/>
      <w:jc w:val="center"/>
    </w:pPr>
    <w:rPr>
      <w:sz w:val="44"/>
      <w:szCs w:val="44"/>
      <w:lang w:val="en-US" w:bidi="ar-SA"/>
    </w:rPr>
  </w:style>
  <w:style w:type="paragraph" w:customStyle="1" w:styleId="159">
    <w:name w:val="xl70"/>
    <w:basedOn w:val="1"/>
    <w:qFormat/>
    <w:uiPriority w:val="99"/>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60">
    <w:name w:val="xl71"/>
    <w:basedOn w:val="1"/>
    <w:qFormat/>
    <w:uiPriority w:val="99"/>
    <w:pPr>
      <w:widowControl/>
      <w:pBdr>
        <w:bottom w:val="single" w:color="auto" w:sz="4" w:space="0"/>
      </w:pBdr>
      <w:autoSpaceDE/>
      <w:autoSpaceDN/>
      <w:spacing w:before="100" w:beforeAutospacing="1" w:after="100" w:afterAutospacing="1"/>
    </w:pPr>
    <w:rPr>
      <w:sz w:val="24"/>
      <w:szCs w:val="24"/>
      <w:lang w:val="en-US" w:bidi="ar-SA"/>
    </w:rPr>
  </w:style>
  <w:style w:type="paragraph" w:customStyle="1" w:styleId="161">
    <w:name w:val="xl72"/>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62">
    <w:name w:val="xl73"/>
    <w:basedOn w:val="1"/>
    <w:qFormat/>
    <w:uiPriority w:val="99"/>
    <w:pPr>
      <w:widowControl/>
      <w:autoSpaceDE/>
      <w:autoSpaceDN/>
      <w:spacing w:before="100" w:beforeAutospacing="1" w:after="100" w:afterAutospacing="1"/>
      <w:jc w:val="center"/>
    </w:pPr>
    <w:rPr>
      <w:sz w:val="40"/>
      <w:szCs w:val="40"/>
      <w:lang w:val="en-US" w:bidi="ar-SA"/>
    </w:rPr>
  </w:style>
  <w:style w:type="paragraph" w:customStyle="1" w:styleId="163">
    <w:name w:val="xl74"/>
    <w:basedOn w:val="1"/>
    <w:qFormat/>
    <w:uiPriority w:val="99"/>
    <w:pPr>
      <w:widowControl/>
      <w:autoSpaceDE/>
      <w:autoSpaceDN/>
      <w:spacing w:before="100" w:beforeAutospacing="1" w:after="100" w:afterAutospacing="1"/>
    </w:pPr>
    <w:rPr>
      <w:sz w:val="24"/>
      <w:szCs w:val="24"/>
      <w:lang w:val="en-US" w:bidi="ar-SA"/>
    </w:rPr>
  </w:style>
  <w:style w:type="paragraph" w:customStyle="1" w:styleId="164">
    <w:name w:val="xl75"/>
    <w:basedOn w:val="1"/>
    <w:qFormat/>
    <w:uiPriority w:val="99"/>
    <w:pPr>
      <w:widowControl/>
      <w:pBdr>
        <w:top w:val="single" w:color="auto" w:sz="4" w:space="0"/>
        <w:left w:val="single" w:color="auto" w:sz="4" w:space="0"/>
      </w:pBdr>
      <w:autoSpaceDE/>
      <w:autoSpaceDN/>
      <w:spacing w:before="100" w:beforeAutospacing="1" w:after="100" w:afterAutospacing="1"/>
      <w:jc w:val="center"/>
    </w:pPr>
    <w:rPr>
      <w:sz w:val="24"/>
      <w:szCs w:val="24"/>
      <w:lang w:val="en-US" w:bidi="ar-SA"/>
    </w:rPr>
  </w:style>
  <w:style w:type="paragraph" w:customStyle="1" w:styleId="165">
    <w:name w:val="xl76"/>
    <w:basedOn w:val="1"/>
    <w:qFormat/>
    <w:uiPriority w:val="99"/>
    <w:pPr>
      <w:widowControl/>
      <w:pBdr>
        <w:top w:val="single" w:color="auto" w:sz="4" w:space="0"/>
      </w:pBdr>
      <w:autoSpaceDE/>
      <w:autoSpaceDN/>
      <w:spacing w:before="100" w:beforeAutospacing="1" w:after="100" w:afterAutospacing="1"/>
      <w:jc w:val="center"/>
    </w:pPr>
    <w:rPr>
      <w:sz w:val="24"/>
      <w:szCs w:val="24"/>
      <w:lang w:val="en-US" w:bidi="ar-SA"/>
    </w:rPr>
  </w:style>
  <w:style w:type="paragraph" w:customStyle="1" w:styleId="166">
    <w:name w:val="xl77"/>
    <w:basedOn w:val="1"/>
    <w:qFormat/>
    <w:uiPriority w:val="99"/>
    <w:pPr>
      <w:widowControl/>
      <w:pBdr>
        <w:top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67">
    <w:name w:val="Char Char Char Char Char Char Char Char Char Char Char Char Char Char Char Char2"/>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168">
    <w:name w:val="Char Char Char Char Char Char Char Char Char Char Char Char Char Char Char Char3"/>
    <w:basedOn w:val="1"/>
    <w:qFormat/>
    <w:uiPriority w:val="99"/>
    <w:pPr>
      <w:autoSpaceDE/>
      <w:autoSpaceDN/>
      <w:jc w:val="both"/>
    </w:pPr>
    <w:rPr>
      <w:rFonts w:ascii="Times New Roman" w:hAnsi="Times New Roman" w:cs="Times New Roman"/>
      <w:kern w:val="2"/>
      <w:sz w:val="21"/>
      <w:szCs w:val="24"/>
      <w:lang w:val="en-US" w:bidi="ar-SA"/>
    </w:rPr>
  </w:style>
  <w:style w:type="paragraph" w:customStyle="1" w:styleId="169">
    <w:name w:val="Char Char Char Char Char Char Char Char Char Char Char Char Char Char Char Char4"/>
    <w:basedOn w:val="1"/>
    <w:qFormat/>
    <w:uiPriority w:val="99"/>
    <w:pPr>
      <w:autoSpaceDE/>
      <w:autoSpaceDN/>
      <w:jc w:val="both"/>
    </w:pPr>
    <w:rPr>
      <w:rFonts w:ascii="Times New Roman" w:hAnsi="Times New Roman" w:cs="Times New Roman"/>
      <w:kern w:val="2"/>
      <w:sz w:val="21"/>
      <w:szCs w:val="24"/>
      <w:lang w:val="en-US" w:bidi="ar-SA"/>
    </w:rPr>
  </w:style>
  <w:style w:type="character" w:customStyle="1" w:styleId="170">
    <w:name w:val="font161"/>
    <w:basedOn w:val="49"/>
    <w:qFormat/>
    <w:uiPriority w:val="99"/>
    <w:rPr>
      <w:rFonts w:cs="Times New Roman"/>
      <w:b/>
      <w:bCs/>
      <w:sz w:val="32"/>
      <w:szCs w:val="32"/>
    </w:rPr>
  </w:style>
  <w:style w:type="paragraph" w:customStyle="1" w:styleId="171">
    <w:name w:val="TOC 标题1"/>
    <w:basedOn w:val="2"/>
    <w:next w:val="1"/>
    <w:qFormat/>
    <w:uiPriority w:val="39"/>
    <w:pPr>
      <w:keepNext/>
      <w:keepLines/>
      <w:widowControl/>
      <w:autoSpaceDE/>
      <w:autoSpaceDN/>
      <w:spacing w:before="480" w:line="276" w:lineRule="auto"/>
      <w:outlineLvl w:val="9"/>
    </w:pPr>
    <w:rPr>
      <w:rFonts w:ascii="Cambria" w:hAnsi="Cambria" w:eastAsia="宋体" w:cs="Times New Roman"/>
      <w:b/>
      <w:bCs/>
      <w:color w:val="365F91"/>
      <w:sz w:val="28"/>
      <w:szCs w:val="28"/>
      <w:lang w:val="en-US" w:bidi="ar-SA"/>
    </w:rPr>
  </w:style>
  <w:style w:type="paragraph" w:customStyle="1" w:styleId="172">
    <w:name w:val="font0"/>
    <w:basedOn w:val="1"/>
    <w:qFormat/>
    <w:uiPriority w:val="99"/>
    <w:pPr>
      <w:widowControl/>
      <w:autoSpaceDE/>
      <w:autoSpaceDN/>
      <w:spacing w:before="100" w:beforeAutospacing="1" w:after="100" w:afterAutospacing="1"/>
    </w:pPr>
    <w:rPr>
      <w:sz w:val="24"/>
      <w:szCs w:val="24"/>
      <w:lang w:val="en-US" w:bidi="ar-SA"/>
    </w:rPr>
  </w:style>
  <w:style w:type="paragraph" w:customStyle="1" w:styleId="173">
    <w:name w:val="xl78"/>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lang w:val="en-US" w:bidi="ar-SA"/>
    </w:rPr>
  </w:style>
  <w:style w:type="paragraph" w:customStyle="1" w:styleId="174">
    <w:name w:val="xl79"/>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175">
    <w:name w:val="xl80"/>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lang w:val="en-US" w:bidi="ar-SA"/>
    </w:rPr>
  </w:style>
  <w:style w:type="paragraph" w:customStyle="1" w:styleId="176">
    <w:name w:val="xl82"/>
    <w:basedOn w:val="1"/>
    <w:qFormat/>
    <w:uiPriority w:val="99"/>
    <w:pPr>
      <w:widowControl/>
      <w:pBdr>
        <w:left w:val="single" w:color="auto" w:sz="4" w:space="0"/>
        <w:bottom w:val="single" w:color="000000" w:sz="4" w:space="0"/>
        <w:right w:val="single" w:color="000000" w:sz="4" w:space="0"/>
      </w:pBdr>
      <w:autoSpaceDE/>
      <w:autoSpaceDN/>
      <w:spacing w:before="100" w:beforeAutospacing="1" w:after="100" w:afterAutospacing="1"/>
      <w:jc w:val="center"/>
    </w:pPr>
    <w:rPr>
      <w:lang w:val="en-US" w:bidi="ar-SA"/>
    </w:rPr>
  </w:style>
  <w:style w:type="paragraph" w:customStyle="1" w:styleId="177">
    <w:name w:val="xl8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178">
    <w:name w:val="xl8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val="en-US" w:bidi="ar-SA"/>
    </w:rPr>
  </w:style>
  <w:style w:type="paragraph" w:customStyle="1" w:styleId="179">
    <w:name w:val="xl8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180">
    <w:name w:val="xl8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bottom"/>
    </w:pPr>
    <w:rPr>
      <w:lang w:val="en-US" w:bidi="ar-SA"/>
    </w:rPr>
  </w:style>
  <w:style w:type="paragraph" w:customStyle="1" w:styleId="181">
    <w:name w:val="xl8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sz w:val="24"/>
      <w:szCs w:val="24"/>
      <w:lang w:val="en-US" w:bidi="ar-SA"/>
    </w:rPr>
  </w:style>
  <w:style w:type="paragraph" w:customStyle="1" w:styleId="182">
    <w:name w:val="xl88"/>
    <w:basedOn w:val="1"/>
    <w:qFormat/>
    <w:uiPriority w:val="99"/>
    <w:pPr>
      <w:widowControl/>
      <w:autoSpaceDE/>
      <w:autoSpaceDN/>
      <w:spacing w:before="100" w:beforeAutospacing="1" w:after="100" w:afterAutospacing="1"/>
      <w:jc w:val="center"/>
    </w:pPr>
    <w:rPr>
      <w:sz w:val="36"/>
      <w:szCs w:val="36"/>
      <w:lang w:val="en-US" w:bidi="ar-SA"/>
    </w:rPr>
  </w:style>
  <w:style w:type="paragraph" w:customStyle="1" w:styleId="183">
    <w:name w:val="xl8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lang w:val="en-US" w:bidi="ar-SA"/>
    </w:rPr>
  </w:style>
  <w:style w:type="paragraph" w:customStyle="1" w:styleId="184">
    <w:name w:val="xl9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85">
    <w:name w:val="xl9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86">
    <w:name w:val="xl92"/>
    <w:basedOn w:val="1"/>
    <w:qFormat/>
    <w:uiPriority w:val="99"/>
    <w:pPr>
      <w:widowControl/>
      <w:autoSpaceDE/>
      <w:autoSpaceDN/>
      <w:spacing w:before="100" w:beforeAutospacing="1" w:after="100" w:afterAutospacing="1"/>
      <w:jc w:val="center"/>
    </w:pPr>
    <w:rPr>
      <w:sz w:val="24"/>
      <w:szCs w:val="24"/>
      <w:lang w:val="en-US" w:bidi="ar-SA"/>
    </w:rPr>
  </w:style>
  <w:style w:type="paragraph" w:customStyle="1" w:styleId="187">
    <w:name w:val="xl93"/>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188">
    <w:name w:val="xl9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89">
    <w:name w:val="xl9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0">
    <w:name w:val="xl96"/>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1">
    <w:name w:val="xl97"/>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2">
    <w:name w:val="xl98"/>
    <w:basedOn w:val="1"/>
    <w:qFormat/>
    <w:uiPriority w:val="99"/>
    <w:pPr>
      <w:widowControl/>
      <w:autoSpaceDE/>
      <w:autoSpaceDN/>
      <w:spacing w:before="100" w:beforeAutospacing="1" w:after="100" w:afterAutospacing="1"/>
      <w:jc w:val="center"/>
    </w:pPr>
    <w:rPr>
      <w:sz w:val="24"/>
      <w:szCs w:val="24"/>
      <w:lang w:val="en-US" w:bidi="ar-SA"/>
    </w:rPr>
  </w:style>
  <w:style w:type="paragraph" w:customStyle="1" w:styleId="193">
    <w:name w:val="xl99"/>
    <w:basedOn w:val="1"/>
    <w:qFormat/>
    <w:uiPriority w:val="99"/>
    <w:pPr>
      <w:widowControl/>
      <w:autoSpaceDE/>
      <w:autoSpaceDN/>
      <w:spacing w:before="100" w:beforeAutospacing="1" w:after="100" w:afterAutospacing="1"/>
      <w:jc w:val="right"/>
    </w:pPr>
    <w:rPr>
      <w:sz w:val="24"/>
      <w:szCs w:val="24"/>
      <w:lang w:val="en-US" w:bidi="ar-SA"/>
    </w:rPr>
  </w:style>
  <w:style w:type="paragraph" w:customStyle="1" w:styleId="194">
    <w:name w:val="xl100"/>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195">
    <w:name w:val="xl101"/>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6">
    <w:name w:val="xl10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bottom"/>
    </w:pPr>
    <w:rPr>
      <w:sz w:val="24"/>
      <w:szCs w:val="24"/>
      <w:lang w:val="en-US" w:bidi="ar-SA"/>
    </w:rPr>
  </w:style>
  <w:style w:type="paragraph" w:customStyle="1" w:styleId="197">
    <w:name w:val="xl10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198">
    <w:name w:val="xl104"/>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pPr>
    <w:rPr>
      <w:lang w:val="en-US" w:bidi="ar-SA"/>
    </w:rPr>
  </w:style>
  <w:style w:type="paragraph" w:customStyle="1" w:styleId="199">
    <w:name w:val="xl105"/>
    <w:basedOn w:val="1"/>
    <w:qFormat/>
    <w:uiPriority w:val="99"/>
    <w:pPr>
      <w:widowControl/>
      <w:autoSpaceDE/>
      <w:autoSpaceDN/>
      <w:spacing w:before="100" w:beforeAutospacing="1" w:after="100" w:afterAutospacing="1"/>
      <w:jc w:val="right"/>
    </w:pPr>
    <w:rPr>
      <w:sz w:val="24"/>
      <w:szCs w:val="24"/>
      <w:lang w:val="en-US" w:bidi="ar-SA"/>
    </w:rPr>
  </w:style>
  <w:style w:type="paragraph" w:customStyle="1" w:styleId="200">
    <w:name w:val="xl106"/>
    <w:basedOn w:val="1"/>
    <w:qFormat/>
    <w:uiPriority w:val="99"/>
    <w:pPr>
      <w:widowControl/>
      <w:autoSpaceDE/>
      <w:autoSpaceDN/>
      <w:spacing w:before="100" w:beforeAutospacing="1" w:after="100" w:afterAutospacing="1"/>
    </w:pPr>
    <w:rPr>
      <w:sz w:val="24"/>
      <w:szCs w:val="24"/>
      <w:lang w:val="en-US" w:bidi="ar-SA"/>
    </w:rPr>
  </w:style>
  <w:style w:type="paragraph" w:customStyle="1" w:styleId="201">
    <w:name w:val="xl107"/>
    <w:basedOn w:val="1"/>
    <w:qFormat/>
    <w:uiPriority w:val="99"/>
    <w:pPr>
      <w:widowControl/>
      <w:pBdr>
        <w:bottom w:val="single" w:color="000000" w:sz="4" w:space="0"/>
        <w:right w:val="single" w:color="000000" w:sz="4" w:space="0"/>
      </w:pBdr>
      <w:autoSpaceDE/>
      <w:autoSpaceDN/>
      <w:spacing w:before="100" w:beforeAutospacing="1" w:after="100" w:afterAutospacing="1"/>
      <w:jc w:val="center"/>
    </w:pPr>
    <w:rPr>
      <w:lang w:val="en-US" w:bidi="ar-SA"/>
    </w:rPr>
  </w:style>
  <w:style w:type="paragraph" w:customStyle="1" w:styleId="202">
    <w:name w:val="xl108"/>
    <w:basedOn w:val="1"/>
    <w:qFormat/>
    <w:uiPriority w:val="99"/>
    <w:pPr>
      <w:widowControl/>
      <w:pBdr>
        <w:left w:val="single" w:color="auto" w:sz="4" w:space="0"/>
        <w:right w:val="single" w:color="auto" w:sz="4" w:space="0"/>
      </w:pBdr>
      <w:autoSpaceDE/>
      <w:autoSpaceDN/>
      <w:spacing w:before="100" w:beforeAutospacing="1" w:after="100" w:afterAutospacing="1"/>
    </w:pPr>
    <w:rPr>
      <w:lang w:val="en-US" w:bidi="ar-SA"/>
    </w:rPr>
  </w:style>
  <w:style w:type="paragraph" w:customStyle="1" w:styleId="203">
    <w:name w:val="xl10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04">
    <w:name w:val="xl11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05">
    <w:name w:val="xl111"/>
    <w:basedOn w:val="1"/>
    <w:qFormat/>
    <w:uiPriority w:val="99"/>
    <w:pPr>
      <w:widowControl/>
      <w:pBdr>
        <w:top w:val="single" w:color="auto" w:sz="4" w:space="0"/>
        <w:bottom w:val="single" w:color="auto" w:sz="4" w:space="0"/>
      </w:pBdr>
      <w:autoSpaceDE/>
      <w:autoSpaceDN/>
      <w:spacing w:before="100" w:beforeAutospacing="1" w:after="100" w:afterAutospacing="1"/>
      <w:jc w:val="center"/>
    </w:pPr>
    <w:rPr>
      <w:sz w:val="24"/>
      <w:szCs w:val="24"/>
      <w:lang w:val="en-US" w:bidi="ar-SA"/>
    </w:rPr>
  </w:style>
  <w:style w:type="paragraph" w:customStyle="1" w:styleId="206">
    <w:name w:val="xl112"/>
    <w:basedOn w:val="1"/>
    <w:qFormat/>
    <w:uiPriority w:val="99"/>
    <w:pPr>
      <w:widowControl/>
      <w:pBdr>
        <w:top w:val="single" w:color="auto" w:sz="4" w:space="0"/>
        <w:bottom w:val="single" w:color="auto" w:sz="4" w:space="0"/>
      </w:pBdr>
      <w:autoSpaceDE/>
      <w:autoSpaceDN/>
      <w:spacing w:before="100" w:beforeAutospacing="1" w:after="100" w:afterAutospacing="1"/>
    </w:pPr>
    <w:rPr>
      <w:sz w:val="24"/>
      <w:szCs w:val="24"/>
      <w:lang w:val="en-US" w:bidi="ar-SA"/>
    </w:rPr>
  </w:style>
  <w:style w:type="paragraph" w:customStyle="1" w:styleId="207">
    <w:name w:val="xl113"/>
    <w:basedOn w:val="1"/>
    <w:qFormat/>
    <w:uiPriority w:val="99"/>
    <w:pPr>
      <w:widowControl/>
      <w:autoSpaceDE/>
      <w:autoSpaceDN/>
      <w:spacing w:before="100" w:beforeAutospacing="1" w:after="100" w:afterAutospacing="1"/>
      <w:jc w:val="center"/>
    </w:pPr>
    <w:rPr>
      <w:sz w:val="32"/>
      <w:szCs w:val="32"/>
      <w:lang w:val="en-US" w:bidi="ar-SA"/>
    </w:rPr>
  </w:style>
  <w:style w:type="paragraph" w:customStyle="1" w:styleId="208">
    <w:name w:val="xl114"/>
    <w:basedOn w:val="1"/>
    <w:qFormat/>
    <w:uiPriority w:val="99"/>
    <w:pPr>
      <w:widowControl/>
      <w:pBdr>
        <w:top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209">
    <w:name w:val="xl115"/>
    <w:basedOn w:val="1"/>
    <w:qFormat/>
    <w:uiPriority w:val="99"/>
    <w:pPr>
      <w:widowControl/>
      <w:autoSpaceDE/>
      <w:autoSpaceDN/>
      <w:spacing w:before="100" w:beforeAutospacing="1" w:after="100" w:afterAutospacing="1"/>
      <w:jc w:val="center"/>
    </w:pPr>
    <w:rPr>
      <w:sz w:val="40"/>
      <w:szCs w:val="40"/>
      <w:lang w:val="en-US" w:bidi="ar-SA"/>
    </w:rPr>
  </w:style>
  <w:style w:type="paragraph" w:customStyle="1" w:styleId="210">
    <w:name w:val="xl116"/>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211">
    <w:name w:val="xl117"/>
    <w:basedOn w:val="1"/>
    <w:qFormat/>
    <w:uiPriority w:val="99"/>
    <w:pPr>
      <w:widowControl/>
      <w:pBdr>
        <w:top w:val="single" w:color="auto" w:sz="4" w:space="0"/>
        <w:left w:val="single" w:color="auto" w:sz="4" w:space="0"/>
      </w:pBdr>
      <w:autoSpaceDE/>
      <w:autoSpaceDN/>
      <w:spacing w:before="100" w:beforeAutospacing="1" w:after="100" w:afterAutospacing="1"/>
      <w:jc w:val="center"/>
    </w:pPr>
    <w:rPr>
      <w:sz w:val="24"/>
      <w:szCs w:val="24"/>
      <w:lang w:val="en-US" w:bidi="ar-SA"/>
    </w:rPr>
  </w:style>
  <w:style w:type="paragraph" w:customStyle="1" w:styleId="212">
    <w:name w:val="xl118"/>
    <w:basedOn w:val="1"/>
    <w:qFormat/>
    <w:uiPriority w:val="99"/>
    <w:pPr>
      <w:widowControl/>
      <w:pBdr>
        <w:top w:val="single" w:color="auto" w:sz="4" w:space="0"/>
      </w:pBdr>
      <w:autoSpaceDE/>
      <w:autoSpaceDN/>
      <w:spacing w:before="100" w:beforeAutospacing="1" w:after="100" w:afterAutospacing="1"/>
      <w:jc w:val="center"/>
    </w:pPr>
    <w:rPr>
      <w:sz w:val="24"/>
      <w:szCs w:val="24"/>
      <w:lang w:val="en-US" w:bidi="ar-SA"/>
    </w:rPr>
  </w:style>
  <w:style w:type="paragraph" w:customStyle="1" w:styleId="213">
    <w:name w:val="xl119"/>
    <w:basedOn w:val="1"/>
    <w:qFormat/>
    <w:uiPriority w:val="99"/>
    <w:pPr>
      <w:widowControl/>
      <w:pBdr>
        <w:top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214">
    <w:name w:val="xl120"/>
    <w:basedOn w:val="1"/>
    <w:qFormat/>
    <w:uiPriority w:val="99"/>
    <w:pPr>
      <w:widowControl/>
      <w:pBdr>
        <w:top w:val="single" w:color="auto" w:sz="4" w:space="0"/>
        <w:bottom w:val="single" w:color="auto" w:sz="4" w:space="0"/>
      </w:pBdr>
      <w:autoSpaceDE/>
      <w:autoSpaceDN/>
      <w:spacing w:before="100" w:beforeAutospacing="1" w:after="100" w:afterAutospacing="1"/>
      <w:jc w:val="right"/>
    </w:pPr>
    <w:rPr>
      <w:lang w:val="en-US" w:bidi="ar-SA"/>
    </w:rPr>
  </w:style>
  <w:style w:type="paragraph" w:customStyle="1" w:styleId="215">
    <w:name w:val="xl121"/>
    <w:basedOn w:val="1"/>
    <w:qFormat/>
    <w:uiPriority w:val="99"/>
    <w:pPr>
      <w:widowControl/>
      <w:pBdr>
        <w:bottom w:val="single" w:color="auto" w:sz="4" w:space="0"/>
      </w:pBdr>
      <w:autoSpaceDE/>
      <w:autoSpaceDN/>
      <w:spacing w:before="100" w:beforeAutospacing="1" w:after="100" w:afterAutospacing="1"/>
      <w:jc w:val="center"/>
    </w:pPr>
    <w:rPr>
      <w:sz w:val="32"/>
      <w:szCs w:val="32"/>
      <w:lang w:val="en-US" w:bidi="ar-SA"/>
    </w:rPr>
  </w:style>
  <w:style w:type="paragraph" w:customStyle="1" w:styleId="216">
    <w:name w:val="xl122"/>
    <w:basedOn w:val="1"/>
    <w:qFormat/>
    <w:uiPriority w:val="99"/>
    <w:pPr>
      <w:widowControl/>
      <w:pBdr>
        <w:top w:val="single" w:color="auto" w:sz="4" w:space="0"/>
        <w:bottom w:val="single" w:color="auto" w:sz="4" w:space="0"/>
      </w:pBdr>
      <w:autoSpaceDE/>
      <w:autoSpaceDN/>
      <w:spacing w:before="100" w:beforeAutospacing="1" w:after="100" w:afterAutospacing="1"/>
      <w:jc w:val="right"/>
    </w:pPr>
    <w:rPr>
      <w:sz w:val="24"/>
      <w:szCs w:val="24"/>
      <w:lang w:val="en-US" w:bidi="ar-SA"/>
    </w:rPr>
  </w:style>
  <w:style w:type="paragraph" w:customStyle="1" w:styleId="217">
    <w:name w:val="xl123"/>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jc w:val="center"/>
    </w:pPr>
    <w:rPr>
      <w:lang w:val="en-US" w:bidi="ar-SA"/>
    </w:rPr>
  </w:style>
  <w:style w:type="paragraph" w:customStyle="1" w:styleId="218">
    <w:name w:val="xl124"/>
    <w:basedOn w:val="1"/>
    <w:qFormat/>
    <w:uiPriority w:val="99"/>
    <w:pPr>
      <w:widowControl/>
      <w:pBdr>
        <w:top w:val="single" w:color="auto" w:sz="4" w:space="0"/>
        <w:bottom w:val="single" w:color="auto" w:sz="4" w:space="0"/>
      </w:pBdr>
      <w:autoSpaceDE/>
      <w:autoSpaceDN/>
      <w:spacing w:before="100" w:beforeAutospacing="1" w:after="100" w:afterAutospacing="1"/>
      <w:jc w:val="center"/>
    </w:pPr>
    <w:rPr>
      <w:lang w:val="en-US" w:bidi="ar-SA"/>
    </w:rPr>
  </w:style>
  <w:style w:type="paragraph" w:customStyle="1" w:styleId="219">
    <w:name w:val="xl125"/>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20">
    <w:name w:val="xl126"/>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lang w:val="en-US" w:bidi="ar-SA"/>
    </w:rPr>
  </w:style>
  <w:style w:type="paragraph" w:customStyle="1" w:styleId="221">
    <w:name w:val="Char Char Char Char Char Char Char Char Char Char Char Char Char Char Char Char5"/>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222">
    <w:name w:val="msonormalcxspmiddle"/>
    <w:basedOn w:val="1"/>
    <w:qFormat/>
    <w:uiPriority w:val="99"/>
    <w:pPr>
      <w:widowControl/>
      <w:autoSpaceDE/>
      <w:autoSpaceDN/>
      <w:spacing w:before="100" w:beforeAutospacing="1" w:after="100" w:afterAutospacing="1"/>
    </w:pPr>
    <w:rPr>
      <w:sz w:val="24"/>
      <w:szCs w:val="24"/>
      <w:lang w:val="en-US" w:bidi="ar-SA"/>
    </w:rPr>
  </w:style>
  <w:style w:type="paragraph" w:customStyle="1" w:styleId="223">
    <w:name w:val="Char Char Char Char Char Char Char Char Char Char Char Char Char Char Char Char6"/>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224">
    <w:name w:val="Char Char Char"/>
    <w:basedOn w:val="1"/>
    <w:qFormat/>
    <w:uiPriority w:val="0"/>
    <w:pPr>
      <w:autoSpaceDE/>
      <w:autoSpaceDN/>
      <w:spacing w:line="360" w:lineRule="auto"/>
      <w:ind w:firstLine="200" w:firstLineChars="200"/>
      <w:jc w:val="both"/>
    </w:pPr>
    <w:rPr>
      <w:kern w:val="2"/>
      <w:sz w:val="24"/>
      <w:szCs w:val="24"/>
      <w:lang w:val="en-US" w:bidi="ar-SA"/>
    </w:rPr>
  </w:style>
  <w:style w:type="paragraph" w:customStyle="1" w:styleId="225">
    <w:name w:val="Normal_3"/>
    <w:qFormat/>
    <w:uiPriority w:val="0"/>
    <w:rPr>
      <w:rFonts w:ascii="Times New Roman" w:hAnsi="Times New Roman" w:eastAsia="宋体" w:cs="Times New Roman"/>
      <w:sz w:val="24"/>
      <w:szCs w:val="24"/>
      <w:lang w:val="en-US" w:eastAsia="zh-CN" w:bidi="ar-SA"/>
    </w:rPr>
  </w:style>
  <w:style w:type="character" w:customStyle="1" w:styleId="226">
    <w:name w:val="标题1"/>
    <w:basedOn w:val="49"/>
    <w:qFormat/>
    <w:uiPriority w:val="0"/>
  </w:style>
  <w:style w:type="character" w:customStyle="1" w:styleId="227">
    <w:name w:val="apple-converted-space"/>
    <w:basedOn w:val="49"/>
    <w:qFormat/>
    <w:uiPriority w:val="0"/>
  </w:style>
  <w:style w:type="paragraph" w:styleId="228">
    <w:name w:val="No Spacing"/>
    <w:link w:val="229"/>
    <w:qFormat/>
    <w:uiPriority w:val="1"/>
    <w:rPr>
      <w:rFonts w:asciiTheme="minorHAnsi" w:hAnsiTheme="minorHAnsi" w:eastAsiaTheme="minorEastAsia" w:cstheme="minorBidi"/>
      <w:sz w:val="22"/>
      <w:szCs w:val="22"/>
      <w:lang w:val="en-US" w:eastAsia="zh-CN" w:bidi="ar-SA"/>
    </w:rPr>
  </w:style>
  <w:style w:type="character" w:customStyle="1" w:styleId="229">
    <w:name w:val="无间隔 Char"/>
    <w:basedOn w:val="49"/>
    <w:link w:val="228"/>
    <w:qFormat/>
    <w:uiPriority w:val="1"/>
    <w:rPr>
      <w:sz w:val="22"/>
      <w:szCs w:val="22"/>
    </w:rPr>
  </w:style>
  <w:style w:type="paragraph" w:customStyle="1" w:styleId="230">
    <w:name w:val="TOC 标题2"/>
    <w:basedOn w:val="2"/>
    <w:next w:val="1"/>
    <w:qFormat/>
    <w:uiPriority w:val="99"/>
    <w:pPr>
      <w:keepNext/>
      <w:keepLines/>
      <w:widowControl/>
      <w:autoSpaceDE/>
      <w:autoSpaceDN/>
      <w:spacing w:before="480" w:line="276" w:lineRule="auto"/>
      <w:outlineLvl w:val="9"/>
    </w:pPr>
    <w:rPr>
      <w:rFonts w:ascii="Cambria" w:hAnsi="Cambria" w:eastAsia="宋体" w:cs="Times New Roman"/>
      <w:b/>
      <w:bCs/>
      <w:color w:val="365F91"/>
      <w:sz w:val="28"/>
      <w:szCs w:val="28"/>
      <w:lang w:val="en-US" w:bidi="ar-SA"/>
    </w:rPr>
  </w:style>
  <w:style w:type="paragraph" w:customStyle="1" w:styleId="231">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2">
    <w:name w:val="Header or footer|1_"/>
    <w:basedOn w:val="49"/>
    <w:qFormat/>
    <w:uiPriority w:val="0"/>
    <w:rPr>
      <w:sz w:val="18"/>
      <w:szCs w:val="18"/>
      <w:u w:val="none"/>
    </w:rPr>
  </w:style>
  <w:style w:type="character" w:customStyle="1" w:styleId="233">
    <w:name w:val="Heading #1|1_"/>
    <w:basedOn w:val="49"/>
    <w:link w:val="234"/>
    <w:qFormat/>
    <w:uiPriority w:val="0"/>
    <w:rPr>
      <w:rFonts w:ascii="PMingLiU" w:hAnsi="PMingLiU" w:eastAsia="PMingLiU" w:cs="PMingLiU"/>
      <w:sz w:val="30"/>
      <w:szCs w:val="30"/>
      <w:shd w:val="clear" w:color="auto" w:fill="FFFFFF"/>
    </w:rPr>
  </w:style>
  <w:style w:type="paragraph" w:customStyle="1" w:styleId="234">
    <w:name w:val="Heading #1|1"/>
    <w:basedOn w:val="1"/>
    <w:link w:val="233"/>
    <w:qFormat/>
    <w:uiPriority w:val="0"/>
    <w:pPr>
      <w:shd w:val="clear" w:color="auto" w:fill="FFFFFF"/>
      <w:autoSpaceDE/>
      <w:autoSpaceDN/>
      <w:spacing w:line="662" w:lineRule="exact"/>
      <w:jc w:val="center"/>
      <w:outlineLvl w:val="0"/>
    </w:pPr>
    <w:rPr>
      <w:rFonts w:ascii="PMingLiU" w:hAnsi="PMingLiU" w:eastAsia="PMingLiU" w:cs="PMingLiU"/>
      <w:sz w:val="30"/>
      <w:szCs w:val="30"/>
      <w:lang w:val="en-US" w:bidi="ar-SA"/>
    </w:rPr>
  </w:style>
  <w:style w:type="character" w:customStyle="1" w:styleId="235">
    <w:name w:val="Body text|3_"/>
    <w:basedOn w:val="49"/>
    <w:link w:val="236"/>
    <w:qFormat/>
    <w:uiPriority w:val="0"/>
    <w:rPr>
      <w:rFonts w:ascii="PMingLiU" w:hAnsi="PMingLiU" w:eastAsia="PMingLiU" w:cs="PMingLiU"/>
      <w:spacing w:val="20"/>
      <w:sz w:val="22"/>
      <w:szCs w:val="22"/>
      <w:shd w:val="clear" w:color="auto" w:fill="FFFFFF"/>
    </w:rPr>
  </w:style>
  <w:style w:type="paragraph" w:customStyle="1" w:styleId="236">
    <w:name w:val="Body text|3"/>
    <w:basedOn w:val="1"/>
    <w:link w:val="235"/>
    <w:qFormat/>
    <w:uiPriority w:val="0"/>
    <w:pPr>
      <w:shd w:val="clear" w:color="auto" w:fill="FFFFFF"/>
      <w:autoSpaceDE/>
      <w:autoSpaceDN/>
      <w:spacing w:line="398" w:lineRule="exact"/>
      <w:ind w:hanging="840"/>
    </w:pPr>
    <w:rPr>
      <w:rFonts w:ascii="PMingLiU" w:hAnsi="PMingLiU" w:eastAsia="PMingLiU" w:cs="PMingLiU"/>
      <w:spacing w:val="20"/>
      <w:lang w:val="en-US" w:bidi="ar-SA"/>
    </w:rPr>
  </w:style>
  <w:style w:type="character" w:customStyle="1" w:styleId="237">
    <w:name w:val="Body text|2_"/>
    <w:basedOn w:val="49"/>
    <w:qFormat/>
    <w:uiPriority w:val="0"/>
    <w:rPr>
      <w:rFonts w:ascii="PMingLiU" w:hAnsi="PMingLiU" w:eastAsia="PMingLiU" w:cs="PMingLiU"/>
      <w:sz w:val="22"/>
      <w:szCs w:val="22"/>
      <w:u w:val="none"/>
    </w:rPr>
  </w:style>
  <w:style w:type="character" w:customStyle="1" w:styleId="238">
    <w:name w:val="Body text|2 + 9.5 pt"/>
    <w:basedOn w:val="237"/>
    <w:semiHidden/>
    <w:unhideWhenUsed/>
    <w:qFormat/>
    <w:uiPriority w:val="0"/>
    <w:rPr>
      <w:rFonts w:ascii="PMingLiU" w:hAnsi="PMingLiU" w:eastAsia="PMingLiU" w:cs="PMingLiU"/>
      <w:color w:val="000000"/>
      <w:spacing w:val="10"/>
      <w:w w:val="100"/>
      <w:position w:val="0"/>
      <w:sz w:val="19"/>
      <w:szCs w:val="19"/>
      <w:u w:val="none"/>
      <w:lang w:val="zh-CN" w:eastAsia="zh-CN" w:bidi="zh-CN"/>
    </w:rPr>
  </w:style>
  <w:style w:type="character" w:customStyle="1" w:styleId="239">
    <w:name w:val="Body text|2 + Times New Roman"/>
    <w:basedOn w:val="237"/>
    <w:semiHidden/>
    <w:unhideWhenUsed/>
    <w:qFormat/>
    <w:uiPriority w:val="0"/>
    <w:rPr>
      <w:rFonts w:ascii="Times New Roman" w:hAnsi="Times New Roman" w:eastAsia="Times New Roman" w:cs="Times New Roman"/>
      <w:color w:val="000000"/>
      <w:spacing w:val="0"/>
      <w:w w:val="100"/>
      <w:position w:val="0"/>
      <w:sz w:val="23"/>
      <w:szCs w:val="23"/>
      <w:u w:val="none"/>
      <w:lang w:val="en-US" w:eastAsia="en-US" w:bidi="en-US"/>
    </w:rPr>
  </w:style>
  <w:style w:type="character" w:customStyle="1" w:styleId="240">
    <w:name w:val="Heading #2|1_"/>
    <w:basedOn w:val="49"/>
    <w:link w:val="241"/>
    <w:qFormat/>
    <w:uiPriority w:val="0"/>
    <w:rPr>
      <w:rFonts w:ascii="PMingLiU" w:hAnsi="PMingLiU" w:eastAsia="PMingLiU" w:cs="PMingLiU"/>
      <w:spacing w:val="20"/>
      <w:sz w:val="26"/>
      <w:szCs w:val="26"/>
      <w:shd w:val="clear" w:color="auto" w:fill="FFFFFF"/>
    </w:rPr>
  </w:style>
  <w:style w:type="paragraph" w:customStyle="1" w:styleId="241">
    <w:name w:val="Heading #2|1"/>
    <w:basedOn w:val="1"/>
    <w:link w:val="240"/>
    <w:qFormat/>
    <w:uiPriority w:val="0"/>
    <w:pPr>
      <w:shd w:val="clear" w:color="auto" w:fill="FFFFFF"/>
      <w:autoSpaceDE/>
      <w:autoSpaceDN/>
      <w:spacing w:before="220" w:line="394" w:lineRule="exact"/>
      <w:ind w:hanging="700"/>
      <w:jc w:val="both"/>
      <w:outlineLvl w:val="1"/>
    </w:pPr>
    <w:rPr>
      <w:rFonts w:ascii="PMingLiU" w:hAnsi="PMingLiU" w:eastAsia="PMingLiU" w:cs="PMingLiU"/>
      <w:spacing w:val="20"/>
      <w:sz w:val="26"/>
      <w:szCs w:val="26"/>
      <w:lang w:val="en-US" w:bidi="ar-SA"/>
    </w:rPr>
  </w:style>
  <w:style w:type="character" w:customStyle="1" w:styleId="242">
    <w:name w:val="Heading #3|1_"/>
    <w:basedOn w:val="49"/>
    <w:link w:val="243"/>
    <w:qFormat/>
    <w:uiPriority w:val="0"/>
    <w:rPr>
      <w:rFonts w:ascii="PMingLiU" w:hAnsi="PMingLiU" w:eastAsia="PMingLiU" w:cs="PMingLiU"/>
      <w:b/>
      <w:bCs/>
      <w:spacing w:val="10"/>
      <w:sz w:val="22"/>
      <w:szCs w:val="22"/>
      <w:shd w:val="clear" w:color="auto" w:fill="FFFFFF"/>
    </w:rPr>
  </w:style>
  <w:style w:type="paragraph" w:customStyle="1" w:styleId="243">
    <w:name w:val="Heading #3|1"/>
    <w:basedOn w:val="1"/>
    <w:link w:val="242"/>
    <w:qFormat/>
    <w:uiPriority w:val="0"/>
    <w:pPr>
      <w:shd w:val="clear" w:color="auto" w:fill="FFFFFF"/>
      <w:autoSpaceDE/>
      <w:autoSpaceDN/>
      <w:spacing w:line="394" w:lineRule="exact"/>
      <w:ind w:hanging="700"/>
      <w:jc w:val="both"/>
      <w:outlineLvl w:val="2"/>
    </w:pPr>
    <w:rPr>
      <w:rFonts w:ascii="PMingLiU" w:hAnsi="PMingLiU" w:eastAsia="PMingLiU" w:cs="PMingLiU"/>
      <w:b/>
      <w:bCs/>
      <w:spacing w:val="10"/>
      <w:lang w:val="en-US" w:bidi="ar-SA"/>
    </w:rPr>
  </w:style>
  <w:style w:type="character" w:customStyle="1" w:styleId="244">
    <w:name w:val="Body text|4_"/>
    <w:basedOn w:val="49"/>
    <w:link w:val="245"/>
    <w:qFormat/>
    <w:uiPriority w:val="0"/>
    <w:rPr>
      <w:rFonts w:ascii="PMingLiU" w:hAnsi="PMingLiU" w:eastAsia="PMingLiU" w:cs="PMingLiU"/>
      <w:b/>
      <w:bCs/>
      <w:spacing w:val="10"/>
      <w:sz w:val="22"/>
      <w:szCs w:val="22"/>
      <w:shd w:val="clear" w:color="auto" w:fill="FFFFFF"/>
    </w:rPr>
  </w:style>
  <w:style w:type="paragraph" w:customStyle="1" w:styleId="245">
    <w:name w:val="Body text|4"/>
    <w:basedOn w:val="1"/>
    <w:link w:val="244"/>
    <w:qFormat/>
    <w:uiPriority w:val="0"/>
    <w:pPr>
      <w:shd w:val="clear" w:color="auto" w:fill="FFFFFF"/>
      <w:autoSpaceDE/>
      <w:autoSpaceDN/>
      <w:spacing w:line="394" w:lineRule="exact"/>
      <w:jc w:val="distribute"/>
    </w:pPr>
    <w:rPr>
      <w:rFonts w:ascii="PMingLiU" w:hAnsi="PMingLiU" w:eastAsia="PMingLiU" w:cs="PMingLiU"/>
      <w:b/>
      <w:bCs/>
      <w:spacing w:val="10"/>
      <w:lang w:val="en-US" w:bidi="ar-SA"/>
    </w:rPr>
  </w:style>
  <w:style w:type="character" w:customStyle="1" w:styleId="246">
    <w:name w:val="Body text|5_"/>
    <w:basedOn w:val="49"/>
    <w:link w:val="247"/>
    <w:qFormat/>
    <w:uiPriority w:val="0"/>
    <w:rPr>
      <w:rFonts w:ascii="PMingLiU" w:hAnsi="PMingLiU" w:eastAsia="PMingLiU" w:cs="PMingLiU"/>
      <w:spacing w:val="10"/>
      <w:sz w:val="19"/>
      <w:szCs w:val="19"/>
      <w:shd w:val="clear" w:color="auto" w:fill="FFFFFF"/>
    </w:rPr>
  </w:style>
  <w:style w:type="paragraph" w:customStyle="1" w:styleId="247">
    <w:name w:val="Body text|5"/>
    <w:basedOn w:val="1"/>
    <w:link w:val="246"/>
    <w:qFormat/>
    <w:uiPriority w:val="0"/>
    <w:pPr>
      <w:shd w:val="clear" w:color="auto" w:fill="FFFFFF"/>
      <w:autoSpaceDE/>
      <w:autoSpaceDN/>
      <w:spacing w:line="394" w:lineRule="exact"/>
      <w:jc w:val="distribute"/>
    </w:pPr>
    <w:rPr>
      <w:rFonts w:ascii="PMingLiU" w:hAnsi="PMingLiU" w:eastAsia="PMingLiU" w:cs="PMingLiU"/>
      <w:spacing w:val="10"/>
      <w:sz w:val="19"/>
      <w:szCs w:val="19"/>
      <w:lang w:val="en-US" w:bidi="ar-SA"/>
    </w:rPr>
  </w:style>
  <w:style w:type="character" w:customStyle="1" w:styleId="248">
    <w:name w:val="Body text|2"/>
    <w:basedOn w:val="237"/>
    <w:semiHidden/>
    <w:unhideWhenUsed/>
    <w:qFormat/>
    <w:uiPriority w:val="0"/>
    <w:rPr>
      <w:rFonts w:ascii="PMingLiU" w:hAnsi="PMingLiU" w:eastAsia="PMingLiU" w:cs="PMingLiU"/>
      <w:color w:val="000000"/>
      <w:spacing w:val="0"/>
      <w:w w:val="100"/>
      <w:position w:val="0"/>
      <w:sz w:val="22"/>
      <w:szCs w:val="22"/>
      <w:u w:val="single"/>
      <w:lang w:val="zh-CN" w:eastAsia="zh-CN" w:bidi="zh-CN"/>
    </w:rPr>
  </w:style>
  <w:style w:type="character" w:customStyle="1" w:styleId="249">
    <w:name w:val="Body text|2 + Spacing 14 pt"/>
    <w:basedOn w:val="237"/>
    <w:semiHidden/>
    <w:unhideWhenUsed/>
    <w:qFormat/>
    <w:uiPriority w:val="0"/>
    <w:rPr>
      <w:rFonts w:ascii="PMingLiU" w:hAnsi="PMingLiU" w:eastAsia="PMingLiU" w:cs="PMingLiU"/>
      <w:color w:val="000000"/>
      <w:spacing w:val="280"/>
      <w:w w:val="100"/>
      <w:position w:val="0"/>
      <w:sz w:val="22"/>
      <w:szCs w:val="22"/>
      <w:u w:val="single"/>
      <w:lang w:val="zh-CN" w:eastAsia="zh-CN" w:bidi="zh-CN"/>
    </w:rPr>
  </w:style>
  <w:style w:type="character" w:customStyle="1" w:styleId="250">
    <w:name w:val="Body text|6_"/>
    <w:basedOn w:val="49"/>
    <w:link w:val="251"/>
    <w:qFormat/>
    <w:uiPriority w:val="0"/>
    <w:rPr>
      <w:sz w:val="22"/>
      <w:szCs w:val="22"/>
      <w:shd w:val="clear" w:color="auto" w:fill="FFFFFF"/>
      <w:lang w:eastAsia="en-US" w:bidi="en-US"/>
    </w:rPr>
  </w:style>
  <w:style w:type="paragraph" w:customStyle="1" w:styleId="251">
    <w:name w:val="Body text|6"/>
    <w:basedOn w:val="1"/>
    <w:link w:val="250"/>
    <w:qFormat/>
    <w:uiPriority w:val="0"/>
    <w:pPr>
      <w:shd w:val="clear" w:color="auto" w:fill="FFFFFF"/>
      <w:autoSpaceDE/>
      <w:autoSpaceDN/>
      <w:spacing w:before="380" w:after="220" w:line="244" w:lineRule="exact"/>
      <w:ind w:firstLine="520"/>
      <w:jc w:val="both"/>
    </w:pPr>
    <w:rPr>
      <w:rFonts w:asciiTheme="minorHAnsi" w:hAnsiTheme="minorHAnsi" w:eastAsiaTheme="minorEastAsia" w:cstheme="minorBidi"/>
      <w:lang w:val="en-US" w:eastAsia="en-US" w:bidi="en-US"/>
    </w:rPr>
  </w:style>
  <w:style w:type="character" w:customStyle="1" w:styleId="252">
    <w:name w:val="Heading #3|2_"/>
    <w:basedOn w:val="49"/>
    <w:link w:val="253"/>
    <w:qFormat/>
    <w:uiPriority w:val="0"/>
    <w:rPr>
      <w:rFonts w:ascii="PMingLiU" w:hAnsi="PMingLiU" w:eastAsia="PMingLiU" w:cs="PMingLiU"/>
      <w:spacing w:val="10"/>
      <w:sz w:val="19"/>
      <w:szCs w:val="19"/>
      <w:shd w:val="clear" w:color="auto" w:fill="FFFFFF"/>
    </w:rPr>
  </w:style>
  <w:style w:type="paragraph" w:customStyle="1" w:styleId="253">
    <w:name w:val="Heading #3|2"/>
    <w:basedOn w:val="1"/>
    <w:link w:val="252"/>
    <w:qFormat/>
    <w:uiPriority w:val="0"/>
    <w:pPr>
      <w:shd w:val="clear" w:color="auto" w:fill="FFFFFF"/>
      <w:autoSpaceDE/>
      <w:autoSpaceDN/>
      <w:spacing w:before="380" w:line="398" w:lineRule="exact"/>
      <w:ind w:hanging="500"/>
      <w:jc w:val="both"/>
      <w:outlineLvl w:val="2"/>
    </w:pPr>
    <w:rPr>
      <w:rFonts w:ascii="PMingLiU" w:hAnsi="PMingLiU" w:eastAsia="PMingLiU" w:cs="PMingLiU"/>
      <w:spacing w:val="10"/>
      <w:sz w:val="19"/>
      <w:szCs w:val="19"/>
      <w:lang w:val="en-US" w:bidi="ar-SA"/>
    </w:rPr>
  </w:style>
  <w:style w:type="character" w:customStyle="1" w:styleId="254">
    <w:name w:val="Table caption|2_"/>
    <w:basedOn w:val="49"/>
    <w:link w:val="255"/>
    <w:qFormat/>
    <w:uiPriority w:val="0"/>
    <w:rPr>
      <w:rFonts w:ascii="PMingLiU" w:hAnsi="PMingLiU" w:eastAsia="PMingLiU" w:cs="PMingLiU"/>
      <w:b/>
      <w:bCs/>
      <w:spacing w:val="10"/>
      <w:sz w:val="22"/>
      <w:szCs w:val="22"/>
      <w:shd w:val="clear" w:color="auto" w:fill="FFFFFF"/>
    </w:rPr>
  </w:style>
  <w:style w:type="paragraph" w:customStyle="1" w:styleId="255">
    <w:name w:val="Table caption|2"/>
    <w:basedOn w:val="1"/>
    <w:link w:val="254"/>
    <w:qFormat/>
    <w:uiPriority w:val="0"/>
    <w:pPr>
      <w:shd w:val="clear" w:color="auto" w:fill="FFFFFF"/>
      <w:autoSpaceDE/>
      <w:autoSpaceDN/>
      <w:spacing w:line="254" w:lineRule="exact"/>
    </w:pPr>
    <w:rPr>
      <w:rFonts w:ascii="PMingLiU" w:hAnsi="PMingLiU" w:eastAsia="PMingLiU" w:cs="PMingLiU"/>
      <w:b/>
      <w:bCs/>
      <w:spacing w:val="10"/>
      <w:lang w:val="en-US" w:bidi="ar-SA"/>
    </w:rPr>
  </w:style>
  <w:style w:type="character" w:customStyle="1" w:styleId="256">
    <w:name w:val="Body text|2 + 10 pt"/>
    <w:basedOn w:val="237"/>
    <w:semiHidden/>
    <w:unhideWhenUsed/>
    <w:qFormat/>
    <w:uiPriority w:val="0"/>
    <w:rPr>
      <w:rFonts w:ascii="PMingLiU" w:hAnsi="PMingLiU" w:eastAsia="PMingLiU" w:cs="PMingLiU"/>
      <w:color w:val="000000"/>
      <w:spacing w:val="40"/>
      <w:w w:val="100"/>
      <w:position w:val="0"/>
      <w:sz w:val="20"/>
      <w:szCs w:val="20"/>
      <w:u w:val="none"/>
      <w:lang w:val="zh-CN" w:eastAsia="zh-CN" w:bidi="zh-CN"/>
    </w:rPr>
  </w:style>
  <w:style w:type="character" w:customStyle="1" w:styleId="257">
    <w:name w:val="Body text|5 + Spacing 1 pt"/>
    <w:basedOn w:val="246"/>
    <w:semiHidden/>
    <w:unhideWhenUsed/>
    <w:qFormat/>
    <w:uiPriority w:val="0"/>
    <w:rPr>
      <w:rFonts w:ascii="PMingLiU" w:hAnsi="PMingLiU" w:eastAsia="PMingLiU" w:cs="PMingLiU"/>
      <w:color w:val="000000"/>
      <w:spacing w:val="30"/>
      <w:w w:val="100"/>
      <w:position w:val="0"/>
      <w:sz w:val="19"/>
      <w:szCs w:val="19"/>
      <w:shd w:val="clear" w:color="auto" w:fill="FFFFFF"/>
      <w:lang w:val="zh-CN" w:eastAsia="zh-CN" w:bidi="zh-CN"/>
    </w:rPr>
  </w:style>
  <w:style w:type="character" w:customStyle="1" w:styleId="258">
    <w:name w:val="Table caption|1_"/>
    <w:basedOn w:val="49"/>
    <w:link w:val="259"/>
    <w:qFormat/>
    <w:uiPriority w:val="0"/>
    <w:rPr>
      <w:rFonts w:ascii="PMingLiU" w:hAnsi="PMingLiU" w:eastAsia="PMingLiU" w:cs="PMingLiU"/>
      <w:spacing w:val="10"/>
      <w:sz w:val="19"/>
      <w:szCs w:val="19"/>
      <w:shd w:val="clear" w:color="auto" w:fill="FFFFFF"/>
    </w:rPr>
  </w:style>
  <w:style w:type="paragraph" w:customStyle="1" w:styleId="259">
    <w:name w:val="Table caption|1"/>
    <w:basedOn w:val="1"/>
    <w:link w:val="258"/>
    <w:qFormat/>
    <w:uiPriority w:val="0"/>
    <w:pPr>
      <w:shd w:val="clear" w:color="auto" w:fill="FFFFFF"/>
      <w:autoSpaceDE/>
      <w:autoSpaceDN/>
      <w:spacing w:line="190" w:lineRule="exact"/>
      <w:jc w:val="distribute"/>
    </w:pPr>
    <w:rPr>
      <w:rFonts w:ascii="PMingLiU" w:hAnsi="PMingLiU" w:eastAsia="PMingLiU" w:cs="PMingLiU"/>
      <w:spacing w:val="10"/>
      <w:sz w:val="19"/>
      <w:szCs w:val="19"/>
      <w:lang w:val="en-US" w:bidi="ar-SA"/>
    </w:rPr>
  </w:style>
  <w:style w:type="character" w:customStyle="1" w:styleId="260">
    <w:name w:val="Body text|7_"/>
    <w:basedOn w:val="49"/>
    <w:link w:val="261"/>
    <w:qFormat/>
    <w:uiPriority w:val="0"/>
    <w:rPr>
      <w:rFonts w:ascii="PMingLiU" w:hAnsi="PMingLiU" w:eastAsia="PMingLiU" w:cs="PMingLiU"/>
      <w:spacing w:val="20"/>
      <w:sz w:val="26"/>
      <w:szCs w:val="26"/>
      <w:shd w:val="clear" w:color="auto" w:fill="FFFFFF"/>
    </w:rPr>
  </w:style>
  <w:style w:type="paragraph" w:customStyle="1" w:styleId="261">
    <w:name w:val="Body text|7"/>
    <w:basedOn w:val="1"/>
    <w:link w:val="260"/>
    <w:qFormat/>
    <w:uiPriority w:val="0"/>
    <w:pPr>
      <w:shd w:val="clear" w:color="auto" w:fill="FFFFFF"/>
      <w:autoSpaceDE/>
      <w:autoSpaceDN/>
      <w:spacing w:before="380" w:line="398" w:lineRule="exact"/>
    </w:pPr>
    <w:rPr>
      <w:rFonts w:ascii="PMingLiU" w:hAnsi="PMingLiU" w:eastAsia="PMingLiU" w:cs="PMingLiU"/>
      <w:spacing w:val="20"/>
      <w:sz w:val="26"/>
      <w:szCs w:val="26"/>
      <w:lang w:val="en-US" w:bidi="ar-SA"/>
    </w:rPr>
  </w:style>
  <w:style w:type="character" w:customStyle="1" w:styleId="262">
    <w:name w:val="Heading #2|1 + Spacing 2 pt"/>
    <w:basedOn w:val="240"/>
    <w:semiHidden/>
    <w:unhideWhenUsed/>
    <w:qFormat/>
    <w:uiPriority w:val="0"/>
    <w:rPr>
      <w:rFonts w:ascii="PMingLiU" w:hAnsi="PMingLiU" w:eastAsia="PMingLiU" w:cs="PMingLiU"/>
      <w:color w:val="000000"/>
      <w:spacing w:val="50"/>
      <w:w w:val="100"/>
      <w:position w:val="0"/>
      <w:sz w:val="26"/>
      <w:szCs w:val="26"/>
      <w:shd w:val="clear" w:color="auto" w:fill="FFFFFF"/>
      <w:lang w:val="en-US" w:eastAsia="en-US" w:bidi="en-US"/>
    </w:rPr>
  </w:style>
  <w:style w:type="paragraph" w:customStyle="1" w:styleId="263">
    <w:name w:val="Other|1"/>
    <w:basedOn w:val="1"/>
    <w:qFormat/>
    <w:uiPriority w:val="0"/>
    <w:rPr>
      <w:sz w:val="19"/>
      <w:szCs w:val="19"/>
      <w:lang w:val="zh-TW" w:eastAsia="zh-TW" w:bidi="zh-TW"/>
    </w:rPr>
  </w:style>
  <w:style w:type="paragraph" w:customStyle="1" w:styleId="264">
    <w:name w:val="Body text|1"/>
    <w:basedOn w:val="1"/>
    <w:qFormat/>
    <w:uiPriority w:val="0"/>
    <w:rPr>
      <w:sz w:val="19"/>
      <w:szCs w:val="19"/>
      <w:lang w:val="zh-TW" w:eastAsia="zh-TW" w:bidi="zh-TW"/>
    </w:rPr>
  </w:style>
  <w:style w:type="paragraph" w:customStyle="1" w:styleId="265">
    <w:name w:val="Header or footer|1"/>
    <w:basedOn w:val="1"/>
    <w:qFormat/>
    <w:uiPriority w:val="0"/>
    <w:rPr>
      <w:b/>
      <w:bCs/>
      <w:sz w:val="20"/>
      <w:szCs w:val="20"/>
      <w:lang w:val="zh-TW" w:eastAsia="zh-TW" w:bidi="zh-TW"/>
    </w:rPr>
  </w:style>
  <w:style w:type="paragraph" w:customStyle="1" w:styleId="266">
    <w:name w:val="正文2"/>
    <w:qFormat/>
    <w:uiPriority w:val="0"/>
    <w:pPr>
      <w:widowControl w:val="0"/>
      <w:jc w:val="both"/>
    </w:pPr>
    <w:rPr>
      <w:rFonts w:ascii="Calibri" w:hAnsi="Calibri" w:eastAsia="宋体" w:cs="Times New Roman"/>
      <w:lang w:val="en-US" w:eastAsia="zh-CN" w:bidi="ar-SA"/>
    </w:rPr>
  </w:style>
  <w:style w:type="paragraph" w:customStyle="1" w:styleId="267">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68">
    <w:name w:val="标题 4_0"/>
    <w:basedOn w:val="267"/>
    <w:next w:val="267"/>
    <w:qFormat/>
    <w:uiPriority w:val="0"/>
    <w:pPr>
      <w:keepNext/>
      <w:keepLines/>
      <w:spacing w:before="280" w:after="290" w:line="372" w:lineRule="auto"/>
      <w:outlineLvl w:val="3"/>
    </w:pPr>
    <w:rPr>
      <w:rFonts w:ascii="Arial" w:hAnsi="Arial" w:eastAsia="黑体"/>
      <w:b/>
      <w:sz w:val="28"/>
      <w:szCs w:val="20"/>
    </w:rPr>
  </w:style>
  <w:style w:type="paragraph" w:customStyle="1" w:styleId="269">
    <w:name w:val="样式1"/>
    <w:basedOn w:val="1"/>
    <w:next w:val="1"/>
    <w:qFormat/>
    <w:uiPriority w:val="0"/>
    <w:pPr>
      <w:spacing w:before="169"/>
      <w:outlineLvl w:val="0"/>
    </w:pPr>
    <w:rPr>
      <w:rFonts w:hint="eastAsia" w:ascii="黑体" w:hAnsi="黑体" w:eastAsia="黑体" w:cs="黑体"/>
      <w:sz w:val="76"/>
      <w:szCs w:val="5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3" Type="http://schemas.openxmlformats.org/officeDocument/2006/relationships/fontTable" Target="fontTable.xml"/><Relationship Id="rId72" Type="http://schemas.openxmlformats.org/officeDocument/2006/relationships/customXml" Target="../customXml/item2.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header" Target="header2.xml"/><Relationship Id="rId69" Type="http://schemas.openxmlformats.org/officeDocument/2006/relationships/image" Target="media/image2.wmf"/><Relationship Id="rId68" Type="http://schemas.openxmlformats.org/officeDocument/2006/relationships/oleObject" Target="embeddings/oleObject1.bin"/><Relationship Id="rId67" Type="http://schemas.openxmlformats.org/officeDocument/2006/relationships/image" Target="../../Application%2525252525252525252525252525252525252520Data/Tencent/QQTempSys/%2525252525252525252525252525252525252525W@GJ$ACOF(TYDYECOKVDYB.png" TargetMode="External"/><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47.xml"/><Relationship Id="rId63" Type="http://schemas.openxmlformats.org/officeDocument/2006/relationships/footer" Target="footer46.xml"/><Relationship Id="rId62" Type="http://schemas.openxmlformats.org/officeDocument/2006/relationships/footer" Target="footer45.xml"/><Relationship Id="rId61" Type="http://schemas.openxmlformats.org/officeDocument/2006/relationships/footer" Target="footer44.xml"/><Relationship Id="rId60" Type="http://schemas.openxmlformats.org/officeDocument/2006/relationships/footer" Target="footer43.xml"/><Relationship Id="rId6" Type="http://schemas.openxmlformats.org/officeDocument/2006/relationships/footer" Target="footer2.xml"/><Relationship Id="rId59" Type="http://schemas.openxmlformats.org/officeDocument/2006/relationships/footer" Target="footer42.xml"/><Relationship Id="rId58" Type="http://schemas.openxmlformats.org/officeDocument/2006/relationships/footer" Target="footer41.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footer" Target="footer37.xml"/><Relationship Id="rId53" Type="http://schemas.openxmlformats.org/officeDocument/2006/relationships/footer" Target="footer36.xml"/><Relationship Id="rId52" Type="http://schemas.openxmlformats.org/officeDocument/2006/relationships/header" Target="header14.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footer" Target="footer1.xml"/><Relationship Id="rId49" Type="http://schemas.openxmlformats.org/officeDocument/2006/relationships/header" Target="header13.xml"/><Relationship Id="rId48" Type="http://schemas.openxmlformats.org/officeDocument/2006/relationships/footer" Target="footer33.xml"/><Relationship Id="rId47" Type="http://schemas.openxmlformats.org/officeDocument/2006/relationships/footer" Target="footer32.xml"/><Relationship Id="rId46" Type="http://schemas.openxmlformats.org/officeDocument/2006/relationships/header" Target="header12.xml"/><Relationship Id="rId45" Type="http://schemas.openxmlformats.org/officeDocument/2006/relationships/footer" Target="footer31.xml"/><Relationship Id="rId44" Type="http://schemas.openxmlformats.org/officeDocument/2006/relationships/footer" Target="footer30.xml"/><Relationship Id="rId43" Type="http://schemas.openxmlformats.org/officeDocument/2006/relationships/header" Target="header11.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header" Target="header10.xml"/><Relationship Id="rId4" Type="http://schemas.openxmlformats.org/officeDocument/2006/relationships/header" Target="header1.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footer" Target="footer25.xml"/><Relationship Id="rId36" Type="http://schemas.openxmlformats.org/officeDocument/2006/relationships/footer" Target="footer24.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header" Target="header9.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8.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211"/>
    <customShpInfo spid="_x0000_s2276"/>
    <customShpInfo spid="_x0000_s2208"/>
    <customShpInfo spid="_x0000_s2277"/>
    <customShpInfo spid="_x0000_s2199"/>
    <customShpInfo spid="_x0000_s2198"/>
    <customShpInfo spid="_x0000_s2278"/>
    <customShpInfo spid="_x0000_s2279"/>
    <customShpInfo spid="_x0000_s2188"/>
    <customShpInfo spid="_x0000_s2280"/>
    <customShpInfo spid="_x0000_s2186"/>
    <customShpInfo spid="_x0000_s2185"/>
    <customShpInfo spid="_x0000_s2183"/>
    <customShpInfo spid="_x0000_s2182"/>
    <customShpInfo spid="_x0000_s2281"/>
    <customShpInfo spid="_x0000_s2179"/>
    <customShpInfo spid="_x0000_s2282"/>
    <customShpInfo spid="_x0000_s2283"/>
    <customShpInfo spid="_x0000_s2155"/>
    <customShpInfo spid="_x0000_s2151"/>
    <customShpInfo spid="_x0000_s2150"/>
    <customShpInfo spid="_x0000_s2284"/>
    <customShpInfo spid="_x0000_s2149"/>
    <customShpInfo spid="_x0000_s2275"/>
    <customShpInfo spid="_x0000_s2285"/>
    <customShpInfo spid="_x0000_s2286"/>
    <customShpInfo spid="_x0000_s2133"/>
    <customShpInfo spid="_x0000_s2287"/>
    <customShpInfo spid="_x0000_s2131"/>
    <customShpInfo spid="_x0000_s2288"/>
    <customShpInfo spid="_x0000_s2289"/>
    <customShpInfo spid="_x0000_s2290"/>
    <customShpInfo spid="_x0000_s2291"/>
    <customShpInfo spid="_x0000_s2292"/>
    <customShpInfo spid="_x0000_s2105"/>
    <customShpInfo spid="_x0000_s2104"/>
    <customShpInfo spid="_x0000_s2101"/>
    <customShpInfo spid="_x0000_s2293"/>
    <customShpInfo spid="_x0000_s2078"/>
    <customShpInfo spid="_x0000_s2077"/>
    <customShpInfo spid="_x0000_s2294"/>
    <customShpInfo spid="_x0000_s2074"/>
    <customShpInfo spid="_x0000_s2295"/>
    <customShpInfo spid="_x0000_s2072"/>
    <customShpInfo spid="_x0000_s2296"/>
    <customShpInfo spid="_x0000_s2070"/>
    <customShpInfo spid="_x0000_s2300"/>
    <customShpInfo spid="_x0000_s2301"/>
    <customShpInfo spid="_x0000_s2302"/>
    <customShpInfo spid="_x0000_s2244"/>
    <customShpInfo spid="_x0000_s2303"/>
    <customShpInfo spid="_x0000_s2050"/>
    <customShpInfo spid="_x0000_s1095"/>
    <customShpInfo spid="_x0000_s1094"/>
    <customShpInfo spid="_x0000_s1063"/>
    <customShpInfo spid="_x0000_s1062"/>
    <customShpInfo spid="_x0000_s1106"/>
    <customShpInfo spid="_x0000_s1107"/>
    <customShpInfo spid="_x0000_s1108"/>
    <customShpInfo spid="_x0000_s1109"/>
    <customShpInfo spid="_x0000_s1110"/>
    <customShpInfo spid="_x0000_s1105"/>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BA84D-8814-4766-9D2C-885D53DB8E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244</Pages>
  <Words>137522</Words>
  <Characters>144679</Characters>
  <Lines>1236</Lines>
  <Paragraphs>348</Paragraphs>
  <TotalTime>45</TotalTime>
  <ScaleCrop>false</ScaleCrop>
  <LinksUpToDate>false</LinksUpToDate>
  <CharactersWithSpaces>149344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2021-04-14T01:56:00Z</dcterms:created>
  <dc:creator>袁静</dc:creator>
  <cp:lastModifiedBy>天甲</cp:lastModifiedBy>
  <cp:lastPrinted>2021-04-14T07:47:00Z</cp:lastPrinted>
  <dcterms:modified xsi:type="dcterms:W3CDTF">2021-04-28T07:50:40Z</dcterms:modified>
  <dc:title>沈营线（兰旗堡K157+556——后石小桥K183+755）中修工程施工                                 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Office Word 2007</vt:lpwstr>
  </property>
  <property fmtid="{D5CDD505-2E9C-101B-9397-08002B2CF9AE}" pid="4" name="LastSaved">
    <vt:filetime>2018-03-04T00:00:00Z</vt:filetime>
  </property>
  <property fmtid="{D5CDD505-2E9C-101B-9397-08002B2CF9AE}" pid="5" name="KSOProductBuildVer">
    <vt:lpwstr>2052-11.1.0.10356</vt:lpwstr>
  </property>
  <property fmtid="{D5CDD505-2E9C-101B-9397-08002B2CF9AE}" pid="6" name="ICV">
    <vt:lpwstr>3374A1BE0A7B42CC9441A881438EBC40</vt:lpwstr>
  </property>
</Properties>
</file>