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tabs>
          <w:tab w:val="left" w:pos="1315"/>
        </w:tabs>
        <w:spacing w:before="107"/>
        <w:ind w:left="36"/>
        <w:jc w:val="center"/>
        <w:rPr>
          <w:color w:val="auto"/>
          <w:highlight w:val="none"/>
        </w:rPr>
      </w:pPr>
      <w:bookmarkStart w:id="0" w:name="_bookmark277"/>
      <w:bookmarkEnd w:id="0"/>
      <w:r>
        <w:rPr>
          <w:color w:val="auto"/>
          <w:highlight w:val="none"/>
        </w:rPr>
        <w:t>第五章</w:t>
      </w:r>
      <w:r>
        <w:rPr>
          <w:color w:val="auto"/>
          <w:highlight w:val="none"/>
        </w:rPr>
        <w:tab/>
      </w:r>
      <w:r>
        <w:rPr>
          <w:color w:val="auto"/>
          <w:highlight w:val="none"/>
        </w:rPr>
        <w:t>工程量清单</w:t>
      </w:r>
    </w:p>
    <w:p>
      <w:pPr>
        <w:numPr>
          <w:ilvl w:val="0"/>
          <w:numId w:val="1"/>
        </w:numPr>
        <w:tabs>
          <w:tab w:val="left" w:pos="775"/>
        </w:tabs>
        <w:spacing w:before="248"/>
        <w:ind w:hanging="350"/>
        <w:outlineLvl w:val="2"/>
        <w:rPr>
          <w:rFonts w:ascii="黑体" w:eastAsia="黑体"/>
          <w:color w:val="auto"/>
          <w:sz w:val="28"/>
          <w:highlight w:val="none"/>
        </w:rPr>
      </w:pPr>
      <w:bookmarkStart w:id="1" w:name="_bookmark278"/>
      <w:bookmarkEnd w:id="1"/>
      <w:bookmarkStart w:id="2" w:name="_Toc10870"/>
      <w:bookmarkStart w:id="3" w:name="_Toc31521"/>
      <w:bookmarkStart w:id="4" w:name="_Toc6664"/>
      <w:bookmarkStart w:id="5" w:name="_Toc20028"/>
      <w:bookmarkStart w:id="6" w:name="_Toc23079"/>
      <w:bookmarkStart w:id="7" w:name="_Toc12617"/>
      <w:bookmarkStart w:id="8" w:name="_Toc24296"/>
      <w:bookmarkStart w:id="9" w:name="_Toc5692"/>
      <w:bookmarkStart w:id="10" w:name="_Toc32548"/>
      <w:bookmarkStart w:id="11" w:name="_Toc22762"/>
      <w:bookmarkStart w:id="12" w:name="_Toc30881"/>
      <w:bookmarkStart w:id="13" w:name="_Toc29739"/>
      <w:bookmarkStart w:id="14" w:name="_Toc4225"/>
      <w:bookmarkStart w:id="15" w:name="_Toc24643"/>
      <w:bookmarkStart w:id="16" w:name="_Toc31698"/>
      <w:bookmarkStart w:id="17" w:name="_Toc7862"/>
      <w:bookmarkStart w:id="18" w:name="_Toc17777"/>
      <w:r>
        <w:rPr>
          <w:rFonts w:hint="eastAsia" w:ascii="黑体" w:eastAsia="黑体"/>
          <w:color w:val="auto"/>
          <w:spacing w:val="-1"/>
          <w:sz w:val="28"/>
          <w:highlight w:val="none"/>
        </w:rPr>
        <w:t>工程量清单说明</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pPr>
        <w:pStyle w:val="20"/>
        <w:spacing w:before="11"/>
        <w:rPr>
          <w:rFonts w:ascii="黑体"/>
          <w:color w:val="auto"/>
          <w:sz w:val="25"/>
          <w:highlight w:val="none"/>
        </w:rPr>
      </w:pPr>
    </w:p>
    <w:p>
      <w:pPr>
        <w:pStyle w:val="86"/>
        <w:numPr>
          <w:ilvl w:val="1"/>
          <w:numId w:val="1"/>
        </w:numPr>
        <w:tabs>
          <w:tab w:val="left" w:pos="1385"/>
        </w:tabs>
        <w:adjustRightInd w:val="0"/>
        <w:snapToGrid w:val="0"/>
        <w:spacing w:line="400" w:lineRule="exact"/>
        <w:ind w:right="384" w:firstLine="540"/>
        <w:jc w:val="both"/>
        <w:rPr>
          <w:color w:val="auto"/>
          <w:sz w:val="24"/>
          <w:highlight w:val="none"/>
        </w:rPr>
      </w:pPr>
      <w:r>
        <w:rPr>
          <w:color w:val="auto"/>
          <w:sz w:val="24"/>
          <w:highlight w:val="none"/>
        </w:rPr>
        <w:t>本工程量清单是根据招标文件中包括的有合同约束力的工程量清单计量规则、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pPr>
        <w:pStyle w:val="86"/>
        <w:numPr>
          <w:ilvl w:val="1"/>
          <w:numId w:val="1"/>
        </w:numPr>
        <w:tabs>
          <w:tab w:val="left" w:pos="1385"/>
        </w:tabs>
        <w:adjustRightInd w:val="0"/>
        <w:snapToGrid w:val="0"/>
        <w:spacing w:line="400" w:lineRule="exact"/>
        <w:ind w:right="389" w:firstLine="540"/>
        <w:jc w:val="both"/>
        <w:rPr>
          <w:color w:val="auto"/>
          <w:sz w:val="24"/>
          <w:highlight w:val="none"/>
        </w:rPr>
      </w:pPr>
      <w:r>
        <w:rPr>
          <w:color w:val="auto"/>
          <w:sz w:val="24"/>
          <w:highlight w:val="none"/>
        </w:rPr>
        <w:t>本工程量清单应与招标文件中的投标人须知、通用合同条款、专用合同条款、工程量清单计量规则、技术规范及图纸等一起阅读和理解。</w:t>
      </w:r>
    </w:p>
    <w:p>
      <w:pPr>
        <w:pStyle w:val="86"/>
        <w:numPr>
          <w:ilvl w:val="1"/>
          <w:numId w:val="1"/>
        </w:numPr>
        <w:tabs>
          <w:tab w:val="left" w:pos="1385"/>
        </w:tabs>
        <w:adjustRightInd w:val="0"/>
        <w:snapToGrid w:val="0"/>
        <w:spacing w:line="400" w:lineRule="exact"/>
        <w:ind w:right="264" w:firstLine="540"/>
        <w:rPr>
          <w:color w:val="auto"/>
          <w:sz w:val="24"/>
          <w:highlight w:val="none"/>
        </w:rPr>
      </w:pPr>
      <w:r>
        <w:rPr>
          <w:color w:val="auto"/>
          <w:sz w:val="24"/>
          <w:highlight w:val="none"/>
        </w:rPr>
        <w:t>本工程量清单中所列工程数量仅作为投标报</w:t>
      </w:r>
      <w:r>
        <w:rPr>
          <w:color w:val="auto"/>
          <w:spacing w:val="-9"/>
          <w:sz w:val="24"/>
          <w:highlight w:val="none"/>
        </w:rPr>
        <w:t>价的共同基础，不能作为最终结算与支付的依据。</w:t>
      </w:r>
      <w:r>
        <w:rPr>
          <w:rFonts w:hint="eastAsia"/>
          <w:color w:val="auto"/>
          <w:spacing w:val="-9"/>
          <w:sz w:val="24"/>
          <w:highlight w:val="none"/>
        </w:rPr>
        <w:t>最终计量与支付方法按项目专用合同条款执行。</w:t>
      </w:r>
    </w:p>
    <w:p>
      <w:pPr>
        <w:pStyle w:val="86"/>
        <w:numPr>
          <w:ilvl w:val="1"/>
          <w:numId w:val="1"/>
        </w:numPr>
        <w:tabs>
          <w:tab w:val="left" w:pos="1387"/>
        </w:tabs>
        <w:adjustRightInd w:val="0"/>
        <w:snapToGrid w:val="0"/>
        <w:spacing w:line="400" w:lineRule="exact"/>
        <w:ind w:right="280" w:firstLine="540"/>
        <w:jc w:val="both"/>
        <w:rPr>
          <w:color w:val="auto"/>
          <w:sz w:val="24"/>
          <w:highlight w:val="none"/>
        </w:rPr>
      </w:pPr>
      <w:r>
        <w:rPr>
          <w:color w:val="auto"/>
          <w:sz w:val="24"/>
          <w:highlight w:val="none"/>
        </w:rPr>
        <w:t>工程量清单各章是按第八章</w:t>
      </w:r>
      <w:r>
        <w:rPr>
          <w:rFonts w:ascii="Times New Roman" w:hAnsi="Times New Roman" w:eastAsia="Times New Roman"/>
          <w:color w:val="auto"/>
          <w:sz w:val="24"/>
          <w:highlight w:val="none"/>
        </w:rPr>
        <w:t>“</w:t>
      </w:r>
      <w:r>
        <w:rPr>
          <w:color w:val="auto"/>
          <w:sz w:val="24"/>
          <w:highlight w:val="none"/>
        </w:rPr>
        <w:t>工程量清单计量规则</w:t>
      </w:r>
      <w:r>
        <w:rPr>
          <w:rFonts w:ascii="Times New Roman" w:hAnsi="Times New Roman" w:eastAsia="Times New Roman"/>
          <w:color w:val="auto"/>
          <w:sz w:val="24"/>
          <w:highlight w:val="none"/>
        </w:rPr>
        <w:t>”</w:t>
      </w:r>
      <w:r>
        <w:rPr>
          <w:color w:val="auto"/>
          <w:sz w:val="24"/>
          <w:highlight w:val="none"/>
        </w:rPr>
        <w:t>、第七章</w:t>
      </w:r>
      <w:r>
        <w:rPr>
          <w:rFonts w:ascii="Times New Roman" w:hAnsi="Times New Roman" w:eastAsia="Times New Roman"/>
          <w:color w:val="auto"/>
          <w:sz w:val="24"/>
          <w:highlight w:val="none"/>
        </w:rPr>
        <w:t>“</w:t>
      </w:r>
      <w:r>
        <w:rPr>
          <w:color w:val="auto"/>
          <w:sz w:val="24"/>
          <w:highlight w:val="none"/>
        </w:rPr>
        <w:t>技术规范</w:t>
      </w:r>
      <w:r>
        <w:rPr>
          <w:rFonts w:ascii="Times New Roman" w:hAnsi="Times New Roman" w:eastAsia="Times New Roman"/>
          <w:color w:val="auto"/>
          <w:sz w:val="24"/>
          <w:highlight w:val="none"/>
        </w:rPr>
        <w:t>”</w:t>
      </w:r>
      <w:r>
        <w:rPr>
          <w:color w:val="auto"/>
          <w:sz w:val="24"/>
          <w:highlight w:val="none"/>
        </w:rPr>
        <w:t>的</w:t>
      </w:r>
      <w:r>
        <w:rPr>
          <w:color w:val="auto"/>
          <w:spacing w:val="-8"/>
          <w:sz w:val="24"/>
          <w:highlight w:val="none"/>
        </w:rPr>
        <w:t>相应章次编号的，因此，工程量清单中各章的工程子目的范围与计量等应与</w:t>
      </w:r>
      <w:r>
        <w:rPr>
          <w:rFonts w:ascii="Times New Roman" w:hAnsi="Times New Roman" w:eastAsia="Times New Roman"/>
          <w:color w:val="auto"/>
          <w:sz w:val="24"/>
          <w:highlight w:val="none"/>
        </w:rPr>
        <w:t>“</w:t>
      </w:r>
      <w:r>
        <w:rPr>
          <w:color w:val="auto"/>
          <w:sz w:val="24"/>
          <w:highlight w:val="none"/>
        </w:rPr>
        <w:t>工程量清单计量规则</w:t>
      </w:r>
      <w:r>
        <w:rPr>
          <w:rFonts w:ascii="Times New Roman" w:hAnsi="Times New Roman" w:eastAsia="Times New Roman"/>
          <w:color w:val="auto"/>
          <w:spacing w:val="-1"/>
          <w:sz w:val="24"/>
          <w:highlight w:val="none"/>
        </w:rPr>
        <w:t>” “</w:t>
      </w:r>
      <w:r>
        <w:rPr>
          <w:color w:val="auto"/>
          <w:sz w:val="24"/>
          <w:highlight w:val="none"/>
        </w:rPr>
        <w:t>技术规范</w:t>
      </w:r>
      <w:r>
        <w:rPr>
          <w:rFonts w:ascii="Times New Roman" w:hAnsi="Times New Roman" w:eastAsia="Times New Roman"/>
          <w:color w:val="auto"/>
          <w:sz w:val="24"/>
          <w:highlight w:val="none"/>
        </w:rPr>
        <w:t>”</w:t>
      </w:r>
      <w:r>
        <w:rPr>
          <w:color w:val="auto"/>
          <w:sz w:val="24"/>
          <w:highlight w:val="none"/>
        </w:rPr>
        <w:t>相应章节的范围、计量与支付条款结合起来理解或解释。</w:t>
      </w:r>
    </w:p>
    <w:p>
      <w:pPr>
        <w:pStyle w:val="86"/>
        <w:numPr>
          <w:ilvl w:val="1"/>
          <w:numId w:val="1"/>
        </w:numPr>
        <w:tabs>
          <w:tab w:val="left" w:pos="1385"/>
        </w:tabs>
        <w:adjustRightInd w:val="0"/>
        <w:snapToGrid w:val="0"/>
        <w:spacing w:line="400" w:lineRule="exact"/>
        <w:ind w:right="384" w:firstLine="540"/>
        <w:jc w:val="both"/>
        <w:rPr>
          <w:color w:val="auto"/>
          <w:sz w:val="24"/>
          <w:highlight w:val="none"/>
        </w:rPr>
      </w:pPr>
      <w:r>
        <w:rPr>
          <w:color w:val="auto"/>
          <w:sz w:val="24"/>
          <w:highlight w:val="none"/>
        </w:rPr>
        <w:t>对作业和材料的一般说明或规定，未重复写入工程量清单内，在给工程量清单各子目标价前，应参阅第七章</w:t>
      </w:r>
      <w:r>
        <w:rPr>
          <w:rFonts w:ascii="Times New Roman" w:hAnsi="Times New Roman" w:eastAsia="Times New Roman"/>
          <w:color w:val="auto"/>
          <w:sz w:val="24"/>
          <w:highlight w:val="none"/>
        </w:rPr>
        <w:t>“</w:t>
      </w:r>
      <w:r>
        <w:rPr>
          <w:color w:val="auto"/>
          <w:sz w:val="24"/>
          <w:highlight w:val="none"/>
        </w:rPr>
        <w:t>技术规范</w:t>
      </w:r>
      <w:r>
        <w:rPr>
          <w:rFonts w:ascii="Times New Roman" w:hAnsi="Times New Roman" w:eastAsia="Times New Roman"/>
          <w:color w:val="auto"/>
          <w:sz w:val="24"/>
          <w:highlight w:val="none"/>
        </w:rPr>
        <w:t>”</w:t>
      </w:r>
      <w:r>
        <w:rPr>
          <w:color w:val="auto"/>
          <w:sz w:val="24"/>
          <w:highlight w:val="none"/>
        </w:rPr>
        <w:t>的有关内容。</w:t>
      </w:r>
    </w:p>
    <w:p>
      <w:pPr>
        <w:pStyle w:val="86"/>
        <w:numPr>
          <w:ilvl w:val="1"/>
          <w:numId w:val="1"/>
        </w:numPr>
        <w:tabs>
          <w:tab w:val="left" w:pos="1385"/>
        </w:tabs>
        <w:adjustRightInd w:val="0"/>
        <w:snapToGrid w:val="0"/>
        <w:spacing w:line="400" w:lineRule="exact"/>
        <w:ind w:right="389" w:firstLine="540"/>
        <w:jc w:val="both"/>
        <w:rPr>
          <w:color w:val="auto"/>
          <w:sz w:val="24"/>
          <w:highlight w:val="none"/>
        </w:rPr>
      </w:pPr>
      <w:r>
        <w:rPr>
          <w:color w:val="auto"/>
          <w:sz w:val="24"/>
          <w:highlight w:val="none"/>
        </w:rPr>
        <w:t>工程量清单中所列工程量的变动，丝毫不会降低或影响合同条款的效力， 也不免除承包人按规定的标准进行施工和修复缺陷的责任。</w:t>
      </w:r>
    </w:p>
    <w:p>
      <w:pPr>
        <w:pStyle w:val="86"/>
        <w:numPr>
          <w:ilvl w:val="1"/>
          <w:numId w:val="1"/>
        </w:numPr>
        <w:tabs>
          <w:tab w:val="left" w:pos="1385"/>
        </w:tabs>
        <w:adjustRightInd w:val="0"/>
        <w:snapToGrid w:val="0"/>
        <w:spacing w:line="400" w:lineRule="exact"/>
        <w:ind w:right="389" w:firstLine="540"/>
        <w:jc w:val="both"/>
        <w:rPr>
          <w:color w:val="auto"/>
          <w:sz w:val="24"/>
          <w:szCs w:val="24"/>
          <w:highlight w:val="none"/>
        </w:rPr>
      </w:pPr>
      <w:r>
        <w:rPr>
          <w:color w:val="auto"/>
          <w:sz w:val="24"/>
          <w:szCs w:val="24"/>
          <w:highlight w:val="none"/>
        </w:rPr>
        <w:t>图纸中所列的工程数量表及数量汇总表仅是提供资料，不是工程量清单的外延。当图纸与工程量清单所列数量不一致时，以工程量清单所列数量作为报价的依据。</w:t>
      </w:r>
    </w:p>
    <w:p>
      <w:pPr>
        <w:pStyle w:val="86"/>
        <w:numPr>
          <w:ilvl w:val="1"/>
          <w:numId w:val="1"/>
        </w:numPr>
        <w:tabs>
          <w:tab w:val="left" w:pos="1385"/>
        </w:tabs>
        <w:adjustRightInd w:val="0"/>
        <w:snapToGrid w:val="0"/>
        <w:spacing w:line="400" w:lineRule="exact"/>
        <w:ind w:right="389" w:firstLine="540"/>
        <w:jc w:val="both"/>
        <w:rPr>
          <w:color w:val="auto"/>
          <w:sz w:val="24"/>
          <w:szCs w:val="24"/>
          <w:highlight w:val="none"/>
        </w:rPr>
      </w:pPr>
      <w:r>
        <w:rPr>
          <w:rFonts w:hint="eastAsia" w:cs="TimesNewRomanPSMT"/>
          <w:color w:val="auto"/>
          <w:sz w:val="24"/>
          <w:szCs w:val="24"/>
          <w:highlight w:val="none"/>
        </w:rPr>
        <w:t>投标人应对招标人提供的工程量清单进行认真细致的复核。如果投标人经过检查和复核以后认为招标人提供的工程量清单存在差异，则投标人应将此类差异的详细情况连同按投标人须知规定提交的要求招标人澄清的其他问题一起提交给招标人。</w:t>
      </w:r>
      <w:r>
        <w:rPr>
          <w:rFonts w:hint="eastAsia" w:cs="TimesNewRomanPSMT"/>
          <w:color w:val="auto"/>
          <w:sz w:val="24"/>
          <w:szCs w:val="24"/>
          <w:highlight w:val="none"/>
          <w:lang w:val="en-US"/>
        </w:rPr>
        <w:t>无论招标人是否调整工程量清单，投标人都必须</w:t>
      </w:r>
      <w:r>
        <w:rPr>
          <w:rFonts w:hint="eastAsia" w:cs="TimesNewRomanPSMT"/>
          <w:color w:val="auto"/>
          <w:sz w:val="24"/>
          <w:szCs w:val="24"/>
          <w:highlight w:val="none"/>
        </w:rPr>
        <w:t>按招标人提供的工程量清单（包括招标人可能的补充和（或）修改）进行投标报价，</w:t>
      </w:r>
      <w:r>
        <w:rPr>
          <w:rFonts w:hint="eastAsia" w:cs="TimesNewRomanPSMT"/>
          <w:color w:val="auto"/>
          <w:sz w:val="24"/>
          <w:szCs w:val="24"/>
          <w:highlight w:val="none"/>
          <w:lang w:val="en-US"/>
        </w:rPr>
        <w:t>并视为招标人给定的工程量清单包括了施工图纸范围内的全部施工内容，为固定总价合同。</w:t>
      </w:r>
    </w:p>
    <w:p>
      <w:pPr>
        <w:pStyle w:val="20"/>
        <w:adjustRightInd w:val="0"/>
        <w:snapToGrid w:val="0"/>
        <w:spacing w:line="400" w:lineRule="exact"/>
        <w:rPr>
          <w:color w:val="auto"/>
          <w:sz w:val="22"/>
          <w:highlight w:val="none"/>
        </w:rPr>
      </w:pPr>
    </w:p>
    <w:p>
      <w:pPr>
        <w:numPr>
          <w:ilvl w:val="0"/>
          <w:numId w:val="1"/>
        </w:numPr>
        <w:tabs>
          <w:tab w:val="left" w:pos="775"/>
        </w:tabs>
        <w:adjustRightInd w:val="0"/>
        <w:snapToGrid w:val="0"/>
        <w:spacing w:line="400" w:lineRule="exact"/>
        <w:ind w:hanging="350"/>
        <w:outlineLvl w:val="2"/>
        <w:rPr>
          <w:rFonts w:ascii="黑体" w:eastAsia="黑体"/>
          <w:color w:val="auto"/>
          <w:sz w:val="28"/>
          <w:highlight w:val="none"/>
        </w:rPr>
      </w:pPr>
      <w:bookmarkStart w:id="19" w:name="_bookmark279"/>
      <w:bookmarkEnd w:id="19"/>
      <w:bookmarkStart w:id="20" w:name="_Toc319"/>
      <w:bookmarkStart w:id="21" w:name="_Toc28021"/>
      <w:bookmarkStart w:id="22" w:name="_Toc729"/>
      <w:bookmarkStart w:id="23" w:name="_Toc12736"/>
      <w:bookmarkStart w:id="24" w:name="_Toc21540"/>
      <w:bookmarkStart w:id="25" w:name="_Toc32310"/>
      <w:bookmarkStart w:id="26" w:name="_Toc3805"/>
      <w:bookmarkStart w:id="27" w:name="_Toc1329"/>
      <w:bookmarkStart w:id="28" w:name="_Toc15912"/>
      <w:bookmarkStart w:id="29" w:name="_Toc32742"/>
      <w:bookmarkStart w:id="30" w:name="_Toc24850"/>
      <w:bookmarkStart w:id="31" w:name="_Toc29128"/>
      <w:bookmarkStart w:id="32" w:name="_Toc14554"/>
      <w:bookmarkStart w:id="33" w:name="_Toc21951"/>
      <w:bookmarkStart w:id="34" w:name="_Toc6003"/>
      <w:bookmarkStart w:id="35" w:name="_Toc13171"/>
      <w:bookmarkStart w:id="36" w:name="_Toc5237"/>
      <w:r>
        <w:rPr>
          <w:rFonts w:hint="eastAsia" w:ascii="黑体" w:eastAsia="黑体"/>
          <w:color w:val="auto"/>
          <w:spacing w:val="-1"/>
          <w:sz w:val="28"/>
          <w:highlight w:val="none"/>
        </w:rPr>
        <w:t>投标报价说明</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pPr>
        <w:pStyle w:val="20"/>
        <w:adjustRightInd w:val="0"/>
        <w:snapToGrid w:val="0"/>
        <w:spacing w:line="400" w:lineRule="exact"/>
        <w:rPr>
          <w:rFonts w:ascii="黑体"/>
          <w:color w:val="auto"/>
          <w:sz w:val="25"/>
          <w:highlight w:val="none"/>
        </w:rPr>
      </w:pPr>
    </w:p>
    <w:p>
      <w:pPr>
        <w:pStyle w:val="86"/>
        <w:numPr>
          <w:ilvl w:val="1"/>
          <w:numId w:val="1"/>
        </w:numPr>
        <w:tabs>
          <w:tab w:val="left" w:pos="1385"/>
        </w:tabs>
        <w:adjustRightInd w:val="0"/>
        <w:snapToGrid w:val="0"/>
        <w:spacing w:line="400" w:lineRule="exact"/>
        <w:ind w:firstLine="540"/>
        <w:rPr>
          <w:color w:val="auto"/>
          <w:sz w:val="24"/>
          <w:highlight w:val="none"/>
        </w:rPr>
      </w:pPr>
      <w:r>
        <w:rPr>
          <w:rFonts w:hint="eastAsia"/>
          <w:color w:val="auto"/>
          <w:sz w:val="24"/>
          <w:szCs w:val="24"/>
          <w:highlight w:val="none"/>
        </w:rPr>
        <w:t>承包人应将工程量清单与投标须知、合同条件、技术规范、图纸（文件）和图表、资料等文件结合起来阅读、理解或解释。</w:t>
      </w:r>
    </w:p>
    <w:p>
      <w:pPr>
        <w:pStyle w:val="86"/>
        <w:numPr>
          <w:ilvl w:val="1"/>
          <w:numId w:val="1"/>
        </w:numPr>
        <w:tabs>
          <w:tab w:val="left" w:pos="1385"/>
        </w:tabs>
        <w:adjustRightInd w:val="0"/>
        <w:snapToGrid w:val="0"/>
        <w:spacing w:line="400" w:lineRule="exact"/>
        <w:ind w:firstLine="540"/>
        <w:rPr>
          <w:color w:val="auto"/>
          <w:sz w:val="24"/>
          <w:highlight w:val="none"/>
        </w:rPr>
      </w:pPr>
      <w:r>
        <w:rPr>
          <w:color w:val="auto"/>
          <w:sz w:val="24"/>
          <w:highlight w:val="none"/>
        </w:rPr>
        <w:t>工程量清单中的每一子目须填入单价或价格，且只允许有一个报价。</w:t>
      </w:r>
    </w:p>
    <w:p>
      <w:pPr>
        <w:pStyle w:val="86"/>
        <w:numPr>
          <w:ilvl w:val="1"/>
          <w:numId w:val="1"/>
        </w:numPr>
        <w:tabs>
          <w:tab w:val="left" w:pos="1385"/>
        </w:tabs>
        <w:adjustRightInd w:val="0"/>
        <w:snapToGrid w:val="0"/>
        <w:spacing w:line="400" w:lineRule="exact"/>
        <w:ind w:right="265" w:firstLine="540"/>
        <w:rPr>
          <w:color w:val="auto"/>
          <w:sz w:val="24"/>
          <w:highlight w:val="none"/>
        </w:rPr>
      </w:pPr>
      <w:r>
        <w:rPr>
          <w:color w:val="auto"/>
          <w:sz w:val="24"/>
          <w:highlight w:val="none"/>
        </w:rPr>
        <w:t>除非合同另有规定，工程量清单中有标价的单价和总额价均已包括了为实</w:t>
      </w:r>
      <w:r>
        <w:rPr>
          <w:color w:val="auto"/>
          <w:spacing w:val="-8"/>
          <w:sz w:val="24"/>
          <w:highlight w:val="none"/>
        </w:rPr>
        <w:t>施和完成合同工程所需的劳务、材料、机械、质检</w:t>
      </w:r>
      <w:r>
        <w:rPr>
          <w:color w:val="auto"/>
          <w:sz w:val="24"/>
          <w:highlight w:val="none"/>
        </w:rPr>
        <w:t>（自检</w:t>
      </w:r>
      <w:r>
        <w:rPr>
          <w:color w:val="auto"/>
          <w:spacing w:val="-120"/>
          <w:sz w:val="24"/>
          <w:highlight w:val="none"/>
        </w:rPr>
        <w:t>）</w:t>
      </w:r>
      <w:r>
        <w:rPr>
          <w:color w:val="auto"/>
          <w:spacing w:val="-10"/>
          <w:sz w:val="24"/>
          <w:highlight w:val="none"/>
        </w:rPr>
        <w:t>、安装、缺陷修复、管理、保险、税费、利润等费用，以及合同明示或暗示的所有责任、义务和一般风险。</w:t>
      </w:r>
    </w:p>
    <w:p>
      <w:pPr>
        <w:pStyle w:val="86"/>
        <w:numPr>
          <w:ilvl w:val="1"/>
          <w:numId w:val="1"/>
        </w:numPr>
        <w:tabs>
          <w:tab w:val="left" w:pos="1385"/>
        </w:tabs>
        <w:adjustRightInd w:val="0"/>
        <w:snapToGrid w:val="0"/>
        <w:spacing w:line="400" w:lineRule="exact"/>
        <w:ind w:right="390" w:firstLine="540"/>
        <w:jc w:val="both"/>
        <w:rPr>
          <w:color w:val="auto"/>
          <w:sz w:val="24"/>
          <w:highlight w:val="none"/>
        </w:rPr>
      </w:pPr>
      <w:r>
        <w:rPr>
          <w:color w:val="auto"/>
          <w:sz w:val="24"/>
          <w:highlight w:val="none"/>
        </w:rPr>
        <w:t>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pPr>
        <w:pStyle w:val="86"/>
        <w:numPr>
          <w:ilvl w:val="1"/>
          <w:numId w:val="1"/>
        </w:numPr>
        <w:tabs>
          <w:tab w:val="left" w:pos="1385"/>
        </w:tabs>
        <w:adjustRightInd w:val="0"/>
        <w:snapToGrid w:val="0"/>
        <w:spacing w:line="400" w:lineRule="exact"/>
        <w:ind w:right="389" w:firstLine="540"/>
        <w:jc w:val="both"/>
        <w:rPr>
          <w:color w:val="auto"/>
          <w:sz w:val="24"/>
          <w:highlight w:val="none"/>
        </w:rPr>
      </w:pPr>
      <w:r>
        <w:rPr>
          <w:color w:val="auto"/>
          <w:sz w:val="24"/>
          <w:highlight w:val="none"/>
        </w:rPr>
        <w:t>符合合同条款规定的全部费用应认为已被计入有标价的工程量清单所列各子目之中，未列子目不予计量的工作，其费用应视为已分摊在本合同工程的有关子目的单价或总额价之中。</w:t>
      </w:r>
    </w:p>
    <w:p>
      <w:pPr>
        <w:pStyle w:val="86"/>
        <w:numPr>
          <w:ilvl w:val="1"/>
          <w:numId w:val="1"/>
        </w:numPr>
        <w:tabs>
          <w:tab w:val="left" w:pos="1385"/>
        </w:tabs>
        <w:adjustRightInd w:val="0"/>
        <w:snapToGrid w:val="0"/>
        <w:spacing w:line="400" w:lineRule="exact"/>
        <w:ind w:right="389" w:firstLine="540"/>
        <w:rPr>
          <w:color w:val="auto"/>
          <w:sz w:val="24"/>
          <w:highlight w:val="none"/>
        </w:rPr>
      </w:pPr>
      <w:r>
        <w:rPr>
          <w:color w:val="auto"/>
          <w:sz w:val="24"/>
          <w:highlight w:val="none"/>
        </w:rPr>
        <w:t>承包人用于本合同工程的各类装备的提供、运输、维护、拆卸、拼装等支付的费用，已包括在工程量清单的单价与总额价之中。</w:t>
      </w:r>
    </w:p>
    <w:p>
      <w:pPr>
        <w:adjustRightInd w:val="0"/>
        <w:snapToGrid w:val="0"/>
        <w:spacing w:line="400" w:lineRule="exact"/>
        <w:ind w:left="480" w:leftChars="218" w:firstLine="480" w:firstLineChars="200"/>
        <w:rPr>
          <w:color w:val="auto"/>
          <w:sz w:val="24"/>
          <w:szCs w:val="24"/>
          <w:highlight w:val="none"/>
        </w:rPr>
      </w:pPr>
      <w:r>
        <w:rPr>
          <w:rFonts w:hint="eastAsia"/>
          <w:color w:val="auto"/>
          <w:sz w:val="24"/>
          <w:szCs w:val="24"/>
          <w:highlight w:val="none"/>
          <w:lang w:val="en-US"/>
        </w:rPr>
        <w:t>2.7</w:t>
      </w:r>
      <w:r>
        <w:rPr>
          <w:rFonts w:hint="eastAsia"/>
          <w:color w:val="auto"/>
          <w:sz w:val="24"/>
          <w:szCs w:val="24"/>
          <w:highlight w:val="none"/>
        </w:rPr>
        <w:t>符合施工图设计范围和合同条件规定的项目若没列子目，其费用视为已分摊在本合同工程的有关子目的单价或总额价之中。</w:t>
      </w:r>
    </w:p>
    <w:p>
      <w:pPr>
        <w:adjustRightInd w:val="0"/>
        <w:snapToGrid w:val="0"/>
        <w:spacing w:line="400" w:lineRule="exact"/>
        <w:ind w:left="480" w:leftChars="218" w:firstLine="480" w:firstLineChars="200"/>
        <w:rPr>
          <w:color w:val="auto"/>
          <w:sz w:val="24"/>
          <w:szCs w:val="24"/>
          <w:highlight w:val="none"/>
        </w:rPr>
      </w:pPr>
      <w:r>
        <w:rPr>
          <w:rFonts w:hint="eastAsia"/>
          <w:color w:val="auto"/>
          <w:sz w:val="24"/>
          <w:szCs w:val="24"/>
          <w:highlight w:val="none"/>
        </w:rPr>
        <w:t>如：旧30mT梁移动、重新安装等项目不单独列项，其费用需分摊在相关子目中，不另计量。</w:t>
      </w:r>
    </w:p>
    <w:p>
      <w:pPr>
        <w:adjustRightInd w:val="0"/>
        <w:snapToGrid w:val="0"/>
        <w:spacing w:line="400" w:lineRule="exact"/>
        <w:ind w:left="480" w:leftChars="218" w:firstLine="480" w:firstLineChars="200"/>
        <w:rPr>
          <w:color w:val="auto"/>
          <w:sz w:val="24"/>
          <w:szCs w:val="24"/>
          <w:highlight w:val="none"/>
        </w:rPr>
      </w:pPr>
      <w:r>
        <w:rPr>
          <w:rFonts w:hint="eastAsia"/>
          <w:color w:val="auto"/>
          <w:sz w:val="24"/>
          <w:szCs w:val="24"/>
          <w:highlight w:val="none"/>
          <w:lang w:val="en-US"/>
        </w:rPr>
        <w:t>2.8</w:t>
      </w:r>
      <w:r>
        <w:rPr>
          <w:rFonts w:hint="eastAsia"/>
          <w:color w:val="auto"/>
          <w:sz w:val="24"/>
          <w:szCs w:val="24"/>
          <w:highlight w:val="none"/>
        </w:rPr>
        <w:t>规范和图纸（文件）上有关工程和材料的简介在工程量清单中不再重复和强调。</w:t>
      </w:r>
    </w:p>
    <w:p>
      <w:pPr>
        <w:adjustRightInd w:val="0"/>
        <w:snapToGrid w:val="0"/>
        <w:spacing w:line="400" w:lineRule="exact"/>
        <w:ind w:left="480" w:leftChars="218" w:firstLine="480" w:firstLineChars="200"/>
        <w:rPr>
          <w:color w:val="auto"/>
          <w:sz w:val="24"/>
          <w:szCs w:val="24"/>
          <w:highlight w:val="none"/>
        </w:rPr>
      </w:pPr>
      <w:r>
        <w:rPr>
          <w:rFonts w:hint="eastAsia"/>
          <w:color w:val="auto"/>
          <w:sz w:val="24"/>
          <w:szCs w:val="24"/>
          <w:highlight w:val="none"/>
          <w:lang w:val="en-US"/>
        </w:rPr>
        <w:t>2.9</w:t>
      </w:r>
      <w:r>
        <w:rPr>
          <w:rFonts w:hint="eastAsia"/>
          <w:color w:val="auto"/>
          <w:sz w:val="24"/>
          <w:szCs w:val="24"/>
          <w:highlight w:val="none"/>
        </w:rPr>
        <w:t>施工中计量已完成工程数量用以计算支付金额时，应根据技术规范中规定的计量和支付方法进行。所有工程数量均为完成以后测量的净值，对于构造物工程，以设计尺寸计量。</w:t>
      </w:r>
    </w:p>
    <w:p>
      <w:pPr>
        <w:pStyle w:val="86"/>
        <w:tabs>
          <w:tab w:val="left" w:pos="1385"/>
        </w:tabs>
        <w:adjustRightInd w:val="0"/>
        <w:snapToGrid w:val="0"/>
        <w:spacing w:line="400" w:lineRule="exact"/>
        <w:ind w:left="480" w:leftChars="218" w:right="389" w:firstLineChars="200"/>
        <w:rPr>
          <w:color w:val="auto"/>
          <w:sz w:val="24"/>
          <w:szCs w:val="24"/>
          <w:highlight w:val="none"/>
        </w:rPr>
      </w:pPr>
      <w:r>
        <w:rPr>
          <w:rFonts w:hint="eastAsia"/>
          <w:color w:val="auto"/>
          <w:sz w:val="24"/>
          <w:szCs w:val="24"/>
          <w:highlight w:val="none"/>
          <w:lang w:val="en-US"/>
        </w:rPr>
        <w:t>2.10</w:t>
      </w:r>
      <w:r>
        <w:rPr>
          <w:rFonts w:hint="eastAsia"/>
          <w:color w:val="auto"/>
          <w:sz w:val="24"/>
          <w:szCs w:val="24"/>
          <w:highlight w:val="none"/>
        </w:rPr>
        <w:t>工程量清单中所列工程量的变动，丝毫不会降低或影响合同条件的效力，也不免除承包人按规定的标准进行施工和修复缺陷的责任。、</w:t>
      </w:r>
    </w:p>
    <w:p>
      <w:pPr>
        <w:adjustRightInd w:val="0"/>
        <w:snapToGrid w:val="0"/>
        <w:spacing w:line="400" w:lineRule="exact"/>
        <w:ind w:left="480" w:leftChars="218" w:firstLine="480" w:firstLineChars="200"/>
        <w:rPr>
          <w:color w:val="auto"/>
          <w:sz w:val="24"/>
          <w:szCs w:val="24"/>
          <w:highlight w:val="none"/>
          <w:lang w:val="en-US"/>
        </w:rPr>
      </w:pPr>
      <w:r>
        <w:rPr>
          <w:rFonts w:hint="eastAsia"/>
          <w:color w:val="auto"/>
          <w:sz w:val="24"/>
          <w:szCs w:val="24"/>
          <w:highlight w:val="none"/>
          <w:lang w:val="en-US"/>
        </w:rPr>
        <w:t>2.11清单中未列的措施性项目，其费用视为已分摊在相关子目的单价或总额价之中。</w:t>
      </w:r>
    </w:p>
    <w:p>
      <w:pPr>
        <w:adjustRightInd w:val="0"/>
        <w:snapToGrid w:val="0"/>
        <w:spacing w:line="400" w:lineRule="exact"/>
        <w:ind w:left="480" w:leftChars="218" w:firstLine="480" w:firstLineChars="200"/>
        <w:rPr>
          <w:color w:val="auto"/>
          <w:sz w:val="24"/>
          <w:highlight w:val="none"/>
        </w:rPr>
      </w:pPr>
      <w:r>
        <w:rPr>
          <w:rFonts w:hint="eastAsia"/>
          <w:color w:val="auto"/>
          <w:sz w:val="24"/>
          <w:szCs w:val="24"/>
          <w:highlight w:val="none"/>
          <w:lang w:val="en-US"/>
        </w:rPr>
        <w:t>2.12</w:t>
      </w:r>
      <w:r>
        <w:rPr>
          <w:rFonts w:hint="eastAsia"/>
          <w:color w:val="auto"/>
          <w:sz w:val="24"/>
          <w:highlight w:val="none"/>
        </w:rPr>
        <w:t>投标人的投标报价应包括投标人完成本招标项目施工、缺陷修复工作的全部费用。投标人应依据相应的工程量计算规则和定额等计价依据并结合施工图计算报价。</w:t>
      </w:r>
    </w:p>
    <w:p>
      <w:pPr>
        <w:pStyle w:val="86"/>
        <w:tabs>
          <w:tab w:val="left" w:pos="1385"/>
        </w:tabs>
        <w:adjustRightInd w:val="0"/>
        <w:snapToGrid w:val="0"/>
        <w:spacing w:line="400" w:lineRule="exact"/>
        <w:ind w:left="480" w:leftChars="218" w:right="389" w:firstLineChars="200"/>
        <w:rPr>
          <w:color w:val="auto"/>
          <w:sz w:val="24"/>
          <w:szCs w:val="24"/>
          <w:highlight w:val="none"/>
        </w:rPr>
      </w:pPr>
      <w:r>
        <w:rPr>
          <w:rFonts w:hint="eastAsia"/>
          <w:color w:val="auto"/>
          <w:sz w:val="24"/>
          <w:highlight w:val="none"/>
        </w:rPr>
        <w:t>如：工程量清单所列预应力钢绞线工程量根据计量规则为按图示两端锚具间的理论长度计算的质量，除以上计算长度以外的锚固及工作长度的预应力钢绞线含入报价中，不另计量。</w:t>
      </w:r>
    </w:p>
    <w:p>
      <w:pPr>
        <w:pStyle w:val="86"/>
        <w:tabs>
          <w:tab w:val="left" w:pos="1385"/>
        </w:tabs>
        <w:adjustRightInd w:val="0"/>
        <w:snapToGrid w:val="0"/>
        <w:spacing w:line="400" w:lineRule="exact"/>
        <w:ind w:left="0" w:right="389" w:firstLine="0"/>
        <w:rPr>
          <w:color w:val="auto"/>
          <w:sz w:val="24"/>
          <w:highlight w:val="none"/>
        </w:rPr>
      </w:pPr>
      <w:r>
        <w:rPr>
          <w:rFonts w:hint="eastAsia"/>
          <w:color w:val="auto"/>
          <w:sz w:val="24"/>
          <w:highlight w:val="none"/>
          <w:lang w:val="en-US"/>
        </w:rPr>
        <w:t xml:space="preserve">        2.13</w:t>
      </w:r>
      <w:r>
        <w:rPr>
          <w:color w:val="auto"/>
          <w:sz w:val="24"/>
          <w:highlight w:val="none"/>
        </w:rPr>
        <w:t>工程量清单中各项金额均以人民币（元）结算。</w:t>
      </w:r>
    </w:p>
    <w:p>
      <w:pPr>
        <w:pStyle w:val="86"/>
        <w:tabs>
          <w:tab w:val="left" w:pos="1385"/>
          <w:tab w:val="left" w:pos="8984"/>
        </w:tabs>
        <w:adjustRightInd w:val="0"/>
        <w:snapToGrid w:val="0"/>
        <w:spacing w:line="400" w:lineRule="exact"/>
        <w:ind w:left="480" w:leftChars="218" w:firstLine="482" w:firstLineChars="200"/>
        <w:rPr>
          <w:color w:val="auto"/>
          <w:sz w:val="24"/>
          <w:highlight w:val="none"/>
        </w:rPr>
      </w:pPr>
      <w:r>
        <w:rPr>
          <w:rFonts w:hint="eastAsia"/>
          <w:b/>
          <w:bCs/>
          <w:color w:val="auto"/>
          <w:sz w:val="24"/>
          <w:highlight w:val="none"/>
          <w:lang w:val="en-US"/>
        </w:rPr>
        <w:t>2.14</w:t>
      </w:r>
      <w:r>
        <w:rPr>
          <w:rFonts w:hint="eastAsia"/>
          <w:b/>
          <w:bCs/>
          <w:color w:val="auto"/>
          <w:sz w:val="24"/>
          <w:highlight w:val="none"/>
        </w:rPr>
        <w:t>暂列金额：</w:t>
      </w:r>
      <w:r>
        <w:rPr>
          <w:rFonts w:hint="eastAsia"/>
          <w:b/>
          <w:bCs/>
          <w:color w:val="auto"/>
          <w:sz w:val="24"/>
          <w:highlight w:val="none"/>
          <w:u w:val="single"/>
        </w:rPr>
        <w:t>本项目设</w:t>
      </w:r>
      <w:r>
        <w:rPr>
          <w:rFonts w:hint="eastAsia"/>
          <w:b/>
          <w:bCs/>
          <w:color w:val="auto"/>
          <w:sz w:val="24"/>
          <w:szCs w:val="24"/>
          <w:highlight w:val="none"/>
          <w:u w:val="single"/>
        </w:rPr>
        <w:t>暂列金2</w:t>
      </w:r>
      <w:r>
        <w:rPr>
          <w:b/>
          <w:bCs/>
          <w:color w:val="auto"/>
          <w:sz w:val="24"/>
          <w:szCs w:val="24"/>
          <w:highlight w:val="none"/>
          <w:u w:val="single"/>
        </w:rPr>
        <w:t>,216,129</w:t>
      </w:r>
      <w:r>
        <w:rPr>
          <w:rFonts w:hint="eastAsia"/>
          <w:b/>
          <w:bCs/>
          <w:color w:val="auto"/>
          <w:sz w:val="24"/>
          <w:szCs w:val="24"/>
          <w:highlight w:val="none"/>
          <w:u w:val="single"/>
        </w:rPr>
        <w:t>元，应按合同条件的规定使用和支付。</w:t>
      </w:r>
    </w:p>
    <w:p>
      <w:pPr>
        <w:pStyle w:val="86"/>
        <w:tabs>
          <w:tab w:val="left" w:pos="1385"/>
          <w:tab w:val="left" w:pos="7385"/>
        </w:tabs>
        <w:adjustRightInd w:val="0"/>
        <w:snapToGrid w:val="0"/>
        <w:spacing w:line="400" w:lineRule="exact"/>
        <w:ind w:left="964" w:firstLine="0"/>
        <w:rPr>
          <w:color w:val="auto"/>
          <w:sz w:val="24"/>
          <w:highlight w:val="none"/>
        </w:rPr>
      </w:pPr>
      <w:r>
        <w:rPr>
          <w:rFonts w:hint="eastAsia"/>
          <w:color w:val="auto"/>
          <w:sz w:val="24"/>
          <w:highlight w:val="none"/>
          <w:lang w:val="en-US"/>
        </w:rPr>
        <w:t>2.15</w:t>
      </w:r>
      <w:r>
        <w:rPr>
          <w:color w:val="auto"/>
          <w:sz w:val="24"/>
          <w:highlight w:val="none"/>
        </w:rPr>
        <w:t>暂估价的数量及拟用子目的说明：</w:t>
      </w:r>
      <w:r>
        <w:rPr>
          <w:rFonts w:hint="eastAsia"/>
          <w:color w:val="auto"/>
          <w:sz w:val="24"/>
          <w:highlight w:val="none"/>
          <w:u w:val="single"/>
          <w:lang w:val="en-US"/>
        </w:rPr>
        <w:t xml:space="preserve">  无  </w:t>
      </w:r>
      <w:r>
        <w:rPr>
          <w:color w:val="auto"/>
          <w:sz w:val="24"/>
          <w:highlight w:val="none"/>
        </w:rPr>
        <w:t>。</w:t>
      </w:r>
    </w:p>
    <w:p>
      <w:pPr>
        <w:pStyle w:val="20"/>
        <w:spacing w:before="10"/>
        <w:rPr>
          <w:color w:val="auto"/>
          <w:sz w:val="29"/>
          <w:highlight w:val="none"/>
        </w:rPr>
      </w:pPr>
    </w:p>
    <w:p>
      <w:pPr>
        <w:pStyle w:val="20"/>
        <w:spacing w:before="10"/>
        <w:rPr>
          <w:color w:val="auto"/>
          <w:sz w:val="29"/>
          <w:highlight w:val="none"/>
        </w:rPr>
      </w:pPr>
    </w:p>
    <w:p>
      <w:pPr>
        <w:pStyle w:val="20"/>
        <w:spacing w:before="10"/>
        <w:rPr>
          <w:color w:val="auto"/>
          <w:sz w:val="29"/>
          <w:highlight w:val="none"/>
        </w:rPr>
      </w:pPr>
    </w:p>
    <w:p>
      <w:pPr>
        <w:pStyle w:val="20"/>
        <w:spacing w:before="10"/>
        <w:rPr>
          <w:color w:val="auto"/>
          <w:sz w:val="29"/>
          <w:highlight w:val="none"/>
        </w:rPr>
      </w:pPr>
    </w:p>
    <w:p>
      <w:pPr>
        <w:numPr>
          <w:ilvl w:val="0"/>
          <w:numId w:val="1"/>
        </w:numPr>
        <w:tabs>
          <w:tab w:val="left" w:pos="775"/>
        </w:tabs>
        <w:spacing w:before="1"/>
        <w:ind w:hanging="350"/>
        <w:outlineLvl w:val="2"/>
        <w:rPr>
          <w:rFonts w:ascii="黑体" w:eastAsia="黑体"/>
          <w:color w:val="auto"/>
          <w:sz w:val="28"/>
          <w:highlight w:val="none"/>
        </w:rPr>
      </w:pPr>
      <w:bookmarkStart w:id="37" w:name="_bookmark280"/>
      <w:bookmarkEnd w:id="37"/>
      <w:bookmarkStart w:id="38" w:name="_Toc5932"/>
      <w:bookmarkStart w:id="39" w:name="_Toc11380"/>
      <w:bookmarkStart w:id="40" w:name="_Toc26854"/>
      <w:bookmarkStart w:id="41" w:name="_Toc14072"/>
      <w:bookmarkStart w:id="42" w:name="_Toc14155"/>
      <w:bookmarkStart w:id="43" w:name="_Toc28462"/>
      <w:bookmarkStart w:id="44" w:name="_Toc8920"/>
      <w:bookmarkStart w:id="45" w:name="_Toc7018"/>
      <w:bookmarkStart w:id="46" w:name="_Toc30402"/>
      <w:bookmarkStart w:id="47" w:name="_Toc8172"/>
      <w:bookmarkStart w:id="48" w:name="_Toc3580"/>
      <w:bookmarkStart w:id="49" w:name="_Toc15994"/>
      <w:bookmarkStart w:id="50" w:name="_Toc31305"/>
      <w:bookmarkStart w:id="51" w:name="_Toc28872"/>
      <w:bookmarkStart w:id="52" w:name="_Toc4481"/>
      <w:bookmarkStart w:id="53" w:name="_Toc9251"/>
      <w:bookmarkStart w:id="54" w:name="_Toc7364"/>
      <w:r>
        <w:rPr>
          <w:rFonts w:hint="eastAsia" w:ascii="黑体" w:eastAsia="黑体"/>
          <w:color w:val="auto"/>
          <w:spacing w:val="-1"/>
          <w:sz w:val="28"/>
          <w:highlight w:val="none"/>
        </w:rPr>
        <w:t>计日工说明</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pStyle w:val="20"/>
        <w:spacing w:before="11"/>
        <w:rPr>
          <w:rFonts w:ascii="黑体"/>
          <w:color w:val="auto"/>
          <w:sz w:val="25"/>
          <w:highlight w:val="none"/>
        </w:rPr>
      </w:pPr>
    </w:p>
    <w:p>
      <w:pPr>
        <w:pStyle w:val="20"/>
        <w:spacing w:line="312" w:lineRule="auto"/>
        <w:ind w:left="424" w:right="391" w:firstLine="539"/>
        <w:jc w:val="both"/>
        <w:rPr>
          <w:rFonts w:hint="default" w:eastAsia="宋体"/>
          <w:color w:val="auto"/>
          <w:highlight w:val="none"/>
          <w:lang w:val="en-US" w:eastAsia="zh-CN"/>
        </w:rPr>
      </w:pPr>
      <w:r>
        <w:rPr>
          <w:rFonts w:hint="eastAsia"/>
          <w:color w:val="auto"/>
          <w:highlight w:val="none"/>
          <w:lang w:val="en-US" w:eastAsia="zh-CN"/>
        </w:rPr>
        <w:t>无计日工。</w:t>
      </w:r>
    </w:p>
    <w:p>
      <w:pPr>
        <w:pStyle w:val="20"/>
        <w:spacing w:line="312" w:lineRule="auto"/>
        <w:ind w:left="424" w:right="391" w:firstLine="539"/>
        <w:jc w:val="both"/>
        <w:rPr>
          <w:color w:val="auto"/>
          <w:highlight w:val="none"/>
        </w:rPr>
      </w:pPr>
    </w:p>
    <w:p>
      <w:pPr>
        <w:pStyle w:val="20"/>
        <w:spacing w:line="312" w:lineRule="auto"/>
        <w:ind w:left="424" w:right="391" w:firstLine="539"/>
        <w:jc w:val="both"/>
        <w:rPr>
          <w:color w:val="auto"/>
          <w:highlight w:val="none"/>
        </w:rPr>
      </w:pPr>
    </w:p>
    <w:p>
      <w:pPr>
        <w:pStyle w:val="20"/>
        <w:spacing w:line="312" w:lineRule="auto"/>
        <w:ind w:left="424" w:right="391" w:firstLine="539"/>
        <w:jc w:val="both"/>
        <w:rPr>
          <w:color w:val="auto"/>
          <w:highlight w:val="none"/>
        </w:rPr>
      </w:pPr>
    </w:p>
    <w:p>
      <w:pPr>
        <w:pStyle w:val="20"/>
        <w:spacing w:line="312" w:lineRule="auto"/>
        <w:ind w:left="424" w:right="391" w:firstLine="539"/>
        <w:jc w:val="both"/>
        <w:rPr>
          <w:color w:val="auto"/>
          <w:highlight w:val="none"/>
        </w:rPr>
      </w:pPr>
      <w:bookmarkStart w:id="91" w:name="_GoBack"/>
      <w:bookmarkEnd w:id="91"/>
    </w:p>
    <w:p>
      <w:pPr>
        <w:pStyle w:val="20"/>
        <w:spacing w:line="312" w:lineRule="auto"/>
        <w:ind w:left="424" w:right="391" w:firstLine="539"/>
        <w:jc w:val="both"/>
        <w:rPr>
          <w:color w:val="auto"/>
          <w:highlight w:val="none"/>
        </w:rPr>
      </w:pPr>
    </w:p>
    <w:p>
      <w:pPr>
        <w:pStyle w:val="20"/>
        <w:spacing w:line="312" w:lineRule="auto"/>
        <w:ind w:left="424" w:right="391" w:firstLine="539"/>
        <w:jc w:val="both"/>
        <w:rPr>
          <w:color w:val="auto"/>
          <w:highlight w:val="none"/>
        </w:rPr>
      </w:pPr>
    </w:p>
    <w:p>
      <w:pPr>
        <w:pStyle w:val="20"/>
        <w:spacing w:line="312" w:lineRule="auto"/>
        <w:ind w:left="424" w:right="391" w:firstLine="539"/>
        <w:jc w:val="both"/>
        <w:rPr>
          <w:color w:val="auto"/>
          <w:highlight w:val="none"/>
        </w:rPr>
      </w:pPr>
    </w:p>
    <w:p>
      <w:pPr>
        <w:pStyle w:val="20"/>
        <w:spacing w:line="312" w:lineRule="auto"/>
        <w:ind w:left="424" w:right="391" w:firstLine="539"/>
        <w:jc w:val="both"/>
        <w:rPr>
          <w:color w:val="auto"/>
          <w:highlight w:val="none"/>
        </w:rPr>
      </w:pPr>
    </w:p>
    <w:p>
      <w:pPr>
        <w:pStyle w:val="20"/>
        <w:spacing w:line="312" w:lineRule="auto"/>
        <w:ind w:left="424" w:right="391" w:firstLine="539"/>
        <w:jc w:val="both"/>
        <w:rPr>
          <w:color w:val="auto"/>
          <w:highlight w:val="none"/>
        </w:rPr>
      </w:pPr>
    </w:p>
    <w:p>
      <w:pPr>
        <w:pStyle w:val="20"/>
        <w:spacing w:before="8"/>
        <w:rPr>
          <w:color w:val="auto"/>
          <w:sz w:val="22"/>
          <w:highlight w:val="none"/>
        </w:rPr>
      </w:pPr>
    </w:p>
    <w:p>
      <w:pPr>
        <w:keepNext w:val="0"/>
        <w:keepLines w:val="0"/>
        <w:pageBreakBefore w:val="0"/>
        <w:widowControl w:val="0"/>
        <w:numPr>
          <w:ilvl w:val="0"/>
          <w:numId w:val="1"/>
        </w:numPr>
        <w:tabs>
          <w:tab w:val="left" w:pos="775"/>
        </w:tabs>
        <w:kinsoku/>
        <w:wordWrap/>
        <w:overflowPunct/>
        <w:topLinePunct w:val="0"/>
        <w:autoSpaceDE w:val="0"/>
        <w:autoSpaceDN w:val="0"/>
        <w:bidi w:val="0"/>
        <w:adjustRightInd w:val="0"/>
        <w:snapToGrid w:val="0"/>
        <w:spacing w:line="360" w:lineRule="auto"/>
        <w:ind w:hanging="350"/>
        <w:jc w:val="both"/>
        <w:textAlignment w:val="auto"/>
        <w:outlineLvl w:val="2"/>
        <w:rPr>
          <w:rFonts w:ascii="黑体" w:eastAsia="黑体"/>
          <w:color w:val="auto"/>
          <w:sz w:val="28"/>
          <w:highlight w:val="none"/>
        </w:rPr>
      </w:pPr>
      <w:bookmarkStart w:id="55" w:name="_bookmark281"/>
      <w:bookmarkEnd w:id="55"/>
      <w:bookmarkStart w:id="56" w:name="_Toc14889"/>
      <w:bookmarkStart w:id="57" w:name="_Toc4983"/>
      <w:bookmarkStart w:id="58" w:name="_Toc16911"/>
      <w:bookmarkStart w:id="59" w:name="_Toc11834"/>
      <w:bookmarkStart w:id="60" w:name="_Toc22933"/>
      <w:bookmarkStart w:id="61" w:name="_Toc21671"/>
      <w:bookmarkStart w:id="62" w:name="_Toc21109"/>
      <w:bookmarkStart w:id="63" w:name="_Toc22628"/>
      <w:bookmarkStart w:id="64" w:name="_Toc14946"/>
      <w:bookmarkStart w:id="65" w:name="_Toc26783"/>
      <w:bookmarkStart w:id="66" w:name="_Toc8138"/>
      <w:bookmarkStart w:id="67" w:name="_Toc7126"/>
      <w:bookmarkStart w:id="68" w:name="_Toc6952"/>
      <w:bookmarkStart w:id="69" w:name="_Toc13375"/>
      <w:bookmarkStart w:id="70" w:name="_Toc2110"/>
      <w:bookmarkStart w:id="71" w:name="_Toc21428"/>
      <w:bookmarkStart w:id="72" w:name="_Toc13850"/>
      <w:r>
        <w:rPr>
          <w:rFonts w:hint="eastAsia" w:ascii="黑体" w:eastAsia="黑体"/>
          <w:color w:val="auto"/>
          <w:sz w:val="28"/>
          <w:highlight w:val="none"/>
        </w:rPr>
        <w:t>其他说明</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ind w:left="424" w:right="391" w:firstLine="539"/>
        <w:jc w:val="both"/>
        <w:textAlignment w:val="auto"/>
        <w:rPr>
          <w:rFonts w:hint="default"/>
          <w:color w:val="auto"/>
          <w:highlight w:val="none"/>
          <w:lang w:val="en-US" w:eastAsia="zh-CN"/>
        </w:rPr>
      </w:pPr>
      <w:r>
        <w:rPr>
          <w:rFonts w:hint="eastAsia"/>
          <w:color w:val="auto"/>
          <w:highlight w:val="none"/>
          <w:lang w:val="en-US" w:eastAsia="zh-CN"/>
        </w:rPr>
        <w:t>见投标须知前附表。</w:t>
      </w:r>
    </w:p>
    <w:p>
      <w:pPr>
        <w:pStyle w:val="20"/>
        <w:spacing w:before="9"/>
        <w:rPr>
          <w:rFonts w:ascii="黑体"/>
          <w:color w:val="auto"/>
          <w:sz w:val="13"/>
          <w:highlight w:val="none"/>
        </w:rPr>
      </w:pPr>
    </w:p>
    <w:p>
      <w:pPr>
        <w:pStyle w:val="20"/>
        <w:spacing w:before="9"/>
        <w:rPr>
          <w:rFonts w:ascii="黑体"/>
          <w:color w:val="auto"/>
          <w:sz w:val="13"/>
          <w:highlight w:val="none"/>
        </w:rPr>
      </w:pPr>
    </w:p>
    <w:p>
      <w:pPr>
        <w:pStyle w:val="20"/>
        <w:spacing w:before="9"/>
        <w:rPr>
          <w:rFonts w:ascii="黑体"/>
          <w:color w:val="auto"/>
          <w:sz w:val="13"/>
          <w:highlight w:val="none"/>
        </w:rPr>
      </w:pPr>
    </w:p>
    <w:p>
      <w:pPr>
        <w:pStyle w:val="20"/>
        <w:spacing w:before="9"/>
        <w:rPr>
          <w:rFonts w:ascii="黑体"/>
          <w:color w:val="auto"/>
          <w:sz w:val="13"/>
          <w:highlight w:val="none"/>
        </w:rPr>
      </w:pPr>
    </w:p>
    <w:p>
      <w:pPr>
        <w:pStyle w:val="20"/>
        <w:spacing w:before="9"/>
        <w:rPr>
          <w:rFonts w:ascii="黑体"/>
          <w:color w:val="auto"/>
          <w:sz w:val="13"/>
          <w:highlight w:val="none"/>
        </w:rPr>
      </w:pPr>
    </w:p>
    <w:p>
      <w:pPr>
        <w:pStyle w:val="20"/>
        <w:spacing w:before="9"/>
        <w:rPr>
          <w:rFonts w:ascii="黑体"/>
          <w:color w:val="auto"/>
          <w:sz w:val="13"/>
          <w:highlight w:val="none"/>
        </w:rPr>
      </w:pPr>
    </w:p>
    <w:p>
      <w:pPr>
        <w:pStyle w:val="20"/>
        <w:spacing w:before="9"/>
        <w:rPr>
          <w:rFonts w:ascii="黑体"/>
          <w:color w:val="auto"/>
          <w:sz w:val="13"/>
          <w:highlight w:val="none"/>
        </w:rPr>
      </w:pPr>
    </w:p>
    <w:p>
      <w:pPr>
        <w:pStyle w:val="20"/>
        <w:spacing w:before="9"/>
        <w:rPr>
          <w:rFonts w:ascii="黑体"/>
          <w:color w:val="auto"/>
          <w:sz w:val="13"/>
          <w:highlight w:val="none"/>
        </w:rPr>
      </w:pPr>
    </w:p>
    <w:p>
      <w:pPr>
        <w:pStyle w:val="20"/>
        <w:spacing w:before="9"/>
        <w:rPr>
          <w:rFonts w:ascii="黑体"/>
          <w:color w:val="auto"/>
          <w:sz w:val="13"/>
          <w:highlight w:val="none"/>
        </w:rPr>
      </w:pPr>
    </w:p>
    <w:p>
      <w:pPr>
        <w:pStyle w:val="20"/>
        <w:spacing w:before="9"/>
        <w:rPr>
          <w:rFonts w:ascii="黑体"/>
          <w:color w:val="auto"/>
          <w:sz w:val="13"/>
          <w:highlight w:val="none"/>
        </w:rPr>
      </w:pPr>
    </w:p>
    <w:p>
      <w:pPr>
        <w:pStyle w:val="20"/>
        <w:spacing w:before="9"/>
        <w:rPr>
          <w:rFonts w:ascii="黑体"/>
          <w:color w:val="auto"/>
          <w:sz w:val="13"/>
          <w:highlight w:val="none"/>
        </w:rPr>
      </w:pPr>
    </w:p>
    <w:p>
      <w:pPr>
        <w:pStyle w:val="20"/>
        <w:spacing w:before="9"/>
        <w:rPr>
          <w:rFonts w:ascii="黑体"/>
          <w:color w:val="auto"/>
          <w:sz w:val="13"/>
          <w:highlight w:val="none"/>
        </w:rPr>
      </w:pPr>
    </w:p>
    <w:p>
      <w:pPr>
        <w:pStyle w:val="20"/>
        <w:spacing w:before="9"/>
        <w:rPr>
          <w:rFonts w:ascii="黑体"/>
          <w:color w:val="auto"/>
          <w:sz w:val="13"/>
          <w:highlight w:val="none"/>
        </w:rPr>
      </w:pPr>
    </w:p>
    <w:p>
      <w:pPr>
        <w:pStyle w:val="20"/>
        <w:spacing w:before="9"/>
        <w:rPr>
          <w:rFonts w:ascii="黑体"/>
          <w:color w:val="auto"/>
          <w:sz w:val="13"/>
          <w:highlight w:val="none"/>
        </w:rPr>
      </w:pPr>
    </w:p>
    <w:p>
      <w:pPr>
        <w:numPr>
          <w:ilvl w:val="0"/>
          <w:numId w:val="1"/>
        </w:numPr>
        <w:tabs>
          <w:tab w:val="left" w:pos="775"/>
        </w:tabs>
        <w:spacing w:before="70"/>
        <w:ind w:hanging="350"/>
        <w:outlineLvl w:val="2"/>
        <w:rPr>
          <w:rFonts w:ascii="黑体" w:eastAsia="黑体"/>
          <w:color w:val="auto"/>
          <w:sz w:val="28"/>
          <w:highlight w:val="none"/>
        </w:rPr>
      </w:pPr>
      <w:bookmarkStart w:id="73" w:name="_bookmark282"/>
      <w:bookmarkEnd w:id="73"/>
      <w:bookmarkStart w:id="74" w:name="_Toc6511"/>
      <w:bookmarkStart w:id="75" w:name="_Toc28689"/>
      <w:bookmarkStart w:id="76" w:name="_Toc21901"/>
      <w:bookmarkStart w:id="77" w:name="_Toc15326"/>
      <w:bookmarkStart w:id="78" w:name="_Toc23071"/>
      <w:bookmarkStart w:id="79" w:name="_Toc7052"/>
      <w:bookmarkStart w:id="80" w:name="_Toc11889"/>
      <w:bookmarkStart w:id="81" w:name="_Toc22866"/>
      <w:bookmarkStart w:id="82" w:name="_Toc25301"/>
      <w:bookmarkStart w:id="83" w:name="_Toc22946"/>
      <w:bookmarkStart w:id="84" w:name="_Toc4640"/>
      <w:bookmarkStart w:id="85" w:name="_Toc16003"/>
      <w:bookmarkStart w:id="86" w:name="_Toc25386"/>
      <w:bookmarkStart w:id="87" w:name="_Toc31455"/>
      <w:bookmarkStart w:id="88" w:name="_Toc29961"/>
      <w:bookmarkStart w:id="89" w:name="_Toc8307"/>
      <w:bookmarkStart w:id="90" w:name="_Toc27136"/>
      <w:r>
        <w:rPr>
          <w:rFonts w:hint="eastAsia" w:ascii="黑体" w:eastAsia="黑体"/>
          <w:color w:val="auto"/>
          <w:spacing w:val="-1"/>
          <w:sz w:val="28"/>
          <w:highlight w:val="none"/>
        </w:rPr>
        <w:t>工程量清单</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pPr>
        <w:pStyle w:val="20"/>
        <w:spacing w:before="11"/>
        <w:rPr>
          <w:rFonts w:ascii="黑体"/>
          <w:color w:val="auto"/>
          <w:sz w:val="25"/>
          <w:highlight w:val="none"/>
        </w:rPr>
        <w:sectPr>
          <w:headerReference r:id="rId3" w:type="default"/>
          <w:footerReference r:id="rId4" w:type="default"/>
          <w:pgSz w:w="11907" w:h="16840"/>
          <w:pgMar w:top="1418" w:right="1191" w:bottom="1418" w:left="1191" w:header="873" w:footer="851" w:gutter="0"/>
          <w:cols w:space="720" w:num="1"/>
        </w:sectPr>
      </w:pPr>
    </w:p>
    <w:p>
      <w:pPr>
        <w:pStyle w:val="20"/>
        <w:spacing w:before="11"/>
        <w:jc w:val="center"/>
        <w:rPr>
          <w:rFonts w:cs="Arial"/>
          <w:b/>
          <w:bCs/>
          <w:color w:val="auto"/>
          <w:sz w:val="36"/>
          <w:szCs w:val="36"/>
          <w:highlight w:val="none"/>
          <w:lang w:val="en-US" w:bidi="ar-SA"/>
        </w:rPr>
      </w:pPr>
      <w:r>
        <w:rPr>
          <w:rFonts w:hint="eastAsia" w:cs="Arial"/>
          <w:b/>
          <w:bCs/>
          <w:color w:val="auto"/>
          <w:sz w:val="36"/>
          <w:szCs w:val="36"/>
          <w:highlight w:val="none"/>
          <w:lang w:val="en-US" w:bidi="ar-SA"/>
        </w:rPr>
        <w:t>投标报价汇总表</w:t>
      </w:r>
    </w:p>
    <w:p>
      <w:pPr>
        <w:pStyle w:val="20"/>
        <w:spacing w:before="11"/>
        <w:rPr>
          <w:rFonts w:ascii="黑体"/>
          <w:color w:val="auto"/>
          <w:sz w:val="25"/>
          <w:highlight w:val="none"/>
        </w:rPr>
      </w:pPr>
      <w:r>
        <w:rPr>
          <w:rFonts w:hint="eastAsia" w:cs="Arial"/>
          <w:color w:val="auto"/>
          <w:sz w:val="16"/>
          <w:szCs w:val="16"/>
          <w:highlight w:val="none"/>
          <w:lang w:val="en-US" w:bidi="ar-SA"/>
        </w:rPr>
        <w:t>合同段：鞍山市2021年库盘线张荒地辽河大桥维修加固工程施工                                              标表1</w:t>
      </w:r>
    </w:p>
    <w:tbl>
      <w:tblPr>
        <w:tblStyle w:val="47"/>
        <w:tblW w:w="8505" w:type="dxa"/>
        <w:tblInd w:w="93" w:type="dxa"/>
        <w:tblLayout w:type="autofit"/>
        <w:tblCellMar>
          <w:top w:w="0" w:type="dxa"/>
          <w:left w:w="108" w:type="dxa"/>
          <w:bottom w:w="0" w:type="dxa"/>
          <w:right w:w="108" w:type="dxa"/>
        </w:tblCellMar>
      </w:tblPr>
      <w:tblGrid>
        <w:gridCol w:w="705"/>
        <w:gridCol w:w="885"/>
        <w:gridCol w:w="5685"/>
        <w:gridCol w:w="1230"/>
      </w:tblGrid>
      <w:tr>
        <w:tblPrEx>
          <w:tblCellMar>
            <w:top w:w="0" w:type="dxa"/>
            <w:left w:w="108" w:type="dxa"/>
            <w:bottom w:w="0" w:type="dxa"/>
            <w:right w:w="108" w:type="dxa"/>
          </w:tblCellMar>
        </w:tblPrEx>
        <w:trPr>
          <w:trHeight w:val="499" w:hRule="atLeast"/>
        </w:trPr>
        <w:tc>
          <w:tcPr>
            <w:tcW w:w="705" w:type="dxa"/>
            <w:tcBorders>
              <w:top w:val="single" w:color="000000" w:sz="8"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b/>
                <w:bCs/>
                <w:color w:val="auto"/>
                <w:sz w:val="16"/>
                <w:szCs w:val="16"/>
                <w:highlight w:val="none"/>
              </w:rPr>
            </w:pPr>
            <w:r>
              <w:rPr>
                <w:rFonts w:hint="eastAsia"/>
                <w:b/>
                <w:bCs/>
                <w:color w:val="auto"/>
                <w:sz w:val="16"/>
                <w:szCs w:val="16"/>
                <w:highlight w:val="none"/>
                <w:lang w:val="en-US"/>
              </w:rPr>
              <w:t>序号</w:t>
            </w:r>
          </w:p>
        </w:tc>
        <w:tc>
          <w:tcPr>
            <w:tcW w:w="885" w:type="dxa"/>
            <w:tcBorders>
              <w:top w:val="single" w:color="000000" w:sz="8" w:space="0"/>
              <w:left w:val="nil"/>
              <w:bottom w:val="single" w:color="000000" w:sz="4" w:space="0"/>
              <w:right w:val="single" w:color="000000" w:sz="4" w:space="0"/>
            </w:tcBorders>
            <w:shd w:val="clear" w:color="auto" w:fill="FFFFFF"/>
            <w:vAlign w:val="center"/>
          </w:tcPr>
          <w:p>
            <w:pPr>
              <w:widowControl/>
              <w:jc w:val="center"/>
              <w:textAlignment w:val="center"/>
              <w:rPr>
                <w:b/>
                <w:bCs/>
                <w:color w:val="auto"/>
                <w:sz w:val="16"/>
                <w:szCs w:val="16"/>
                <w:highlight w:val="none"/>
              </w:rPr>
            </w:pPr>
            <w:r>
              <w:rPr>
                <w:rFonts w:hint="eastAsia"/>
                <w:b/>
                <w:bCs/>
                <w:color w:val="auto"/>
                <w:sz w:val="16"/>
                <w:szCs w:val="16"/>
                <w:highlight w:val="none"/>
                <w:lang w:val="en-US"/>
              </w:rPr>
              <w:t>章次</w:t>
            </w:r>
          </w:p>
        </w:tc>
        <w:tc>
          <w:tcPr>
            <w:tcW w:w="5685" w:type="dxa"/>
            <w:tcBorders>
              <w:top w:val="single" w:color="000000" w:sz="8" w:space="0"/>
              <w:left w:val="nil"/>
              <w:bottom w:val="single" w:color="000000" w:sz="4" w:space="0"/>
              <w:right w:val="single" w:color="000000" w:sz="4" w:space="0"/>
            </w:tcBorders>
            <w:shd w:val="clear" w:color="auto" w:fill="FFFFFF"/>
            <w:vAlign w:val="center"/>
          </w:tcPr>
          <w:p>
            <w:pPr>
              <w:widowControl/>
              <w:jc w:val="center"/>
              <w:textAlignment w:val="center"/>
              <w:rPr>
                <w:b/>
                <w:bCs/>
                <w:color w:val="auto"/>
                <w:sz w:val="16"/>
                <w:szCs w:val="16"/>
                <w:highlight w:val="none"/>
              </w:rPr>
            </w:pPr>
            <w:r>
              <w:rPr>
                <w:rFonts w:hint="eastAsia"/>
                <w:b/>
                <w:bCs/>
                <w:color w:val="auto"/>
                <w:sz w:val="16"/>
                <w:szCs w:val="16"/>
                <w:highlight w:val="none"/>
                <w:lang w:val="en-US"/>
              </w:rPr>
              <w:t>科目名称</w:t>
            </w:r>
          </w:p>
        </w:tc>
        <w:tc>
          <w:tcPr>
            <w:tcW w:w="1230" w:type="dxa"/>
            <w:tcBorders>
              <w:top w:val="single" w:color="000000" w:sz="8" w:space="0"/>
              <w:left w:val="nil"/>
              <w:bottom w:val="single" w:color="000000" w:sz="4" w:space="0"/>
              <w:right w:val="single" w:color="000000" w:sz="8" w:space="0"/>
            </w:tcBorders>
            <w:shd w:val="clear" w:color="auto" w:fill="FFFFFF"/>
            <w:vAlign w:val="center"/>
          </w:tcPr>
          <w:p>
            <w:pPr>
              <w:widowControl/>
              <w:jc w:val="center"/>
              <w:textAlignment w:val="center"/>
              <w:rPr>
                <w:b/>
                <w:bCs/>
                <w:color w:val="auto"/>
                <w:sz w:val="16"/>
                <w:szCs w:val="16"/>
                <w:highlight w:val="none"/>
              </w:rPr>
            </w:pPr>
            <w:r>
              <w:rPr>
                <w:rFonts w:hint="eastAsia"/>
                <w:b/>
                <w:bCs/>
                <w:color w:val="auto"/>
                <w:sz w:val="16"/>
                <w:szCs w:val="16"/>
                <w:highlight w:val="none"/>
                <w:lang w:val="en-US"/>
              </w:rPr>
              <w:t>金额（元）</w:t>
            </w:r>
          </w:p>
        </w:tc>
      </w:tr>
      <w:tr>
        <w:tblPrEx>
          <w:tblCellMar>
            <w:top w:w="0" w:type="dxa"/>
            <w:left w:w="108" w:type="dxa"/>
            <w:bottom w:w="0" w:type="dxa"/>
            <w:right w:w="108" w:type="dxa"/>
          </w:tblCellMar>
        </w:tblPrEx>
        <w:trPr>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1</w:t>
            </w:r>
          </w:p>
        </w:tc>
        <w:tc>
          <w:tcPr>
            <w:tcW w:w="88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100</w:t>
            </w:r>
          </w:p>
        </w:tc>
        <w:tc>
          <w:tcPr>
            <w:tcW w:w="568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 xml:space="preserve">  总 则</w:t>
            </w:r>
          </w:p>
        </w:tc>
        <w:tc>
          <w:tcPr>
            <w:tcW w:w="1230"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2</w:t>
            </w:r>
          </w:p>
        </w:tc>
        <w:tc>
          <w:tcPr>
            <w:tcW w:w="88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200</w:t>
            </w:r>
          </w:p>
        </w:tc>
        <w:tc>
          <w:tcPr>
            <w:tcW w:w="568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 xml:space="preserve">  路 基</w:t>
            </w:r>
          </w:p>
        </w:tc>
        <w:tc>
          <w:tcPr>
            <w:tcW w:w="1230"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3</w:t>
            </w:r>
          </w:p>
        </w:tc>
        <w:tc>
          <w:tcPr>
            <w:tcW w:w="88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300</w:t>
            </w:r>
          </w:p>
        </w:tc>
        <w:tc>
          <w:tcPr>
            <w:tcW w:w="568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 xml:space="preserve">  路 面</w:t>
            </w:r>
          </w:p>
        </w:tc>
        <w:tc>
          <w:tcPr>
            <w:tcW w:w="1230"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4</w:t>
            </w:r>
          </w:p>
        </w:tc>
        <w:tc>
          <w:tcPr>
            <w:tcW w:w="88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400</w:t>
            </w:r>
          </w:p>
        </w:tc>
        <w:tc>
          <w:tcPr>
            <w:tcW w:w="568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 xml:space="preserve">  桥梁、涵洞</w:t>
            </w:r>
          </w:p>
        </w:tc>
        <w:tc>
          <w:tcPr>
            <w:tcW w:w="1230"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5</w:t>
            </w:r>
          </w:p>
        </w:tc>
        <w:tc>
          <w:tcPr>
            <w:tcW w:w="88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600</w:t>
            </w:r>
          </w:p>
        </w:tc>
        <w:tc>
          <w:tcPr>
            <w:tcW w:w="568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 xml:space="preserve">  安全设施及预埋管线</w:t>
            </w:r>
          </w:p>
        </w:tc>
        <w:tc>
          <w:tcPr>
            <w:tcW w:w="1230"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6</w:t>
            </w:r>
          </w:p>
        </w:tc>
        <w:tc>
          <w:tcPr>
            <w:tcW w:w="6570"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第100章至第700章合计</w:t>
            </w:r>
          </w:p>
        </w:tc>
        <w:tc>
          <w:tcPr>
            <w:tcW w:w="1230"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7</w:t>
            </w:r>
          </w:p>
        </w:tc>
        <w:tc>
          <w:tcPr>
            <w:tcW w:w="6570"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已包含在清单合计中的材料、工程设备、专业工程暂估价合计</w:t>
            </w:r>
          </w:p>
        </w:tc>
        <w:tc>
          <w:tcPr>
            <w:tcW w:w="1230"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8</w:t>
            </w:r>
          </w:p>
        </w:tc>
        <w:tc>
          <w:tcPr>
            <w:tcW w:w="6570"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清单合计减去材料、工程设备、专业工程暂估价合计</w:t>
            </w:r>
          </w:p>
        </w:tc>
        <w:tc>
          <w:tcPr>
            <w:tcW w:w="1230"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9</w:t>
            </w:r>
          </w:p>
        </w:tc>
        <w:tc>
          <w:tcPr>
            <w:tcW w:w="6570"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计日工合计</w:t>
            </w:r>
          </w:p>
        </w:tc>
        <w:tc>
          <w:tcPr>
            <w:tcW w:w="1230"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10</w:t>
            </w:r>
          </w:p>
        </w:tc>
        <w:tc>
          <w:tcPr>
            <w:tcW w:w="6570"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暂列金额（不含计日工总额）</w:t>
            </w:r>
          </w:p>
        </w:tc>
        <w:tc>
          <w:tcPr>
            <w:tcW w:w="1230" w:type="dxa"/>
            <w:tcBorders>
              <w:top w:val="nil"/>
              <w:left w:val="nil"/>
              <w:bottom w:val="single" w:color="000000" w:sz="4" w:space="0"/>
              <w:right w:val="single" w:color="000000" w:sz="8"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2216129</w:t>
            </w:r>
          </w:p>
        </w:tc>
      </w:tr>
      <w:tr>
        <w:tblPrEx>
          <w:tblCellMar>
            <w:top w:w="0" w:type="dxa"/>
            <w:left w:w="108" w:type="dxa"/>
            <w:bottom w:w="0" w:type="dxa"/>
            <w:right w:w="108" w:type="dxa"/>
          </w:tblCellMar>
        </w:tblPrEx>
        <w:trPr>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11</w:t>
            </w:r>
          </w:p>
        </w:tc>
        <w:tc>
          <w:tcPr>
            <w:tcW w:w="6570"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投标报价</w:t>
            </w:r>
          </w:p>
        </w:tc>
        <w:tc>
          <w:tcPr>
            <w:tcW w:w="1230"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6803" w:hRule="atLeast"/>
        </w:trPr>
        <w:tc>
          <w:tcPr>
            <w:tcW w:w="705" w:type="dxa"/>
            <w:vMerge w:val="restart"/>
            <w:tcBorders>
              <w:top w:val="nil"/>
              <w:left w:val="single" w:color="000000" w:sz="8" w:space="0"/>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6570" w:type="dxa"/>
            <w:gridSpan w:val="2"/>
            <w:vMerge w:val="restart"/>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230" w:type="dxa"/>
            <w:vMerge w:val="restart"/>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2022" w:hRule="atLeast"/>
        </w:trPr>
        <w:tc>
          <w:tcPr>
            <w:tcW w:w="705" w:type="dxa"/>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6570" w:type="dxa"/>
            <w:gridSpan w:val="2"/>
            <w:vMerge w:val="continue"/>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230" w:type="dxa"/>
            <w:vMerge w:val="continue"/>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bl>
    <w:p>
      <w:pPr>
        <w:pStyle w:val="20"/>
        <w:rPr>
          <w:color w:val="auto"/>
          <w:sz w:val="20"/>
          <w:highlight w:val="none"/>
        </w:rPr>
      </w:pPr>
    </w:p>
    <w:p>
      <w:pPr>
        <w:pStyle w:val="20"/>
        <w:rPr>
          <w:color w:val="auto"/>
          <w:sz w:val="20"/>
          <w:highlight w:val="none"/>
        </w:rPr>
      </w:pPr>
    </w:p>
    <w:p>
      <w:pPr>
        <w:pStyle w:val="20"/>
        <w:spacing w:before="11"/>
        <w:jc w:val="center"/>
        <w:rPr>
          <w:rFonts w:cs="Arial"/>
          <w:b/>
          <w:bCs/>
          <w:color w:val="auto"/>
          <w:sz w:val="36"/>
          <w:szCs w:val="36"/>
          <w:highlight w:val="none"/>
          <w:lang w:val="en-US" w:bidi="ar-SA"/>
        </w:rPr>
      </w:pPr>
      <w:r>
        <w:rPr>
          <w:rFonts w:hint="eastAsia"/>
          <w:b/>
          <w:bCs/>
          <w:color w:val="auto"/>
          <w:sz w:val="36"/>
          <w:szCs w:val="36"/>
          <w:highlight w:val="none"/>
          <w:lang w:val="en-US"/>
        </w:rPr>
        <w:t>工程量清单表</w:t>
      </w:r>
    </w:p>
    <w:p>
      <w:pPr>
        <w:pStyle w:val="20"/>
        <w:rPr>
          <w:color w:val="auto"/>
          <w:sz w:val="20"/>
          <w:highlight w:val="none"/>
        </w:rPr>
      </w:pPr>
      <w:r>
        <w:rPr>
          <w:rFonts w:hint="eastAsia" w:cs="Arial"/>
          <w:color w:val="auto"/>
          <w:sz w:val="16"/>
          <w:szCs w:val="16"/>
          <w:highlight w:val="none"/>
          <w:lang w:val="en-US" w:bidi="ar-SA"/>
        </w:rPr>
        <w:t xml:space="preserve">合同段：鞍山市2021年库盘线张荒地辽河大桥维修加固工程施工                                              </w:t>
      </w:r>
      <w:r>
        <w:rPr>
          <w:rFonts w:hint="eastAsia"/>
          <w:color w:val="auto"/>
          <w:sz w:val="16"/>
          <w:szCs w:val="16"/>
          <w:highlight w:val="none"/>
          <w:lang w:val="en-US"/>
        </w:rPr>
        <w:t>标表2</w:t>
      </w:r>
    </w:p>
    <w:tbl>
      <w:tblPr>
        <w:tblStyle w:val="47"/>
        <w:tblW w:w="8535" w:type="dxa"/>
        <w:tblInd w:w="93" w:type="dxa"/>
        <w:tblLayout w:type="autofit"/>
        <w:tblCellMar>
          <w:top w:w="0" w:type="dxa"/>
          <w:left w:w="108" w:type="dxa"/>
          <w:bottom w:w="0" w:type="dxa"/>
          <w:right w:w="108" w:type="dxa"/>
        </w:tblCellMar>
      </w:tblPr>
      <w:tblGrid>
        <w:gridCol w:w="885"/>
        <w:gridCol w:w="3750"/>
        <w:gridCol w:w="705"/>
        <w:gridCol w:w="1065"/>
        <w:gridCol w:w="1065"/>
        <w:gridCol w:w="1065"/>
      </w:tblGrid>
      <w:tr>
        <w:tblPrEx>
          <w:tblCellMar>
            <w:top w:w="0" w:type="dxa"/>
            <w:left w:w="108" w:type="dxa"/>
            <w:bottom w:w="0" w:type="dxa"/>
            <w:right w:w="108" w:type="dxa"/>
          </w:tblCellMar>
        </w:tblPrEx>
        <w:trPr>
          <w:trHeight w:val="439" w:hRule="atLeast"/>
        </w:trPr>
        <w:tc>
          <w:tcPr>
            <w:tcW w:w="8535"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pPr>
              <w:widowControl/>
              <w:jc w:val="center"/>
              <w:textAlignment w:val="center"/>
              <w:rPr>
                <w:b/>
                <w:bCs/>
                <w:color w:val="auto"/>
                <w:sz w:val="24"/>
                <w:szCs w:val="24"/>
                <w:highlight w:val="none"/>
              </w:rPr>
            </w:pPr>
            <w:r>
              <w:rPr>
                <w:rFonts w:hint="eastAsia"/>
                <w:b/>
                <w:bCs/>
                <w:color w:val="auto"/>
                <w:sz w:val="24"/>
                <w:szCs w:val="24"/>
                <w:highlight w:val="none"/>
                <w:lang w:val="en-US"/>
              </w:rPr>
              <w:t>清单  第100章  总 则</w:t>
            </w:r>
          </w:p>
        </w:tc>
      </w:tr>
      <w:tr>
        <w:tblPrEx>
          <w:tblCellMar>
            <w:top w:w="0" w:type="dxa"/>
            <w:left w:w="108" w:type="dxa"/>
            <w:bottom w:w="0" w:type="dxa"/>
            <w:right w:w="108" w:type="dxa"/>
          </w:tblCellMar>
        </w:tblPrEx>
        <w:trPr>
          <w:trHeight w:val="342"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b/>
                <w:bCs/>
                <w:color w:val="auto"/>
                <w:sz w:val="16"/>
                <w:szCs w:val="16"/>
                <w:highlight w:val="none"/>
              </w:rPr>
            </w:pPr>
            <w:r>
              <w:rPr>
                <w:rFonts w:hint="eastAsia"/>
                <w:b/>
                <w:bCs/>
                <w:color w:val="auto"/>
                <w:sz w:val="16"/>
                <w:szCs w:val="16"/>
                <w:highlight w:val="none"/>
                <w:lang w:val="en-US"/>
              </w:rPr>
              <w:t>子目号</w:t>
            </w:r>
          </w:p>
        </w:tc>
        <w:tc>
          <w:tcPr>
            <w:tcW w:w="375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b/>
                <w:bCs/>
                <w:color w:val="auto"/>
                <w:sz w:val="16"/>
                <w:szCs w:val="16"/>
                <w:highlight w:val="none"/>
              </w:rPr>
            </w:pPr>
            <w:r>
              <w:rPr>
                <w:rFonts w:hint="eastAsia"/>
                <w:b/>
                <w:bCs/>
                <w:color w:val="auto"/>
                <w:sz w:val="16"/>
                <w:szCs w:val="16"/>
                <w:highlight w:val="none"/>
                <w:lang w:val="en-US"/>
              </w:rPr>
              <w:t>子目名称</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b/>
                <w:bCs/>
                <w:color w:val="auto"/>
                <w:sz w:val="16"/>
                <w:szCs w:val="16"/>
                <w:highlight w:val="none"/>
              </w:rPr>
            </w:pPr>
            <w:r>
              <w:rPr>
                <w:rFonts w:hint="eastAsia"/>
                <w:b/>
                <w:bCs/>
                <w:color w:val="auto"/>
                <w:sz w:val="16"/>
                <w:szCs w:val="16"/>
                <w:highlight w:val="none"/>
                <w:lang w:val="en-US"/>
              </w:rPr>
              <w:t>单位</w:t>
            </w:r>
          </w:p>
        </w:tc>
        <w:tc>
          <w:tcPr>
            <w:tcW w:w="106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b/>
                <w:bCs/>
                <w:color w:val="auto"/>
                <w:sz w:val="16"/>
                <w:szCs w:val="16"/>
                <w:highlight w:val="none"/>
              </w:rPr>
            </w:pPr>
            <w:r>
              <w:rPr>
                <w:rFonts w:hint="eastAsia"/>
                <w:b/>
                <w:bCs/>
                <w:color w:val="auto"/>
                <w:sz w:val="16"/>
                <w:szCs w:val="16"/>
                <w:highlight w:val="none"/>
                <w:lang w:val="en-US"/>
              </w:rPr>
              <w:t>数量</w:t>
            </w:r>
          </w:p>
        </w:tc>
        <w:tc>
          <w:tcPr>
            <w:tcW w:w="106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b/>
                <w:bCs/>
                <w:color w:val="auto"/>
                <w:sz w:val="16"/>
                <w:szCs w:val="16"/>
                <w:highlight w:val="none"/>
              </w:rPr>
            </w:pPr>
            <w:r>
              <w:rPr>
                <w:rFonts w:hint="eastAsia"/>
                <w:b/>
                <w:bCs/>
                <w:color w:val="auto"/>
                <w:sz w:val="16"/>
                <w:szCs w:val="16"/>
                <w:highlight w:val="none"/>
                <w:lang w:val="en-US"/>
              </w:rPr>
              <w:t>单价</w:t>
            </w:r>
          </w:p>
        </w:tc>
        <w:tc>
          <w:tcPr>
            <w:tcW w:w="1065" w:type="dxa"/>
            <w:tcBorders>
              <w:top w:val="nil"/>
              <w:left w:val="nil"/>
              <w:bottom w:val="single" w:color="000000" w:sz="4" w:space="0"/>
              <w:right w:val="single" w:color="000000" w:sz="8" w:space="0"/>
            </w:tcBorders>
            <w:shd w:val="clear" w:color="auto" w:fill="FFFFFF"/>
            <w:vAlign w:val="center"/>
          </w:tcPr>
          <w:p>
            <w:pPr>
              <w:widowControl/>
              <w:jc w:val="center"/>
              <w:textAlignment w:val="center"/>
              <w:rPr>
                <w:b/>
                <w:bCs/>
                <w:color w:val="auto"/>
                <w:sz w:val="16"/>
                <w:szCs w:val="16"/>
                <w:highlight w:val="none"/>
              </w:rPr>
            </w:pPr>
            <w:r>
              <w:rPr>
                <w:rFonts w:hint="eastAsia"/>
                <w:b/>
                <w:bCs/>
                <w:color w:val="auto"/>
                <w:sz w:val="16"/>
                <w:szCs w:val="16"/>
                <w:highlight w:val="none"/>
                <w:lang w:val="en-US"/>
              </w:rPr>
              <w:t>合价</w:t>
            </w: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101</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通则</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101-1</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保险费</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-a</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按合同条款规定，提供建筑工程一切险</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总额</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1.000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-b</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按合同条款规定，提供第三者责任险</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总额</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1.000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102</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工程管理</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102-1</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竣工文件</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总额</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1.000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102-2</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施工环保费</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总额</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1.000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102-3</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安全生产费</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总额</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1.000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102-4</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信息化系统（暂估价）</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总额</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1.000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103</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临时工程与设施</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103-1</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临时道路修建、养护与拆除（包括原道路的养护）</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总额</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1.000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103-2</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临时占地</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总额</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1.000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103-3</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临时供电设施架设、维护与拆除</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总额</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1.000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103-4</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电信设施的提供、维修与拆除</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总额</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1.000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103-5</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临时供水与排污设施</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总额</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1.000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104</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承包人驻地建设</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104-1</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承包人驻地建设</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总额</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1.000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105</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施工标准化</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105-1</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施工驻地</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总额</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1.000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105-2</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工地试验室</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总额</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1.000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105-3</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拌和站</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总额</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1.000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105-4</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钢筋加工场</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总额</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1.000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105-5</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预制场</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总额</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1.000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105-6</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仓储存放地</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总额</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1.000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105-7</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各场（厂）区、作业区连接道路及施工主便道</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总额</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1.000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969"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3750" w:type="dxa"/>
            <w:tcBorders>
              <w:top w:val="nil"/>
              <w:left w:val="nil"/>
              <w:bottom w:val="single" w:color="000000" w:sz="4" w:space="0"/>
              <w:right w:val="single" w:color="000000" w:sz="4" w:space="0"/>
            </w:tcBorders>
            <w:shd w:val="clear" w:color="auto" w:fill="FFFFFF"/>
            <w:vAlign w:val="center"/>
          </w:tcPr>
          <w:p>
            <w:pPr>
              <w:rPr>
                <w:color w:val="auto"/>
                <w:sz w:val="16"/>
                <w:szCs w:val="16"/>
                <w:highlight w:val="none"/>
              </w:rPr>
            </w:pP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535" w:type="dxa"/>
            <w:gridSpan w:val="6"/>
            <w:tcBorders>
              <w:top w:val="nil"/>
              <w:left w:val="single" w:color="000000" w:sz="8" w:space="0"/>
              <w:bottom w:val="single" w:color="000000" w:sz="8" w:space="0"/>
              <w:right w:val="single" w:color="000000" w:sz="8"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清单  第100章  合计   人民币           元</w:t>
            </w:r>
          </w:p>
        </w:tc>
      </w:tr>
    </w:tbl>
    <w:p>
      <w:pPr>
        <w:ind w:firstLine="6560" w:firstLineChars="4100"/>
        <w:rPr>
          <w:color w:val="auto"/>
          <w:sz w:val="16"/>
          <w:szCs w:val="16"/>
          <w:highlight w:val="none"/>
          <w:lang w:val="en-US"/>
        </w:rPr>
      </w:pPr>
      <w:r>
        <w:rPr>
          <w:rFonts w:hint="eastAsia"/>
          <w:color w:val="auto"/>
          <w:sz w:val="16"/>
          <w:szCs w:val="16"/>
          <w:highlight w:val="none"/>
          <w:lang w:val="en-US"/>
        </w:rPr>
        <w:t>清单   第 1 页  共 7 页</w:t>
      </w:r>
    </w:p>
    <w:p>
      <w:pPr>
        <w:ind w:firstLine="6560" w:firstLineChars="4100"/>
        <w:rPr>
          <w:color w:val="auto"/>
          <w:sz w:val="16"/>
          <w:szCs w:val="16"/>
          <w:highlight w:val="none"/>
          <w:lang w:val="en-US"/>
        </w:rPr>
      </w:pPr>
    </w:p>
    <w:p>
      <w:pPr>
        <w:pStyle w:val="20"/>
        <w:spacing w:before="11"/>
        <w:jc w:val="center"/>
        <w:rPr>
          <w:rFonts w:cs="Arial"/>
          <w:b/>
          <w:bCs/>
          <w:color w:val="auto"/>
          <w:sz w:val="36"/>
          <w:szCs w:val="36"/>
          <w:highlight w:val="none"/>
          <w:lang w:val="en-US" w:bidi="ar-SA"/>
        </w:rPr>
      </w:pPr>
      <w:r>
        <w:rPr>
          <w:rFonts w:hint="eastAsia"/>
          <w:b/>
          <w:bCs/>
          <w:color w:val="auto"/>
          <w:sz w:val="36"/>
          <w:szCs w:val="36"/>
          <w:highlight w:val="none"/>
          <w:lang w:val="en-US"/>
        </w:rPr>
        <w:t>工程量清单表</w:t>
      </w:r>
    </w:p>
    <w:p>
      <w:pPr>
        <w:rPr>
          <w:color w:val="auto"/>
          <w:sz w:val="16"/>
          <w:szCs w:val="16"/>
          <w:highlight w:val="none"/>
          <w:lang w:val="en-US"/>
        </w:rPr>
      </w:pPr>
      <w:r>
        <w:rPr>
          <w:rFonts w:hint="eastAsia" w:cs="Arial"/>
          <w:color w:val="auto"/>
          <w:sz w:val="16"/>
          <w:szCs w:val="16"/>
          <w:highlight w:val="none"/>
          <w:lang w:val="en-US" w:bidi="ar-SA"/>
        </w:rPr>
        <w:t xml:space="preserve">合同段：鞍山市2021年库盘线张荒地辽河大桥维修加固工程施工                                              </w:t>
      </w:r>
      <w:r>
        <w:rPr>
          <w:rFonts w:hint="eastAsia"/>
          <w:color w:val="auto"/>
          <w:sz w:val="16"/>
          <w:szCs w:val="16"/>
          <w:highlight w:val="none"/>
          <w:lang w:val="en-US"/>
        </w:rPr>
        <w:t>标表2</w:t>
      </w:r>
    </w:p>
    <w:tbl>
      <w:tblPr>
        <w:tblStyle w:val="47"/>
        <w:tblW w:w="8535" w:type="dxa"/>
        <w:tblInd w:w="93" w:type="dxa"/>
        <w:tblLayout w:type="autofit"/>
        <w:tblCellMar>
          <w:top w:w="0" w:type="dxa"/>
          <w:left w:w="108" w:type="dxa"/>
          <w:bottom w:w="0" w:type="dxa"/>
          <w:right w:w="108" w:type="dxa"/>
        </w:tblCellMar>
      </w:tblPr>
      <w:tblGrid>
        <w:gridCol w:w="885"/>
        <w:gridCol w:w="3750"/>
        <w:gridCol w:w="705"/>
        <w:gridCol w:w="1065"/>
        <w:gridCol w:w="1065"/>
        <w:gridCol w:w="1065"/>
      </w:tblGrid>
      <w:tr>
        <w:tblPrEx>
          <w:tblCellMar>
            <w:top w:w="0" w:type="dxa"/>
            <w:left w:w="108" w:type="dxa"/>
            <w:bottom w:w="0" w:type="dxa"/>
            <w:right w:w="108" w:type="dxa"/>
          </w:tblCellMar>
        </w:tblPrEx>
        <w:trPr>
          <w:trHeight w:val="439" w:hRule="atLeast"/>
        </w:trPr>
        <w:tc>
          <w:tcPr>
            <w:tcW w:w="8535"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pPr>
              <w:widowControl/>
              <w:jc w:val="center"/>
              <w:textAlignment w:val="center"/>
              <w:rPr>
                <w:b/>
                <w:bCs/>
                <w:color w:val="auto"/>
                <w:sz w:val="24"/>
                <w:szCs w:val="24"/>
                <w:highlight w:val="none"/>
              </w:rPr>
            </w:pPr>
            <w:r>
              <w:rPr>
                <w:rFonts w:hint="eastAsia"/>
                <w:b/>
                <w:bCs/>
                <w:color w:val="auto"/>
                <w:sz w:val="24"/>
                <w:szCs w:val="24"/>
                <w:highlight w:val="none"/>
                <w:lang w:val="en-US"/>
              </w:rPr>
              <w:t>清单  第200章  路 基</w:t>
            </w:r>
          </w:p>
        </w:tc>
      </w:tr>
      <w:tr>
        <w:tblPrEx>
          <w:tblCellMar>
            <w:top w:w="0" w:type="dxa"/>
            <w:left w:w="108" w:type="dxa"/>
            <w:bottom w:w="0" w:type="dxa"/>
            <w:right w:w="108" w:type="dxa"/>
          </w:tblCellMar>
        </w:tblPrEx>
        <w:trPr>
          <w:trHeight w:val="342"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b/>
                <w:bCs/>
                <w:color w:val="auto"/>
                <w:sz w:val="16"/>
                <w:szCs w:val="16"/>
                <w:highlight w:val="none"/>
              </w:rPr>
            </w:pPr>
            <w:r>
              <w:rPr>
                <w:rFonts w:hint="eastAsia"/>
                <w:b/>
                <w:bCs/>
                <w:color w:val="auto"/>
                <w:sz w:val="16"/>
                <w:szCs w:val="16"/>
                <w:highlight w:val="none"/>
                <w:lang w:val="en-US"/>
              </w:rPr>
              <w:t>子目号</w:t>
            </w:r>
          </w:p>
        </w:tc>
        <w:tc>
          <w:tcPr>
            <w:tcW w:w="375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b/>
                <w:bCs/>
                <w:color w:val="auto"/>
                <w:sz w:val="16"/>
                <w:szCs w:val="16"/>
                <w:highlight w:val="none"/>
              </w:rPr>
            </w:pPr>
            <w:r>
              <w:rPr>
                <w:rFonts w:hint="eastAsia"/>
                <w:b/>
                <w:bCs/>
                <w:color w:val="auto"/>
                <w:sz w:val="16"/>
                <w:szCs w:val="16"/>
                <w:highlight w:val="none"/>
                <w:lang w:val="en-US"/>
              </w:rPr>
              <w:t>子目名称</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b/>
                <w:bCs/>
                <w:color w:val="auto"/>
                <w:sz w:val="16"/>
                <w:szCs w:val="16"/>
                <w:highlight w:val="none"/>
              </w:rPr>
            </w:pPr>
            <w:r>
              <w:rPr>
                <w:rFonts w:hint="eastAsia"/>
                <w:b/>
                <w:bCs/>
                <w:color w:val="auto"/>
                <w:sz w:val="16"/>
                <w:szCs w:val="16"/>
                <w:highlight w:val="none"/>
                <w:lang w:val="en-US"/>
              </w:rPr>
              <w:t>单位</w:t>
            </w:r>
          </w:p>
        </w:tc>
        <w:tc>
          <w:tcPr>
            <w:tcW w:w="106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b/>
                <w:bCs/>
                <w:color w:val="auto"/>
                <w:sz w:val="16"/>
                <w:szCs w:val="16"/>
                <w:highlight w:val="none"/>
              </w:rPr>
            </w:pPr>
            <w:r>
              <w:rPr>
                <w:rFonts w:hint="eastAsia"/>
                <w:b/>
                <w:bCs/>
                <w:color w:val="auto"/>
                <w:sz w:val="16"/>
                <w:szCs w:val="16"/>
                <w:highlight w:val="none"/>
                <w:lang w:val="en-US"/>
              </w:rPr>
              <w:t>数量</w:t>
            </w:r>
          </w:p>
        </w:tc>
        <w:tc>
          <w:tcPr>
            <w:tcW w:w="106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b/>
                <w:bCs/>
                <w:color w:val="auto"/>
                <w:sz w:val="16"/>
                <w:szCs w:val="16"/>
                <w:highlight w:val="none"/>
              </w:rPr>
            </w:pPr>
            <w:r>
              <w:rPr>
                <w:rFonts w:hint="eastAsia"/>
                <w:b/>
                <w:bCs/>
                <w:color w:val="auto"/>
                <w:sz w:val="16"/>
                <w:szCs w:val="16"/>
                <w:highlight w:val="none"/>
                <w:lang w:val="en-US"/>
              </w:rPr>
              <w:t>单价</w:t>
            </w:r>
          </w:p>
        </w:tc>
        <w:tc>
          <w:tcPr>
            <w:tcW w:w="1065" w:type="dxa"/>
            <w:tcBorders>
              <w:top w:val="nil"/>
              <w:left w:val="nil"/>
              <w:bottom w:val="single" w:color="000000" w:sz="4" w:space="0"/>
              <w:right w:val="single" w:color="000000" w:sz="8" w:space="0"/>
            </w:tcBorders>
            <w:shd w:val="clear" w:color="auto" w:fill="FFFFFF"/>
            <w:vAlign w:val="center"/>
          </w:tcPr>
          <w:p>
            <w:pPr>
              <w:widowControl/>
              <w:jc w:val="center"/>
              <w:textAlignment w:val="center"/>
              <w:rPr>
                <w:b/>
                <w:bCs/>
                <w:color w:val="auto"/>
                <w:sz w:val="16"/>
                <w:szCs w:val="16"/>
                <w:highlight w:val="none"/>
              </w:rPr>
            </w:pPr>
            <w:r>
              <w:rPr>
                <w:rFonts w:hint="eastAsia"/>
                <w:b/>
                <w:bCs/>
                <w:color w:val="auto"/>
                <w:sz w:val="16"/>
                <w:szCs w:val="16"/>
                <w:highlight w:val="none"/>
                <w:lang w:val="en-US"/>
              </w:rPr>
              <w:t>合价</w:t>
            </w: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202</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场地清理</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202-2</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挖除旧路面</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-b</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沥青混凝土路面</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-b-1</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拆除旧路基层</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m3</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117.000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202-3</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拆除结构物</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-c</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砖、石及其他砌体结构</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m3</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178.000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-e</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旧桥上部拆除</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m3</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4000.700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204</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填方路基</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204-1</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路基填筑（包括填前压实）</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-h</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结构物台背回填透水性材料</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m3</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125.000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-j</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填筑路基土（交通便道）</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m3</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3225.000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6746" w:hRule="atLeast"/>
        </w:trPr>
        <w:tc>
          <w:tcPr>
            <w:tcW w:w="885" w:type="dxa"/>
            <w:vMerge w:val="restart"/>
            <w:tcBorders>
              <w:top w:val="nil"/>
              <w:left w:val="single" w:color="000000" w:sz="8" w:space="0"/>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3750" w:type="dxa"/>
            <w:vMerge w:val="restart"/>
            <w:tcBorders>
              <w:top w:val="nil"/>
              <w:left w:val="nil"/>
              <w:bottom w:val="single" w:color="000000" w:sz="4" w:space="0"/>
              <w:right w:val="single" w:color="000000" w:sz="4" w:space="0"/>
            </w:tcBorders>
            <w:shd w:val="clear" w:color="auto" w:fill="FFFFFF"/>
            <w:vAlign w:val="center"/>
          </w:tcPr>
          <w:p>
            <w:pPr>
              <w:rPr>
                <w:color w:val="auto"/>
                <w:sz w:val="16"/>
                <w:szCs w:val="16"/>
                <w:highlight w:val="none"/>
              </w:rPr>
            </w:pPr>
          </w:p>
        </w:tc>
        <w:tc>
          <w:tcPr>
            <w:tcW w:w="705" w:type="dxa"/>
            <w:vMerge w:val="restart"/>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vMerge w:val="restart"/>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vMerge w:val="restart"/>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vMerge w:val="restart"/>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1440" w:hRule="atLeast"/>
        </w:trPr>
        <w:tc>
          <w:tcPr>
            <w:tcW w:w="885" w:type="dxa"/>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3750" w:type="dxa"/>
            <w:vMerge w:val="continue"/>
            <w:tcBorders>
              <w:top w:val="nil"/>
              <w:left w:val="nil"/>
              <w:bottom w:val="single" w:color="000000" w:sz="4" w:space="0"/>
              <w:right w:val="single" w:color="000000" w:sz="4" w:space="0"/>
            </w:tcBorders>
            <w:shd w:val="clear" w:color="auto" w:fill="FFFFFF"/>
            <w:vAlign w:val="center"/>
          </w:tcPr>
          <w:p>
            <w:pPr>
              <w:rPr>
                <w:color w:val="auto"/>
                <w:sz w:val="16"/>
                <w:szCs w:val="16"/>
                <w:highlight w:val="none"/>
              </w:rPr>
            </w:pPr>
          </w:p>
        </w:tc>
        <w:tc>
          <w:tcPr>
            <w:tcW w:w="705" w:type="dxa"/>
            <w:vMerge w:val="continue"/>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vMerge w:val="continue"/>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vMerge w:val="continue"/>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vMerge w:val="continue"/>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535" w:type="dxa"/>
            <w:gridSpan w:val="6"/>
            <w:tcBorders>
              <w:top w:val="nil"/>
              <w:left w:val="single" w:color="000000" w:sz="8" w:space="0"/>
              <w:bottom w:val="single" w:color="000000" w:sz="8" w:space="0"/>
              <w:right w:val="single" w:color="000000" w:sz="8"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清单  第200章  合计   人民币           元</w:t>
            </w:r>
          </w:p>
        </w:tc>
      </w:tr>
    </w:tbl>
    <w:p>
      <w:pPr>
        <w:ind w:firstLine="6560" w:firstLineChars="4100"/>
        <w:rPr>
          <w:color w:val="auto"/>
          <w:sz w:val="16"/>
          <w:szCs w:val="16"/>
          <w:highlight w:val="none"/>
          <w:lang w:val="en-US"/>
        </w:rPr>
      </w:pPr>
      <w:r>
        <w:rPr>
          <w:rFonts w:hint="eastAsia"/>
          <w:color w:val="auto"/>
          <w:sz w:val="16"/>
          <w:szCs w:val="16"/>
          <w:highlight w:val="none"/>
          <w:lang w:val="en-US"/>
        </w:rPr>
        <w:t>清单   第 2 页  共 7 页</w:t>
      </w:r>
    </w:p>
    <w:p>
      <w:pPr>
        <w:ind w:firstLine="6560" w:firstLineChars="4100"/>
        <w:rPr>
          <w:color w:val="auto"/>
          <w:sz w:val="16"/>
          <w:szCs w:val="16"/>
          <w:highlight w:val="none"/>
          <w:lang w:val="en-US"/>
        </w:rPr>
      </w:pPr>
    </w:p>
    <w:p>
      <w:pPr>
        <w:pStyle w:val="20"/>
        <w:spacing w:before="11"/>
        <w:jc w:val="center"/>
        <w:rPr>
          <w:rFonts w:cs="Arial"/>
          <w:b/>
          <w:bCs/>
          <w:color w:val="auto"/>
          <w:sz w:val="36"/>
          <w:szCs w:val="36"/>
          <w:highlight w:val="none"/>
          <w:lang w:val="en-US" w:bidi="ar-SA"/>
        </w:rPr>
      </w:pPr>
      <w:r>
        <w:rPr>
          <w:rFonts w:hint="eastAsia"/>
          <w:b/>
          <w:bCs/>
          <w:color w:val="auto"/>
          <w:sz w:val="36"/>
          <w:szCs w:val="36"/>
          <w:highlight w:val="none"/>
          <w:lang w:val="en-US"/>
        </w:rPr>
        <w:t>工程量清单表</w:t>
      </w:r>
    </w:p>
    <w:p>
      <w:pPr>
        <w:rPr>
          <w:color w:val="auto"/>
          <w:sz w:val="16"/>
          <w:szCs w:val="16"/>
          <w:highlight w:val="none"/>
          <w:lang w:val="en-US"/>
        </w:rPr>
      </w:pPr>
      <w:r>
        <w:rPr>
          <w:rFonts w:hint="eastAsia" w:cs="Arial"/>
          <w:color w:val="auto"/>
          <w:sz w:val="16"/>
          <w:szCs w:val="16"/>
          <w:highlight w:val="none"/>
          <w:lang w:val="en-US" w:bidi="ar-SA"/>
        </w:rPr>
        <w:t xml:space="preserve">合同段：鞍山市2021年库盘线张荒地辽河大桥维修加固工程施工                                              </w:t>
      </w:r>
      <w:r>
        <w:rPr>
          <w:rFonts w:hint="eastAsia"/>
          <w:color w:val="auto"/>
          <w:sz w:val="16"/>
          <w:szCs w:val="16"/>
          <w:highlight w:val="none"/>
          <w:lang w:val="en-US"/>
        </w:rPr>
        <w:t>标表2</w:t>
      </w:r>
    </w:p>
    <w:tbl>
      <w:tblPr>
        <w:tblStyle w:val="47"/>
        <w:tblW w:w="8535" w:type="dxa"/>
        <w:tblInd w:w="93" w:type="dxa"/>
        <w:tblLayout w:type="autofit"/>
        <w:tblCellMar>
          <w:top w:w="0" w:type="dxa"/>
          <w:left w:w="108" w:type="dxa"/>
          <w:bottom w:w="0" w:type="dxa"/>
          <w:right w:w="108" w:type="dxa"/>
        </w:tblCellMar>
      </w:tblPr>
      <w:tblGrid>
        <w:gridCol w:w="885"/>
        <w:gridCol w:w="3750"/>
        <w:gridCol w:w="705"/>
        <w:gridCol w:w="1065"/>
        <w:gridCol w:w="1065"/>
        <w:gridCol w:w="1065"/>
      </w:tblGrid>
      <w:tr>
        <w:tblPrEx>
          <w:tblCellMar>
            <w:top w:w="0" w:type="dxa"/>
            <w:left w:w="108" w:type="dxa"/>
            <w:bottom w:w="0" w:type="dxa"/>
            <w:right w:w="108" w:type="dxa"/>
          </w:tblCellMar>
        </w:tblPrEx>
        <w:trPr>
          <w:trHeight w:val="439" w:hRule="atLeast"/>
        </w:trPr>
        <w:tc>
          <w:tcPr>
            <w:tcW w:w="8535"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pPr>
              <w:widowControl/>
              <w:jc w:val="center"/>
              <w:textAlignment w:val="center"/>
              <w:rPr>
                <w:b/>
                <w:bCs/>
                <w:color w:val="auto"/>
                <w:sz w:val="24"/>
                <w:szCs w:val="24"/>
                <w:highlight w:val="none"/>
              </w:rPr>
            </w:pPr>
            <w:r>
              <w:rPr>
                <w:rFonts w:hint="eastAsia"/>
                <w:b/>
                <w:bCs/>
                <w:color w:val="auto"/>
                <w:sz w:val="24"/>
                <w:szCs w:val="24"/>
                <w:highlight w:val="none"/>
                <w:lang w:val="en-US"/>
              </w:rPr>
              <w:t>清单  第300章  路 面</w:t>
            </w:r>
          </w:p>
        </w:tc>
      </w:tr>
      <w:tr>
        <w:tblPrEx>
          <w:tblCellMar>
            <w:top w:w="0" w:type="dxa"/>
            <w:left w:w="108" w:type="dxa"/>
            <w:bottom w:w="0" w:type="dxa"/>
            <w:right w:w="108" w:type="dxa"/>
          </w:tblCellMar>
        </w:tblPrEx>
        <w:trPr>
          <w:trHeight w:val="342"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b/>
                <w:bCs/>
                <w:color w:val="auto"/>
                <w:sz w:val="16"/>
                <w:szCs w:val="16"/>
                <w:highlight w:val="none"/>
              </w:rPr>
            </w:pPr>
            <w:r>
              <w:rPr>
                <w:rFonts w:hint="eastAsia"/>
                <w:b/>
                <w:bCs/>
                <w:color w:val="auto"/>
                <w:sz w:val="16"/>
                <w:szCs w:val="16"/>
                <w:highlight w:val="none"/>
                <w:lang w:val="en-US"/>
              </w:rPr>
              <w:t>子目号</w:t>
            </w:r>
          </w:p>
        </w:tc>
        <w:tc>
          <w:tcPr>
            <w:tcW w:w="375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b/>
                <w:bCs/>
                <w:color w:val="auto"/>
                <w:sz w:val="16"/>
                <w:szCs w:val="16"/>
                <w:highlight w:val="none"/>
              </w:rPr>
            </w:pPr>
            <w:r>
              <w:rPr>
                <w:rFonts w:hint="eastAsia"/>
                <w:b/>
                <w:bCs/>
                <w:color w:val="auto"/>
                <w:sz w:val="16"/>
                <w:szCs w:val="16"/>
                <w:highlight w:val="none"/>
                <w:lang w:val="en-US"/>
              </w:rPr>
              <w:t>子目名称</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b/>
                <w:bCs/>
                <w:color w:val="auto"/>
                <w:sz w:val="16"/>
                <w:szCs w:val="16"/>
                <w:highlight w:val="none"/>
              </w:rPr>
            </w:pPr>
            <w:r>
              <w:rPr>
                <w:rFonts w:hint="eastAsia"/>
                <w:b/>
                <w:bCs/>
                <w:color w:val="auto"/>
                <w:sz w:val="16"/>
                <w:szCs w:val="16"/>
                <w:highlight w:val="none"/>
                <w:lang w:val="en-US"/>
              </w:rPr>
              <w:t>单位</w:t>
            </w:r>
          </w:p>
        </w:tc>
        <w:tc>
          <w:tcPr>
            <w:tcW w:w="106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b/>
                <w:bCs/>
                <w:color w:val="auto"/>
                <w:sz w:val="16"/>
                <w:szCs w:val="16"/>
                <w:highlight w:val="none"/>
              </w:rPr>
            </w:pPr>
            <w:r>
              <w:rPr>
                <w:rFonts w:hint="eastAsia"/>
                <w:b/>
                <w:bCs/>
                <w:color w:val="auto"/>
                <w:sz w:val="16"/>
                <w:szCs w:val="16"/>
                <w:highlight w:val="none"/>
                <w:lang w:val="en-US"/>
              </w:rPr>
              <w:t>数量</w:t>
            </w:r>
          </w:p>
        </w:tc>
        <w:tc>
          <w:tcPr>
            <w:tcW w:w="106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b/>
                <w:bCs/>
                <w:color w:val="auto"/>
                <w:sz w:val="16"/>
                <w:szCs w:val="16"/>
                <w:highlight w:val="none"/>
              </w:rPr>
            </w:pPr>
            <w:r>
              <w:rPr>
                <w:rFonts w:hint="eastAsia"/>
                <w:b/>
                <w:bCs/>
                <w:color w:val="auto"/>
                <w:sz w:val="16"/>
                <w:szCs w:val="16"/>
                <w:highlight w:val="none"/>
                <w:lang w:val="en-US"/>
              </w:rPr>
              <w:t>单价</w:t>
            </w:r>
          </w:p>
        </w:tc>
        <w:tc>
          <w:tcPr>
            <w:tcW w:w="1065" w:type="dxa"/>
            <w:tcBorders>
              <w:top w:val="nil"/>
              <w:left w:val="nil"/>
              <w:bottom w:val="single" w:color="000000" w:sz="4" w:space="0"/>
              <w:right w:val="single" w:color="000000" w:sz="8" w:space="0"/>
            </w:tcBorders>
            <w:shd w:val="clear" w:color="auto" w:fill="FFFFFF"/>
            <w:vAlign w:val="center"/>
          </w:tcPr>
          <w:p>
            <w:pPr>
              <w:widowControl/>
              <w:jc w:val="center"/>
              <w:textAlignment w:val="center"/>
              <w:rPr>
                <w:b/>
                <w:bCs/>
                <w:color w:val="auto"/>
                <w:sz w:val="16"/>
                <w:szCs w:val="16"/>
                <w:highlight w:val="none"/>
              </w:rPr>
            </w:pPr>
            <w:r>
              <w:rPr>
                <w:rFonts w:hint="eastAsia"/>
                <w:b/>
                <w:bCs/>
                <w:color w:val="auto"/>
                <w:sz w:val="16"/>
                <w:szCs w:val="16"/>
                <w:highlight w:val="none"/>
                <w:lang w:val="en-US"/>
              </w:rPr>
              <w:t>合价</w:t>
            </w: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304</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水泥稳定土底基层、基层</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304-3</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水泥稳定土基层</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-a</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8%水泥稳定砂砾</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m3</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194.400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308</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透层和黏层</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308-2</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黏层</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m2</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720.000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309</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热拌沥青混合料面层</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309-1</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细粒式沥青混凝土</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-a</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厚40mm</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m2</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720.000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309-2</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中粒式沥青混凝土</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-a</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厚60mm</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m2</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720.000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310</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沥青表面处置与封层</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310-2</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封层</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-a</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橡胶沥青碎石封层</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m2</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720.000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316</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其他路面</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316-1</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30cm砂砾磨耗层（交通便道）</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m2</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1400.000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6520" w:hRule="atLeast"/>
        </w:trPr>
        <w:tc>
          <w:tcPr>
            <w:tcW w:w="885" w:type="dxa"/>
            <w:vMerge w:val="restart"/>
            <w:tcBorders>
              <w:top w:val="nil"/>
              <w:left w:val="single" w:color="000000" w:sz="8" w:space="0"/>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3750" w:type="dxa"/>
            <w:vMerge w:val="restart"/>
            <w:tcBorders>
              <w:top w:val="nil"/>
              <w:left w:val="nil"/>
              <w:bottom w:val="single" w:color="000000" w:sz="4" w:space="0"/>
              <w:right w:val="single" w:color="000000" w:sz="4" w:space="0"/>
            </w:tcBorders>
            <w:shd w:val="clear" w:color="auto" w:fill="FFFFFF"/>
            <w:vAlign w:val="center"/>
          </w:tcPr>
          <w:p>
            <w:pPr>
              <w:rPr>
                <w:color w:val="auto"/>
                <w:sz w:val="16"/>
                <w:szCs w:val="16"/>
                <w:highlight w:val="none"/>
              </w:rPr>
            </w:pPr>
          </w:p>
        </w:tc>
        <w:tc>
          <w:tcPr>
            <w:tcW w:w="705" w:type="dxa"/>
            <w:vMerge w:val="restart"/>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vMerge w:val="restart"/>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vMerge w:val="restart"/>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vMerge w:val="restart"/>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240" w:hRule="atLeast"/>
        </w:trPr>
        <w:tc>
          <w:tcPr>
            <w:tcW w:w="885" w:type="dxa"/>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3750" w:type="dxa"/>
            <w:vMerge w:val="continue"/>
            <w:tcBorders>
              <w:top w:val="nil"/>
              <w:left w:val="nil"/>
              <w:bottom w:val="single" w:color="000000" w:sz="4" w:space="0"/>
              <w:right w:val="single" w:color="000000" w:sz="4" w:space="0"/>
            </w:tcBorders>
            <w:shd w:val="clear" w:color="auto" w:fill="FFFFFF"/>
            <w:vAlign w:val="center"/>
          </w:tcPr>
          <w:p>
            <w:pPr>
              <w:rPr>
                <w:color w:val="auto"/>
                <w:sz w:val="16"/>
                <w:szCs w:val="16"/>
                <w:highlight w:val="none"/>
              </w:rPr>
            </w:pPr>
          </w:p>
        </w:tc>
        <w:tc>
          <w:tcPr>
            <w:tcW w:w="705" w:type="dxa"/>
            <w:vMerge w:val="continue"/>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vMerge w:val="continue"/>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vMerge w:val="continue"/>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vMerge w:val="continue"/>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535" w:type="dxa"/>
            <w:gridSpan w:val="6"/>
            <w:tcBorders>
              <w:top w:val="nil"/>
              <w:left w:val="single" w:color="000000" w:sz="8" w:space="0"/>
              <w:bottom w:val="single" w:color="000000" w:sz="8" w:space="0"/>
              <w:right w:val="single" w:color="000000" w:sz="8"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清单  第300章  合计   人民币           元</w:t>
            </w:r>
          </w:p>
        </w:tc>
      </w:tr>
    </w:tbl>
    <w:p>
      <w:pPr>
        <w:ind w:firstLine="6560" w:firstLineChars="4100"/>
        <w:rPr>
          <w:color w:val="auto"/>
          <w:sz w:val="16"/>
          <w:szCs w:val="16"/>
          <w:highlight w:val="none"/>
          <w:lang w:val="en-US"/>
        </w:rPr>
      </w:pPr>
      <w:r>
        <w:rPr>
          <w:rFonts w:hint="eastAsia"/>
          <w:color w:val="auto"/>
          <w:sz w:val="16"/>
          <w:szCs w:val="16"/>
          <w:highlight w:val="none"/>
          <w:lang w:val="en-US"/>
        </w:rPr>
        <w:t>清单   第 3 页  共 7 页</w:t>
      </w:r>
    </w:p>
    <w:p>
      <w:pPr>
        <w:ind w:firstLine="6560" w:firstLineChars="4100"/>
        <w:rPr>
          <w:color w:val="auto"/>
          <w:sz w:val="16"/>
          <w:szCs w:val="16"/>
          <w:highlight w:val="none"/>
          <w:lang w:val="en-US"/>
        </w:rPr>
      </w:pPr>
    </w:p>
    <w:p>
      <w:pPr>
        <w:ind w:firstLine="6560" w:firstLineChars="4100"/>
        <w:rPr>
          <w:color w:val="auto"/>
          <w:sz w:val="16"/>
          <w:szCs w:val="16"/>
          <w:highlight w:val="none"/>
          <w:lang w:val="en-US"/>
        </w:rPr>
      </w:pPr>
    </w:p>
    <w:p>
      <w:pPr>
        <w:pStyle w:val="20"/>
        <w:spacing w:before="11"/>
        <w:jc w:val="center"/>
        <w:rPr>
          <w:rFonts w:cs="Arial"/>
          <w:b/>
          <w:bCs/>
          <w:color w:val="auto"/>
          <w:sz w:val="36"/>
          <w:szCs w:val="36"/>
          <w:highlight w:val="none"/>
          <w:lang w:val="en-US" w:bidi="ar-SA"/>
        </w:rPr>
      </w:pPr>
      <w:r>
        <w:rPr>
          <w:rFonts w:hint="eastAsia"/>
          <w:b/>
          <w:bCs/>
          <w:color w:val="auto"/>
          <w:sz w:val="36"/>
          <w:szCs w:val="36"/>
          <w:highlight w:val="none"/>
          <w:lang w:val="en-US"/>
        </w:rPr>
        <w:t>工程量清单表</w:t>
      </w:r>
    </w:p>
    <w:p>
      <w:pPr>
        <w:rPr>
          <w:color w:val="auto"/>
          <w:sz w:val="16"/>
          <w:szCs w:val="16"/>
          <w:highlight w:val="none"/>
          <w:lang w:val="en-US"/>
        </w:rPr>
      </w:pPr>
      <w:r>
        <w:rPr>
          <w:rFonts w:hint="eastAsia" w:cs="Arial"/>
          <w:color w:val="auto"/>
          <w:sz w:val="16"/>
          <w:szCs w:val="16"/>
          <w:highlight w:val="none"/>
          <w:lang w:val="en-US" w:bidi="ar-SA"/>
        </w:rPr>
        <w:t xml:space="preserve">合同段：鞍山市2021年库盘线张荒地辽河大桥维修加固工程施工                                              </w:t>
      </w:r>
      <w:r>
        <w:rPr>
          <w:rFonts w:hint="eastAsia"/>
          <w:color w:val="auto"/>
          <w:sz w:val="16"/>
          <w:szCs w:val="16"/>
          <w:highlight w:val="none"/>
          <w:lang w:val="en-US"/>
        </w:rPr>
        <w:t>标表2</w:t>
      </w:r>
    </w:p>
    <w:tbl>
      <w:tblPr>
        <w:tblStyle w:val="47"/>
        <w:tblW w:w="8535" w:type="dxa"/>
        <w:tblInd w:w="93" w:type="dxa"/>
        <w:tblLayout w:type="autofit"/>
        <w:tblCellMar>
          <w:top w:w="0" w:type="dxa"/>
          <w:left w:w="108" w:type="dxa"/>
          <w:bottom w:w="0" w:type="dxa"/>
          <w:right w:w="108" w:type="dxa"/>
        </w:tblCellMar>
      </w:tblPr>
      <w:tblGrid>
        <w:gridCol w:w="885"/>
        <w:gridCol w:w="3750"/>
        <w:gridCol w:w="705"/>
        <w:gridCol w:w="1065"/>
        <w:gridCol w:w="1065"/>
        <w:gridCol w:w="1065"/>
      </w:tblGrid>
      <w:tr>
        <w:tblPrEx>
          <w:tblCellMar>
            <w:top w:w="0" w:type="dxa"/>
            <w:left w:w="108" w:type="dxa"/>
            <w:bottom w:w="0" w:type="dxa"/>
            <w:right w:w="108" w:type="dxa"/>
          </w:tblCellMar>
        </w:tblPrEx>
        <w:trPr>
          <w:trHeight w:val="439" w:hRule="atLeast"/>
        </w:trPr>
        <w:tc>
          <w:tcPr>
            <w:tcW w:w="8535"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pPr>
              <w:widowControl/>
              <w:jc w:val="center"/>
              <w:textAlignment w:val="center"/>
              <w:rPr>
                <w:b/>
                <w:bCs/>
                <w:color w:val="auto"/>
                <w:sz w:val="24"/>
                <w:szCs w:val="24"/>
                <w:highlight w:val="none"/>
              </w:rPr>
            </w:pPr>
            <w:r>
              <w:rPr>
                <w:rFonts w:hint="eastAsia"/>
                <w:b/>
                <w:bCs/>
                <w:color w:val="auto"/>
                <w:sz w:val="24"/>
                <w:szCs w:val="24"/>
                <w:highlight w:val="none"/>
                <w:lang w:val="en-US"/>
              </w:rPr>
              <w:t>清单  第400章  桥梁、涵洞</w:t>
            </w:r>
          </w:p>
        </w:tc>
      </w:tr>
      <w:tr>
        <w:tblPrEx>
          <w:tblCellMar>
            <w:top w:w="0" w:type="dxa"/>
            <w:left w:w="108" w:type="dxa"/>
            <w:bottom w:w="0" w:type="dxa"/>
            <w:right w:w="108" w:type="dxa"/>
          </w:tblCellMar>
        </w:tblPrEx>
        <w:trPr>
          <w:trHeight w:val="342"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b/>
                <w:bCs/>
                <w:color w:val="auto"/>
                <w:sz w:val="16"/>
                <w:szCs w:val="16"/>
                <w:highlight w:val="none"/>
              </w:rPr>
            </w:pPr>
            <w:r>
              <w:rPr>
                <w:rFonts w:hint="eastAsia"/>
                <w:b/>
                <w:bCs/>
                <w:color w:val="auto"/>
                <w:sz w:val="16"/>
                <w:szCs w:val="16"/>
                <w:highlight w:val="none"/>
                <w:lang w:val="en-US"/>
              </w:rPr>
              <w:t>子目号</w:t>
            </w:r>
          </w:p>
        </w:tc>
        <w:tc>
          <w:tcPr>
            <w:tcW w:w="375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b/>
                <w:bCs/>
                <w:color w:val="auto"/>
                <w:sz w:val="16"/>
                <w:szCs w:val="16"/>
                <w:highlight w:val="none"/>
              </w:rPr>
            </w:pPr>
            <w:r>
              <w:rPr>
                <w:rFonts w:hint="eastAsia"/>
                <w:b/>
                <w:bCs/>
                <w:color w:val="auto"/>
                <w:sz w:val="16"/>
                <w:szCs w:val="16"/>
                <w:highlight w:val="none"/>
                <w:lang w:val="en-US"/>
              </w:rPr>
              <w:t>子目名称</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b/>
                <w:bCs/>
                <w:color w:val="auto"/>
                <w:sz w:val="16"/>
                <w:szCs w:val="16"/>
                <w:highlight w:val="none"/>
              </w:rPr>
            </w:pPr>
            <w:r>
              <w:rPr>
                <w:rFonts w:hint="eastAsia"/>
                <w:b/>
                <w:bCs/>
                <w:color w:val="auto"/>
                <w:sz w:val="16"/>
                <w:szCs w:val="16"/>
                <w:highlight w:val="none"/>
                <w:lang w:val="en-US"/>
              </w:rPr>
              <w:t>单位</w:t>
            </w:r>
          </w:p>
        </w:tc>
        <w:tc>
          <w:tcPr>
            <w:tcW w:w="106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b/>
                <w:bCs/>
                <w:color w:val="auto"/>
                <w:sz w:val="16"/>
                <w:szCs w:val="16"/>
                <w:highlight w:val="none"/>
              </w:rPr>
            </w:pPr>
            <w:r>
              <w:rPr>
                <w:rFonts w:hint="eastAsia"/>
                <w:b/>
                <w:bCs/>
                <w:color w:val="auto"/>
                <w:sz w:val="16"/>
                <w:szCs w:val="16"/>
                <w:highlight w:val="none"/>
                <w:lang w:val="en-US"/>
              </w:rPr>
              <w:t>数量</w:t>
            </w:r>
          </w:p>
        </w:tc>
        <w:tc>
          <w:tcPr>
            <w:tcW w:w="106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b/>
                <w:bCs/>
                <w:color w:val="auto"/>
                <w:sz w:val="16"/>
                <w:szCs w:val="16"/>
                <w:highlight w:val="none"/>
              </w:rPr>
            </w:pPr>
            <w:r>
              <w:rPr>
                <w:rFonts w:hint="eastAsia"/>
                <w:b/>
                <w:bCs/>
                <w:color w:val="auto"/>
                <w:sz w:val="16"/>
                <w:szCs w:val="16"/>
                <w:highlight w:val="none"/>
                <w:lang w:val="en-US"/>
              </w:rPr>
              <w:t>单价</w:t>
            </w:r>
          </w:p>
        </w:tc>
        <w:tc>
          <w:tcPr>
            <w:tcW w:w="1065" w:type="dxa"/>
            <w:tcBorders>
              <w:top w:val="nil"/>
              <w:left w:val="nil"/>
              <w:bottom w:val="single" w:color="000000" w:sz="4" w:space="0"/>
              <w:right w:val="single" w:color="000000" w:sz="8" w:space="0"/>
            </w:tcBorders>
            <w:shd w:val="clear" w:color="auto" w:fill="FFFFFF"/>
            <w:vAlign w:val="center"/>
          </w:tcPr>
          <w:p>
            <w:pPr>
              <w:widowControl/>
              <w:jc w:val="center"/>
              <w:textAlignment w:val="center"/>
              <w:rPr>
                <w:b/>
                <w:bCs/>
                <w:color w:val="auto"/>
                <w:sz w:val="16"/>
                <w:szCs w:val="16"/>
                <w:highlight w:val="none"/>
              </w:rPr>
            </w:pPr>
            <w:r>
              <w:rPr>
                <w:rFonts w:hint="eastAsia"/>
                <w:b/>
                <w:bCs/>
                <w:color w:val="auto"/>
                <w:sz w:val="16"/>
                <w:szCs w:val="16"/>
                <w:highlight w:val="none"/>
                <w:lang w:val="en-US"/>
              </w:rPr>
              <w:t>合价</w:t>
            </w: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403</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钢筋</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403-2</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下部结构钢筋</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-a</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墩梁固结钢筋</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-a-1</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20mT梁墩梁固结钢筋</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kg</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40158.200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-a-2</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30mT梁墩梁固结钢筋</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kg</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32341.700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-b</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盖梁钢筋</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-b-1</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桥台盖梁钢筋</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kg</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1915.600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-b-2</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桥墩盖梁钢筋</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kg</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104263.900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-c</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耳背墙钢筋</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kg</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2930.500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403-3</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上部结构钢筋</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-a</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T梁、横隔梁预制钢筋</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-a-1</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20mT梁、横隔梁预制钢筋</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kg</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722773.000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-a-2</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30mT梁、横隔梁预制钢筋</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kg</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139047.500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-b</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T梁、横隔梁现浇及湿接缝钢筋</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-b-1</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20mT梁、横隔梁现浇及湿接缝钢筋</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kg</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126061.400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-b-2</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30mT梁、横隔梁现浇及湿接缝钢筋</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kg</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662615.100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-c</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桥面铺装钢筋</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kg</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299841.000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403-4</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附属结构钢筋</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-a</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支座及支座垫石钢筋</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-a-1</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支座垫石钢筋</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kg</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28444.100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-a-2</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支座预埋钢筋</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kg</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3061.200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-a-3</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预埋钢板</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kg</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6318.300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-b</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挡块钢筋</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kg</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12872.100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-c</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防撞墙钢筋（含桥头护栏过渡段）</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kg</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160942.500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-d</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伸缩缝钢筋</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kg</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8574.700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-e</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桥头搭板钢筋</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kg</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4852.700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403-5</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植筋</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-a</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钢筋直径Φ12mm</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-a-1</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钻孔深度12cm</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根</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8932.000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-a-2</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钻孔深度16cm</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根</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22638.000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-a-3</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钻孔深度18cm</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根</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9592.000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-a-4</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钻孔深度36cm</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根</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8232.000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-b</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钢筋直径Φ16mm</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-b-1</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钻孔深度10cm</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根</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7712.000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-b-2</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钻孔深度16cm</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根</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18656.000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-b-3</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钻孔深度18cm</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根</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2548.000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nil"/>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-b-4</w:t>
            </w:r>
          </w:p>
        </w:tc>
        <w:tc>
          <w:tcPr>
            <w:tcW w:w="3750" w:type="dxa"/>
            <w:tcBorders>
              <w:top w:val="nil"/>
              <w:left w:val="nil"/>
              <w:bottom w:val="nil"/>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钻孔深度24cm</w:t>
            </w:r>
          </w:p>
        </w:tc>
        <w:tc>
          <w:tcPr>
            <w:tcW w:w="705" w:type="dxa"/>
            <w:tcBorders>
              <w:top w:val="nil"/>
              <w:left w:val="nil"/>
              <w:bottom w:val="nil"/>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根</w:t>
            </w:r>
          </w:p>
        </w:tc>
        <w:tc>
          <w:tcPr>
            <w:tcW w:w="1065" w:type="dxa"/>
            <w:tcBorders>
              <w:top w:val="nil"/>
              <w:left w:val="nil"/>
              <w:bottom w:val="nil"/>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6300.000</w:t>
            </w:r>
          </w:p>
        </w:tc>
        <w:tc>
          <w:tcPr>
            <w:tcW w:w="1065" w:type="dxa"/>
            <w:tcBorders>
              <w:top w:val="nil"/>
              <w:left w:val="nil"/>
              <w:bottom w:val="nil"/>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nil"/>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nil"/>
              <w:right w:val="single" w:color="000000" w:sz="4" w:space="0"/>
            </w:tcBorders>
            <w:shd w:val="clear" w:color="auto" w:fill="FFFFFF"/>
            <w:vAlign w:val="center"/>
          </w:tcPr>
          <w:p>
            <w:pPr>
              <w:widowControl/>
              <w:jc w:val="center"/>
              <w:textAlignment w:val="center"/>
              <w:rPr>
                <w:color w:val="auto"/>
                <w:sz w:val="16"/>
                <w:szCs w:val="16"/>
                <w:highlight w:val="none"/>
                <w:lang w:val="en-US"/>
              </w:rPr>
            </w:pPr>
            <w:r>
              <w:rPr>
                <w:rFonts w:hint="eastAsia"/>
                <w:color w:val="auto"/>
                <w:sz w:val="16"/>
                <w:szCs w:val="16"/>
                <w:highlight w:val="none"/>
                <w:lang w:val="en-US"/>
              </w:rPr>
              <w:t>-c</w:t>
            </w:r>
          </w:p>
        </w:tc>
        <w:tc>
          <w:tcPr>
            <w:tcW w:w="3750" w:type="dxa"/>
            <w:tcBorders>
              <w:top w:val="nil"/>
              <w:left w:val="nil"/>
              <w:bottom w:val="nil"/>
              <w:right w:val="single" w:color="000000" w:sz="4" w:space="0"/>
            </w:tcBorders>
            <w:shd w:val="clear" w:color="auto" w:fill="FFFFFF"/>
            <w:vAlign w:val="center"/>
          </w:tcPr>
          <w:p>
            <w:pPr>
              <w:widowControl/>
              <w:textAlignment w:val="center"/>
              <w:rPr>
                <w:color w:val="auto"/>
                <w:sz w:val="16"/>
                <w:szCs w:val="16"/>
                <w:highlight w:val="none"/>
                <w:lang w:val="en-US"/>
              </w:rPr>
            </w:pPr>
            <w:r>
              <w:rPr>
                <w:rFonts w:hint="eastAsia"/>
                <w:color w:val="auto"/>
                <w:sz w:val="16"/>
                <w:szCs w:val="16"/>
                <w:highlight w:val="none"/>
                <w:lang w:val="en-US"/>
              </w:rPr>
              <w:t>钢筋直径Φ25mm</w:t>
            </w:r>
          </w:p>
        </w:tc>
        <w:tc>
          <w:tcPr>
            <w:tcW w:w="705" w:type="dxa"/>
            <w:tcBorders>
              <w:top w:val="nil"/>
              <w:left w:val="nil"/>
              <w:bottom w:val="nil"/>
              <w:right w:val="single" w:color="000000" w:sz="4" w:space="0"/>
            </w:tcBorders>
            <w:shd w:val="clear" w:color="auto" w:fill="FFFFFF"/>
            <w:vAlign w:val="center"/>
          </w:tcPr>
          <w:p>
            <w:pPr>
              <w:jc w:val="center"/>
              <w:rPr>
                <w:color w:val="auto"/>
                <w:sz w:val="16"/>
                <w:szCs w:val="16"/>
                <w:highlight w:val="none"/>
                <w:lang w:val="en-US"/>
              </w:rPr>
            </w:pPr>
          </w:p>
        </w:tc>
        <w:tc>
          <w:tcPr>
            <w:tcW w:w="1065" w:type="dxa"/>
            <w:tcBorders>
              <w:top w:val="nil"/>
              <w:left w:val="nil"/>
              <w:bottom w:val="nil"/>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lang w:val="en-US"/>
              </w:rPr>
            </w:pPr>
          </w:p>
        </w:tc>
        <w:tc>
          <w:tcPr>
            <w:tcW w:w="1065" w:type="dxa"/>
            <w:tcBorders>
              <w:top w:val="nil"/>
              <w:left w:val="nil"/>
              <w:bottom w:val="nil"/>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nil"/>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lang w:val="en-US"/>
              </w:rPr>
            </w:pPr>
            <w:r>
              <w:rPr>
                <w:rFonts w:hint="eastAsia"/>
                <w:color w:val="auto"/>
                <w:sz w:val="16"/>
                <w:szCs w:val="16"/>
                <w:highlight w:val="none"/>
                <w:lang w:val="en-US"/>
              </w:rPr>
              <w:t>-c-1</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lang w:val="en-US"/>
              </w:rPr>
            </w:pPr>
            <w:r>
              <w:rPr>
                <w:rFonts w:hint="eastAsia"/>
                <w:color w:val="auto"/>
                <w:sz w:val="16"/>
                <w:szCs w:val="16"/>
                <w:highlight w:val="none"/>
                <w:lang w:val="en-US"/>
              </w:rPr>
              <w:t>钻孔深度10cm</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lang w:val="en-US"/>
              </w:rPr>
            </w:pPr>
            <w:r>
              <w:rPr>
                <w:rFonts w:hint="eastAsia"/>
                <w:color w:val="auto"/>
                <w:sz w:val="16"/>
                <w:szCs w:val="16"/>
                <w:highlight w:val="none"/>
                <w:lang w:val="en-US"/>
              </w:rPr>
              <w:t>根</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lang w:val="en-US"/>
              </w:rPr>
            </w:pPr>
            <w:r>
              <w:rPr>
                <w:rFonts w:ascii="Arial Narrow" w:hAnsi="Arial Narrow" w:eastAsia="Arial Narrow" w:cs="Arial Narrow"/>
                <w:color w:val="auto"/>
                <w:sz w:val="16"/>
                <w:szCs w:val="16"/>
                <w:highlight w:val="none"/>
                <w:lang w:val="en-US"/>
              </w:rPr>
              <w:t>1008.000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bl>
    <w:p>
      <w:pPr>
        <w:ind w:firstLine="6560" w:firstLineChars="4100"/>
        <w:rPr>
          <w:color w:val="auto"/>
          <w:highlight w:val="none"/>
        </w:rPr>
      </w:pPr>
      <w:r>
        <w:rPr>
          <w:rFonts w:hint="eastAsia"/>
          <w:color w:val="auto"/>
          <w:sz w:val="16"/>
          <w:szCs w:val="16"/>
          <w:highlight w:val="none"/>
          <w:lang w:val="en-US"/>
        </w:rPr>
        <w:t>清单   第 4 页  共 7 页</w:t>
      </w:r>
    </w:p>
    <w:p>
      <w:pPr>
        <w:pStyle w:val="20"/>
        <w:spacing w:before="11"/>
        <w:jc w:val="center"/>
        <w:rPr>
          <w:b/>
          <w:bCs/>
          <w:color w:val="auto"/>
          <w:sz w:val="36"/>
          <w:szCs w:val="36"/>
          <w:highlight w:val="none"/>
          <w:lang w:val="en-US"/>
        </w:rPr>
        <w:sectPr>
          <w:pgSz w:w="11907" w:h="16840"/>
          <w:pgMar w:top="1418" w:right="1191" w:bottom="1418" w:left="1191" w:header="873" w:footer="851" w:gutter="0"/>
          <w:cols w:space="720" w:num="1"/>
        </w:sectPr>
      </w:pPr>
    </w:p>
    <w:p>
      <w:pPr>
        <w:pStyle w:val="20"/>
        <w:spacing w:before="11"/>
        <w:jc w:val="center"/>
        <w:rPr>
          <w:rFonts w:cs="Arial"/>
          <w:b/>
          <w:bCs/>
          <w:color w:val="auto"/>
          <w:sz w:val="36"/>
          <w:szCs w:val="36"/>
          <w:highlight w:val="none"/>
          <w:lang w:val="en-US" w:bidi="ar-SA"/>
        </w:rPr>
      </w:pPr>
      <w:r>
        <w:rPr>
          <w:rFonts w:hint="eastAsia"/>
          <w:b/>
          <w:bCs/>
          <w:color w:val="auto"/>
          <w:sz w:val="36"/>
          <w:szCs w:val="36"/>
          <w:highlight w:val="none"/>
          <w:lang w:val="en-US"/>
        </w:rPr>
        <w:t>工程量清单表</w:t>
      </w:r>
    </w:p>
    <w:p>
      <w:pPr>
        <w:rPr>
          <w:color w:val="auto"/>
          <w:sz w:val="16"/>
          <w:szCs w:val="16"/>
          <w:highlight w:val="none"/>
          <w:lang w:val="en-US"/>
        </w:rPr>
      </w:pPr>
      <w:r>
        <w:rPr>
          <w:rFonts w:hint="eastAsia" w:cs="Arial"/>
          <w:color w:val="auto"/>
          <w:sz w:val="16"/>
          <w:szCs w:val="16"/>
          <w:highlight w:val="none"/>
          <w:lang w:val="en-US" w:bidi="ar-SA"/>
        </w:rPr>
        <w:t xml:space="preserve">合同段：鞍山市2021年库盘线张荒地辽河大桥维修加固工程施工                                              </w:t>
      </w:r>
      <w:r>
        <w:rPr>
          <w:rFonts w:hint="eastAsia"/>
          <w:color w:val="auto"/>
          <w:sz w:val="16"/>
          <w:szCs w:val="16"/>
          <w:highlight w:val="none"/>
          <w:lang w:val="en-US"/>
        </w:rPr>
        <w:t>标表2</w:t>
      </w:r>
    </w:p>
    <w:tbl>
      <w:tblPr>
        <w:tblStyle w:val="47"/>
        <w:tblW w:w="8535" w:type="dxa"/>
        <w:tblInd w:w="93" w:type="dxa"/>
        <w:tblLayout w:type="autofit"/>
        <w:tblCellMar>
          <w:top w:w="0" w:type="dxa"/>
          <w:left w:w="108" w:type="dxa"/>
          <w:bottom w:w="0" w:type="dxa"/>
          <w:right w:w="108" w:type="dxa"/>
        </w:tblCellMar>
      </w:tblPr>
      <w:tblGrid>
        <w:gridCol w:w="885"/>
        <w:gridCol w:w="3750"/>
        <w:gridCol w:w="705"/>
        <w:gridCol w:w="1065"/>
        <w:gridCol w:w="1065"/>
        <w:gridCol w:w="1065"/>
      </w:tblGrid>
      <w:tr>
        <w:tblPrEx>
          <w:tblCellMar>
            <w:top w:w="0" w:type="dxa"/>
            <w:left w:w="108" w:type="dxa"/>
            <w:bottom w:w="0" w:type="dxa"/>
            <w:right w:w="108" w:type="dxa"/>
          </w:tblCellMar>
        </w:tblPrEx>
        <w:trPr>
          <w:trHeight w:val="439" w:hRule="atLeast"/>
        </w:trPr>
        <w:tc>
          <w:tcPr>
            <w:tcW w:w="8535"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pPr>
              <w:widowControl/>
              <w:jc w:val="center"/>
              <w:textAlignment w:val="center"/>
              <w:rPr>
                <w:b/>
                <w:bCs/>
                <w:color w:val="auto"/>
                <w:sz w:val="24"/>
                <w:szCs w:val="24"/>
                <w:highlight w:val="none"/>
              </w:rPr>
            </w:pPr>
            <w:r>
              <w:rPr>
                <w:rFonts w:hint="eastAsia"/>
                <w:b/>
                <w:bCs/>
                <w:color w:val="auto"/>
                <w:sz w:val="24"/>
                <w:szCs w:val="24"/>
                <w:highlight w:val="none"/>
                <w:lang w:val="en-US"/>
              </w:rPr>
              <w:t>清单  第400章  桥梁、涵洞</w:t>
            </w:r>
          </w:p>
        </w:tc>
      </w:tr>
      <w:tr>
        <w:tblPrEx>
          <w:tblCellMar>
            <w:top w:w="0" w:type="dxa"/>
            <w:left w:w="108" w:type="dxa"/>
            <w:bottom w:w="0" w:type="dxa"/>
            <w:right w:w="108" w:type="dxa"/>
          </w:tblCellMar>
        </w:tblPrEx>
        <w:trPr>
          <w:trHeight w:val="342"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b/>
                <w:bCs/>
                <w:color w:val="auto"/>
                <w:sz w:val="16"/>
                <w:szCs w:val="16"/>
                <w:highlight w:val="none"/>
              </w:rPr>
            </w:pPr>
            <w:r>
              <w:rPr>
                <w:rFonts w:hint="eastAsia"/>
                <w:b/>
                <w:bCs/>
                <w:color w:val="auto"/>
                <w:sz w:val="16"/>
                <w:szCs w:val="16"/>
                <w:highlight w:val="none"/>
                <w:lang w:val="en-US"/>
              </w:rPr>
              <w:t>子目号</w:t>
            </w:r>
          </w:p>
        </w:tc>
        <w:tc>
          <w:tcPr>
            <w:tcW w:w="375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b/>
                <w:bCs/>
                <w:color w:val="auto"/>
                <w:sz w:val="16"/>
                <w:szCs w:val="16"/>
                <w:highlight w:val="none"/>
              </w:rPr>
            </w:pPr>
            <w:r>
              <w:rPr>
                <w:rFonts w:hint="eastAsia"/>
                <w:b/>
                <w:bCs/>
                <w:color w:val="auto"/>
                <w:sz w:val="16"/>
                <w:szCs w:val="16"/>
                <w:highlight w:val="none"/>
                <w:lang w:val="en-US"/>
              </w:rPr>
              <w:t>子目名称</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b/>
                <w:bCs/>
                <w:color w:val="auto"/>
                <w:sz w:val="16"/>
                <w:szCs w:val="16"/>
                <w:highlight w:val="none"/>
              </w:rPr>
            </w:pPr>
            <w:r>
              <w:rPr>
                <w:rFonts w:hint="eastAsia"/>
                <w:b/>
                <w:bCs/>
                <w:color w:val="auto"/>
                <w:sz w:val="16"/>
                <w:szCs w:val="16"/>
                <w:highlight w:val="none"/>
                <w:lang w:val="en-US"/>
              </w:rPr>
              <w:t>单位</w:t>
            </w:r>
          </w:p>
        </w:tc>
        <w:tc>
          <w:tcPr>
            <w:tcW w:w="106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b/>
                <w:bCs/>
                <w:color w:val="auto"/>
                <w:sz w:val="16"/>
                <w:szCs w:val="16"/>
                <w:highlight w:val="none"/>
              </w:rPr>
            </w:pPr>
            <w:r>
              <w:rPr>
                <w:rFonts w:hint="eastAsia"/>
                <w:b/>
                <w:bCs/>
                <w:color w:val="auto"/>
                <w:sz w:val="16"/>
                <w:szCs w:val="16"/>
                <w:highlight w:val="none"/>
                <w:lang w:val="en-US"/>
              </w:rPr>
              <w:t>数量</w:t>
            </w:r>
          </w:p>
        </w:tc>
        <w:tc>
          <w:tcPr>
            <w:tcW w:w="106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b/>
                <w:bCs/>
                <w:color w:val="auto"/>
                <w:sz w:val="16"/>
                <w:szCs w:val="16"/>
                <w:highlight w:val="none"/>
              </w:rPr>
            </w:pPr>
            <w:r>
              <w:rPr>
                <w:rFonts w:hint="eastAsia"/>
                <w:b/>
                <w:bCs/>
                <w:color w:val="auto"/>
                <w:sz w:val="16"/>
                <w:szCs w:val="16"/>
                <w:highlight w:val="none"/>
                <w:lang w:val="en-US"/>
              </w:rPr>
              <w:t>单价</w:t>
            </w:r>
          </w:p>
        </w:tc>
        <w:tc>
          <w:tcPr>
            <w:tcW w:w="1065" w:type="dxa"/>
            <w:tcBorders>
              <w:top w:val="nil"/>
              <w:left w:val="nil"/>
              <w:bottom w:val="single" w:color="000000" w:sz="4" w:space="0"/>
              <w:right w:val="single" w:color="000000" w:sz="8" w:space="0"/>
            </w:tcBorders>
            <w:shd w:val="clear" w:color="auto" w:fill="FFFFFF"/>
            <w:vAlign w:val="center"/>
          </w:tcPr>
          <w:p>
            <w:pPr>
              <w:widowControl/>
              <w:jc w:val="center"/>
              <w:textAlignment w:val="center"/>
              <w:rPr>
                <w:b/>
                <w:bCs/>
                <w:color w:val="auto"/>
                <w:sz w:val="16"/>
                <w:szCs w:val="16"/>
                <w:highlight w:val="none"/>
              </w:rPr>
            </w:pPr>
            <w:r>
              <w:rPr>
                <w:rFonts w:hint="eastAsia"/>
                <w:b/>
                <w:bCs/>
                <w:color w:val="auto"/>
                <w:sz w:val="16"/>
                <w:szCs w:val="16"/>
                <w:highlight w:val="none"/>
                <w:lang w:val="en-US"/>
              </w:rPr>
              <w:t>合价</w:t>
            </w: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-c-2</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钻孔深度16cm</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根</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392.000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-c-3</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钻孔深度37.5cm</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根</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1240.000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410</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结构混凝土工程</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410-2</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混凝土下部结构</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-a</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墩梁固结现浇段混凝土C50聚丙烯腈纤维</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m3</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755.800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-b</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盖梁混凝土C40</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m3</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366.500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-c</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耳背墙混凝土C40</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m3</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30.900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410-3</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现浇混凝土上部结构</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-a</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30mT梁腹板加宽混凝土C50</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m3</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1065.600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-b</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30mT梁承托混凝土C50</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m3</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26.000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410-5</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桥梁上部结构现浇整体化混凝土</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-a</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20mT梁梁顶现浇张拉槽封锚混凝土C50硅灰</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m3</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41.500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-b</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20mT梁现浇横隔梁、湿接缝混凝土C50</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m3</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436.800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-c</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30mT梁现浇横隔梁、湿接缝混凝土C50</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m3</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478.300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-d</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30mT梁墩顶负弯矩楔形块混凝土C50</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m3</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171.400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-e</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原30mT梁桥面连续处桥面板现浇混凝土C50</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m3</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947.700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-f</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30mT梁伸缩缝加厚块现浇混凝土C50</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m3</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27.400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410-6</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现浇混凝土附属结构</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-a</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支座垫石混凝土C40</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m3</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72.600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-b</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挡块混凝土C40</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m3</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32.200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-c</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防撞墙混凝土C40（含桥头护栏过渡段）</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m3</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1367.900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-d</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伸缩缝预留槽混凝土C50聚丙烯腈纤维硅灰</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m3</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40.800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-e</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桥头搭板混凝土</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-e-1</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搭板混凝土C30</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m3</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36.000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-e-2</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搭板垫层混凝土C15</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m3</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37.400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-f</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锥坡及梯道维修混凝土C30</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m3</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6.100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411</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预应力混凝土工程</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411-5</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后张法预应力钢绞线</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-a</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20mT梁后张法预应力钢绞线</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kg</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99482.300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-b</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20mT梁墩顶负弯矩后张法预应力钢绞线</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kg</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23675.900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-c</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30mT梁后张法预应力钢绞线</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kg</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24552.100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-d</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30mT梁墩顶负弯矩后张法预应力钢绞线</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kg</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69133.600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-e</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桥墩盖梁后张法预应力钢绞线</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kg</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11531.400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411-8</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预制预应力混凝土上部结构</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-a</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预制预应力20mT梁及横隔板C50混凝土</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m3</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2957.700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nil"/>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-b</w:t>
            </w:r>
          </w:p>
        </w:tc>
        <w:tc>
          <w:tcPr>
            <w:tcW w:w="3750" w:type="dxa"/>
            <w:tcBorders>
              <w:top w:val="nil"/>
              <w:left w:val="nil"/>
              <w:bottom w:val="nil"/>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预制预应力30mT梁及横隔板C50混凝土</w:t>
            </w:r>
          </w:p>
        </w:tc>
        <w:tc>
          <w:tcPr>
            <w:tcW w:w="705" w:type="dxa"/>
            <w:tcBorders>
              <w:top w:val="nil"/>
              <w:left w:val="nil"/>
              <w:bottom w:val="nil"/>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m3</w:t>
            </w:r>
          </w:p>
        </w:tc>
        <w:tc>
          <w:tcPr>
            <w:tcW w:w="1065" w:type="dxa"/>
            <w:tcBorders>
              <w:top w:val="nil"/>
              <w:left w:val="nil"/>
              <w:bottom w:val="nil"/>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643.200</w:t>
            </w:r>
          </w:p>
        </w:tc>
        <w:tc>
          <w:tcPr>
            <w:tcW w:w="1065" w:type="dxa"/>
            <w:tcBorders>
              <w:top w:val="nil"/>
              <w:left w:val="nil"/>
              <w:bottom w:val="nil"/>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nil"/>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nil"/>
              <w:right w:val="single" w:color="000000" w:sz="4" w:space="0"/>
            </w:tcBorders>
            <w:shd w:val="clear" w:color="auto" w:fill="FFFFFF"/>
            <w:vAlign w:val="center"/>
          </w:tcPr>
          <w:p>
            <w:pPr>
              <w:widowControl/>
              <w:jc w:val="center"/>
              <w:textAlignment w:val="center"/>
              <w:rPr>
                <w:color w:val="auto"/>
                <w:sz w:val="16"/>
                <w:szCs w:val="16"/>
                <w:highlight w:val="none"/>
                <w:lang w:val="en-US"/>
              </w:rPr>
            </w:pPr>
            <w:r>
              <w:rPr>
                <w:rFonts w:hint="eastAsia"/>
                <w:color w:val="auto"/>
                <w:sz w:val="16"/>
                <w:szCs w:val="16"/>
                <w:highlight w:val="none"/>
                <w:lang w:val="en-US"/>
              </w:rPr>
              <w:t>413</w:t>
            </w:r>
          </w:p>
        </w:tc>
        <w:tc>
          <w:tcPr>
            <w:tcW w:w="3750" w:type="dxa"/>
            <w:tcBorders>
              <w:top w:val="nil"/>
              <w:left w:val="nil"/>
              <w:bottom w:val="nil"/>
              <w:right w:val="single" w:color="000000" w:sz="4" w:space="0"/>
            </w:tcBorders>
            <w:shd w:val="clear" w:color="auto" w:fill="FFFFFF"/>
            <w:vAlign w:val="center"/>
          </w:tcPr>
          <w:p>
            <w:pPr>
              <w:widowControl/>
              <w:textAlignment w:val="center"/>
              <w:rPr>
                <w:color w:val="auto"/>
                <w:sz w:val="16"/>
                <w:szCs w:val="16"/>
                <w:highlight w:val="none"/>
                <w:lang w:val="en-US"/>
              </w:rPr>
            </w:pPr>
            <w:r>
              <w:rPr>
                <w:rFonts w:hint="eastAsia"/>
                <w:color w:val="auto"/>
                <w:sz w:val="16"/>
                <w:szCs w:val="16"/>
                <w:highlight w:val="none"/>
                <w:lang w:val="en-US"/>
              </w:rPr>
              <w:t>砌石工程</w:t>
            </w:r>
          </w:p>
        </w:tc>
        <w:tc>
          <w:tcPr>
            <w:tcW w:w="705" w:type="dxa"/>
            <w:tcBorders>
              <w:top w:val="nil"/>
              <w:left w:val="nil"/>
              <w:bottom w:val="nil"/>
              <w:right w:val="single" w:color="000000" w:sz="4" w:space="0"/>
            </w:tcBorders>
            <w:shd w:val="clear" w:color="auto" w:fill="FFFFFF"/>
            <w:vAlign w:val="center"/>
          </w:tcPr>
          <w:p>
            <w:pPr>
              <w:jc w:val="center"/>
              <w:rPr>
                <w:color w:val="auto"/>
                <w:sz w:val="16"/>
                <w:szCs w:val="16"/>
                <w:highlight w:val="none"/>
                <w:lang w:val="en-US"/>
              </w:rPr>
            </w:pPr>
          </w:p>
        </w:tc>
        <w:tc>
          <w:tcPr>
            <w:tcW w:w="1065" w:type="dxa"/>
            <w:tcBorders>
              <w:top w:val="nil"/>
              <w:left w:val="nil"/>
              <w:bottom w:val="nil"/>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lang w:val="en-US"/>
              </w:rPr>
            </w:pPr>
          </w:p>
        </w:tc>
        <w:tc>
          <w:tcPr>
            <w:tcW w:w="1065" w:type="dxa"/>
            <w:tcBorders>
              <w:top w:val="nil"/>
              <w:left w:val="nil"/>
              <w:bottom w:val="nil"/>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nil"/>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nil"/>
              <w:right w:val="single" w:color="000000" w:sz="4" w:space="0"/>
            </w:tcBorders>
            <w:shd w:val="clear" w:color="auto" w:fill="FFFFFF"/>
            <w:vAlign w:val="center"/>
          </w:tcPr>
          <w:p>
            <w:pPr>
              <w:widowControl/>
              <w:jc w:val="center"/>
              <w:textAlignment w:val="center"/>
              <w:rPr>
                <w:color w:val="auto"/>
                <w:sz w:val="16"/>
                <w:szCs w:val="16"/>
                <w:highlight w:val="none"/>
                <w:lang w:val="en-US"/>
              </w:rPr>
            </w:pPr>
            <w:r>
              <w:rPr>
                <w:rFonts w:hint="eastAsia"/>
                <w:color w:val="auto"/>
                <w:sz w:val="16"/>
                <w:szCs w:val="16"/>
                <w:highlight w:val="none"/>
                <w:lang w:val="en-US"/>
              </w:rPr>
              <w:t>413-1</w:t>
            </w:r>
          </w:p>
        </w:tc>
        <w:tc>
          <w:tcPr>
            <w:tcW w:w="3750" w:type="dxa"/>
            <w:tcBorders>
              <w:top w:val="nil"/>
              <w:left w:val="nil"/>
              <w:bottom w:val="nil"/>
              <w:right w:val="single" w:color="000000" w:sz="4" w:space="0"/>
            </w:tcBorders>
            <w:shd w:val="clear" w:color="auto" w:fill="FFFFFF"/>
            <w:vAlign w:val="center"/>
          </w:tcPr>
          <w:p>
            <w:pPr>
              <w:widowControl/>
              <w:textAlignment w:val="center"/>
              <w:rPr>
                <w:color w:val="auto"/>
                <w:sz w:val="16"/>
                <w:szCs w:val="16"/>
                <w:highlight w:val="none"/>
                <w:lang w:val="en-US"/>
              </w:rPr>
            </w:pPr>
            <w:r>
              <w:rPr>
                <w:rFonts w:hint="eastAsia"/>
                <w:color w:val="auto"/>
                <w:sz w:val="16"/>
                <w:szCs w:val="16"/>
                <w:highlight w:val="none"/>
                <w:lang w:val="en-US"/>
              </w:rPr>
              <w:t>浆砌片石</w:t>
            </w:r>
          </w:p>
        </w:tc>
        <w:tc>
          <w:tcPr>
            <w:tcW w:w="705" w:type="dxa"/>
            <w:tcBorders>
              <w:top w:val="nil"/>
              <w:left w:val="nil"/>
              <w:bottom w:val="nil"/>
              <w:right w:val="single" w:color="000000" w:sz="4" w:space="0"/>
            </w:tcBorders>
            <w:shd w:val="clear" w:color="auto" w:fill="FFFFFF"/>
            <w:vAlign w:val="center"/>
          </w:tcPr>
          <w:p>
            <w:pPr>
              <w:jc w:val="center"/>
              <w:rPr>
                <w:color w:val="auto"/>
                <w:sz w:val="16"/>
                <w:szCs w:val="16"/>
                <w:highlight w:val="none"/>
                <w:lang w:val="en-US"/>
              </w:rPr>
            </w:pPr>
          </w:p>
        </w:tc>
        <w:tc>
          <w:tcPr>
            <w:tcW w:w="1065" w:type="dxa"/>
            <w:tcBorders>
              <w:top w:val="nil"/>
              <w:left w:val="nil"/>
              <w:bottom w:val="nil"/>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lang w:val="en-US"/>
              </w:rPr>
            </w:pPr>
          </w:p>
        </w:tc>
        <w:tc>
          <w:tcPr>
            <w:tcW w:w="1065" w:type="dxa"/>
            <w:tcBorders>
              <w:top w:val="nil"/>
              <w:left w:val="nil"/>
              <w:bottom w:val="nil"/>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nil"/>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lang w:val="en-US"/>
              </w:rPr>
            </w:pPr>
            <w:r>
              <w:rPr>
                <w:rFonts w:hint="eastAsia"/>
                <w:color w:val="auto"/>
                <w:sz w:val="16"/>
                <w:szCs w:val="16"/>
                <w:highlight w:val="none"/>
                <w:lang w:val="en-US"/>
              </w:rPr>
              <w:t>-a</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lang w:val="en-US"/>
              </w:rPr>
            </w:pPr>
            <w:r>
              <w:rPr>
                <w:rFonts w:hint="eastAsia"/>
                <w:color w:val="auto"/>
                <w:sz w:val="16"/>
                <w:szCs w:val="16"/>
                <w:highlight w:val="none"/>
                <w:lang w:val="en-US"/>
              </w:rPr>
              <w:t>M10浆砌片石锥坡及梯道</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lang w:val="en-US"/>
              </w:rPr>
            </w:pPr>
            <w:r>
              <w:rPr>
                <w:rFonts w:hint="eastAsia"/>
                <w:color w:val="auto"/>
                <w:sz w:val="16"/>
                <w:szCs w:val="16"/>
                <w:highlight w:val="none"/>
                <w:lang w:val="en-US"/>
              </w:rPr>
              <w:t>m3</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lang w:val="en-US"/>
              </w:rPr>
            </w:pPr>
            <w:r>
              <w:rPr>
                <w:rFonts w:ascii="Arial Narrow" w:hAnsi="Arial Narrow" w:eastAsia="Arial Narrow" w:cs="Arial Narrow"/>
                <w:color w:val="auto"/>
                <w:sz w:val="16"/>
                <w:szCs w:val="16"/>
                <w:highlight w:val="none"/>
                <w:lang w:val="en-US"/>
              </w:rPr>
              <w:t>211.000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bl>
    <w:p>
      <w:pPr>
        <w:ind w:firstLine="6560" w:firstLineChars="4100"/>
        <w:rPr>
          <w:color w:val="auto"/>
          <w:sz w:val="16"/>
          <w:szCs w:val="16"/>
          <w:highlight w:val="none"/>
          <w:lang w:val="en-US"/>
        </w:rPr>
      </w:pPr>
      <w:r>
        <w:rPr>
          <w:rFonts w:hint="eastAsia"/>
          <w:color w:val="auto"/>
          <w:sz w:val="16"/>
          <w:szCs w:val="16"/>
          <w:highlight w:val="none"/>
          <w:lang w:val="en-US"/>
        </w:rPr>
        <w:t>清单   第 5页  共 7 页</w:t>
      </w:r>
    </w:p>
    <w:p>
      <w:pPr>
        <w:ind w:firstLine="6560" w:firstLineChars="4100"/>
        <w:rPr>
          <w:color w:val="auto"/>
          <w:sz w:val="16"/>
          <w:szCs w:val="16"/>
          <w:highlight w:val="none"/>
          <w:lang w:val="en-US"/>
        </w:rPr>
      </w:pPr>
    </w:p>
    <w:p>
      <w:pPr>
        <w:pStyle w:val="20"/>
        <w:spacing w:before="11"/>
        <w:jc w:val="center"/>
        <w:rPr>
          <w:rFonts w:cs="Arial"/>
          <w:b/>
          <w:bCs/>
          <w:color w:val="auto"/>
          <w:sz w:val="36"/>
          <w:szCs w:val="36"/>
          <w:highlight w:val="none"/>
          <w:lang w:val="en-US" w:bidi="ar-SA"/>
        </w:rPr>
      </w:pPr>
      <w:r>
        <w:rPr>
          <w:rFonts w:hint="eastAsia"/>
          <w:b/>
          <w:bCs/>
          <w:color w:val="auto"/>
          <w:sz w:val="36"/>
          <w:szCs w:val="36"/>
          <w:highlight w:val="none"/>
          <w:lang w:val="en-US"/>
        </w:rPr>
        <w:t>工程量清单表</w:t>
      </w:r>
    </w:p>
    <w:p>
      <w:pPr>
        <w:rPr>
          <w:color w:val="auto"/>
          <w:sz w:val="16"/>
          <w:szCs w:val="16"/>
          <w:highlight w:val="none"/>
          <w:lang w:val="en-US"/>
        </w:rPr>
      </w:pPr>
      <w:r>
        <w:rPr>
          <w:rFonts w:hint="eastAsia" w:cs="Arial"/>
          <w:color w:val="auto"/>
          <w:sz w:val="16"/>
          <w:szCs w:val="16"/>
          <w:highlight w:val="none"/>
          <w:lang w:val="en-US" w:bidi="ar-SA"/>
        </w:rPr>
        <w:t xml:space="preserve">合同段：鞍山市2021年库盘线张荒地辽河大桥维修加固工程施工                                              </w:t>
      </w:r>
      <w:r>
        <w:rPr>
          <w:rFonts w:hint="eastAsia"/>
          <w:color w:val="auto"/>
          <w:sz w:val="16"/>
          <w:szCs w:val="16"/>
          <w:highlight w:val="none"/>
          <w:lang w:val="en-US"/>
        </w:rPr>
        <w:t>标表2</w:t>
      </w:r>
    </w:p>
    <w:tbl>
      <w:tblPr>
        <w:tblStyle w:val="47"/>
        <w:tblW w:w="8535" w:type="dxa"/>
        <w:tblInd w:w="93" w:type="dxa"/>
        <w:tblLayout w:type="autofit"/>
        <w:tblCellMar>
          <w:top w:w="0" w:type="dxa"/>
          <w:left w:w="108" w:type="dxa"/>
          <w:bottom w:w="0" w:type="dxa"/>
          <w:right w:w="108" w:type="dxa"/>
        </w:tblCellMar>
      </w:tblPr>
      <w:tblGrid>
        <w:gridCol w:w="885"/>
        <w:gridCol w:w="3750"/>
        <w:gridCol w:w="705"/>
        <w:gridCol w:w="1065"/>
        <w:gridCol w:w="1065"/>
        <w:gridCol w:w="1065"/>
      </w:tblGrid>
      <w:tr>
        <w:tblPrEx>
          <w:tblCellMar>
            <w:top w:w="0" w:type="dxa"/>
            <w:left w:w="108" w:type="dxa"/>
            <w:bottom w:w="0" w:type="dxa"/>
            <w:right w:w="108" w:type="dxa"/>
          </w:tblCellMar>
        </w:tblPrEx>
        <w:trPr>
          <w:trHeight w:val="439" w:hRule="atLeast"/>
        </w:trPr>
        <w:tc>
          <w:tcPr>
            <w:tcW w:w="8535"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pPr>
              <w:widowControl/>
              <w:jc w:val="center"/>
              <w:textAlignment w:val="center"/>
              <w:rPr>
                <w:b/>
                <w:bCs/>
                <w:color w:val="auto"/>
                <w:sz w:val="24"/>
                <w:szCs w:val="24"/>
                <w:highlight w:val="none"/>
              </w:rPr>
            </w:pPr>
            <w:r>
              <w:rPr>
                <w:rFonts w:hint="eastAsia"/>
                <w:b/>
                <w:bCs/>
                <w:color w:val="auto"/>
                <w:sz w:val="24"/>
                <w:szCs w:val="24"/>
                <w:highlight w:val="none"/>
                <w:lang w:val="en-US"/>
              </w:rPr>
              <w:t>清单  第400章  桥梁、涵洞</w:t>
            </w:r>
          </w:p>
        </w:tc>
      </w:tr>
      <w:tr>
        <w:tblPrEx>
          <w:tblCellMar>
            <w:top w:w="0" w:type="dxa"/>
            <w:left w:w="108" w:type="dxa"/>
            <w:bottom w:w="0" w:type="dxa"/>
            <w:right w:w="108" w:type="dxa"/>
          </w:tblCellMar>
        </w:tblPrEx>
        <w:trPr>
          <w:trHeight w:val="342"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b/>
                <w:bCs/>
                <w:color w:val="auto"/>
                <w:sz w:val="16"/>
                <w:szCs w:val="16"/>
                <w:highlight w:val="none"/>
              </w:rPr>
            </w:pPr>
            <w:r>
              <w:rPr>
                <w:rFonts w:hint="eastAsia"/>
                <w:b/>
                <w:bCs/>
                <w:color w:val="auto"/>
                <w:sz w:val="16"/>
                <w:szCs w:val="16"/>
                <w:highlight w:val="none"/>
                <w:lang w:val="en-US"/>
              </w:rPr>
              <w:t>子目号</w:t>
            </w:r>
          </w:p>
        </w:tc>
        <w:tc>
          <w:tcPr>
            <w:tcW w:w="375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b/>
                <w:bCs/>
                <w:color w:val="auto"/>
                <w:sz w:val="16"/>
                <w:szCs w:val="16"/>
                <w:highlight w:val="none"/>
              </w:rPr>
            </w:pPr>
            <w:r>
              <w:rPr>
                <w:rFonts w:hint="eastAsia"/>
                <w:b/>
                <w:bCs/>
                <w:color w:val="auto"/>
                <w:sz w:val="16"/>
                <w:szCs w:val="16"/>
                <w:highlight w:val="none"/>
                <w:lang w:val="en-US"/>
              </w:rPr>
              <w:t>子目名称</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b/>
                <w:bCs/>
                <w:color w:val="auto"/>
                <w:sz w:val="16"/>
                <w:szCs w:val="16"/>
                <w:highlight w:val="none"/>
              </w:rPr>
            </w:pPr>
            <w:r>
              <w:rPr>
                <w:rFonts w:hint="eastAsia"/>
                <w:b/>
                <w:bCs/>
                <w:color w:val="auto"/>
                <w:sz w:val="16"/>
                <w:szCs w:val="16"/>
                <w:highlight w:val="none"/>
                <w:lang w:val="en-US"/>
              </w:rPr>
              <w:t>单位</w:t>
            </w:r>
          </w:p>
        </w:tc>
        <w:tc>
          <w:tcPr>
            <w:tcW w:w="106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b/>
                <w:bCs/>
                <w:color w:val="auto"/>
                <w:sz w:val="16"/>
                <w:szCs w:val="16"/>
                <w:highlight w:val="none"/>
              </w:rPr>
            </w:pPr>
            <w:r>
              <w:rPr>
                <w:rFonts w:hint="eastAsia"/>
                <w:b/>
                <w:bCs/>
                <w:color w:val="auto"/>
                <w:sz w:val="16"/>
                <w:szCs w:val="16"/>
                <w:highlight w:val="none"/>
                <w:lang w:val="en-US"/>
              </w:rPr>
              <w:t>数量</w:t>
            </w:r>
          </w:p>
        </w:tc>
        <w:tc>
          <w:tcPr>
            <w:tcW w:w="106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b/>
                <w:bCs/>
                <w:color w:val="auto"/>
                <w:sz w:val="16"/>
                <w:szCs w:val="16"/>
                <w:highlight w:val="none"/>
              </w:rPr>
            </w:pPr>
            <w:r>
              <w:rPr>
                <w:rFonts w:hint="eastAsia"/>
                <w:b/>
                <w:bCs/>
                <w:color w:val="auto"/>
                <w:sz w:val="16"/>
                <w:szCs w:val="16"/>
                <w:highlight w:val="none"/>
                <w:lang w:val="en-US"/>
              </w:rPr>
              <w:t>单价</w:t>
            </w:r>
          </w:p>
        </w:tc>
        <w:tc>
          <w:tcPr>
            <w:tcW w:w="1065" w:type="dxa"/>
            <w:tcBorders>
              <w:top w:val="nil"/>
              <w:left w:val="nil"/>
              <w:bottom w:val="single" w:color="000000" w:sz="4" w:space="0"/>
              <w:right w:val="single" w:color="000000" w:sz="8" w:space="0"/>
            </w:tcBorders>
            <w:shd w:val="clear" w:color="auto" w:fill="FFFFFF"/>
            <w:vAlign w:val="center"/>
          </w:tcPr>
          <w:p>
            <w:pPr>
              <w:widowControl/>
              <w:jc w:val="center"/>
              <w:textAlignment w:val="center"/>
              <w:rPr>
                <w:b/>
                <w:bCs/>
                <w:color w:val="auto"/>
                <w:sz w:val="16"/>
                <w:szCs w:val="16"/>
                <w:highlight w:val="none"/>
              </w:rPr>
            </w:pPr>
            <w:r>
              <w:rPr>
                <w:rFonts w:hint="eastAsia"/>
                <w:b/>
                <w:bCs/>
                <w:color w:val="auto"/>
                <w:sz w:val="16"/>
                <w:szCs w:val="16"/>
                <w:highlight w:val="none"/>
                <w:lang w:val="en-US"/>
              </w:rPr>
              <w:t>合价</w:t>
            </w: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415</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桥面铺装</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415-1</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沥青混凝土桥面铺装</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-a</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40mmSBS细粒式沥青混凝土AC-13</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m2</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18000.000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-b</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60mmSBS中粒式沥青混凝土AC-20</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m2</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18000.000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-c</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粘层油</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m2</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18000.000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415-2</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水泥混凝土桥面铺装C50</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m3</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1937.600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415-3</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防水层</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-a</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桥面混凝土表面处理</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m2</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18000.000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-b</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铺设防水层</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-b-1</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橡胶沥青碎石封层</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m2</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18000.000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415-4</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桥面排水</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-a</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竖、横向集中排水管</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-a-1</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铸铁管</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kg</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34404.000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416</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桥梁支座</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416-1</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板式橡胶支座GBZJ250×300×74mm</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dm3</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799.200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416-2</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板式橡胶支座GBZJ300×400×63mm</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dm3</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1451.500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416-3</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板式橡胶支座GBZJ300×350×74mm</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dm3</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870.200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416-4</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板式橡胶支座GBZJ350×500×69mm</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dm3</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2028.600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417</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桥梁接缝和伸缩装置</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417-2</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模数式伸缩装置</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-a</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80型钢伸缩缝</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205.700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422</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其他维修加固</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422-1</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混凝土表面处理</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-a</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混凝土凿毛</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m2</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8718.200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-b</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混凝土打磨</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m2</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1686.800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422-2</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混凝土表面涂装</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-a</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硅烷浸渍</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m2</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5042.900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422-3</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粘贴碳纤维布</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m2</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4215.000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422-4</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防腐涂装（浸渍树脂）</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m2</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1686.800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422-5</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墩柱围裙拆除</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m3</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178.300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422-6</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墩柱围裙重新砌筑</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m3</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178.300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422-7</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耐久性病害维修</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-a</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注胶封闭裂缝</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45.600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-b</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钢筋除锈</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34.600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-c</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聚合物砂浆</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m2</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16.200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422-8</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凿除混凝土</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m3</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2440.200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422-9</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凿除沥青混凝土桥面铺装层及沥青路面面层</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m3</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560.200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535" w:type="dxa"/>
            <w:gridSpan w:val="6"/>
            <w:tcBorders>
              <w:top w:val="nil"/>
              <w:left w:val="single" w:color="000000" w:sz="8" w:space="0"/>
              <w:bottom w:val="single" w:color="000000" w:sz="8" w:space="0"/>
              <w:right w:val="single" w:color="000000" w:sz="8"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清单  第400章  合计   人民币           元</w:t>
            </w:r>
          </w:p>
        </w:tc>
      </w:tr>
    </w:tbl>
    <w:p>
      <w:pPr>
        <w:ind w:firstLine="6560" w:firstLineChars="4100"/>
        <w:rPr>
          <w:color w:val="auto"/>
          <w:highlight w:val="none"/>
        </w:rPr>
      </w:pPr>
      <w:r>
        <w:rPr>
          <w:rFonts w:hint="eastAsia"/>
          <w:color w:val="auto"/>
          <w:sz w:val="16"/>
          <w:szCs w:val="16"/>
          <w:highlight w:val="none"/>
          <w:lang w:val="en-US"/>
        </w:rPr>
        <w:t>清单   第 6页  共 7 页</w:t>
      </w:r>
    </w:p>
    <w:p>
      <w:pPr>
        <w:pStyle w:val="20"/>
        <w:spacing w:before="11"/>
        <w:jc w:val="both"/>
        <w:rPr>
          <w:b/>
          <w:bCs/>
          <w:color w:val="auto"/>
          <w:sz w:val="36"/>
          <w:szCs w:val="36"/>
          <w:highlight w:val="none"/>
          <w:lang w:val="en-US"/>
        </w:rPr>
        <w:sectPr>
          <w:pgSz w:w="11907" w:h="16840"/>
          <w:pgMar w:top="1418" w:right="1191" w:bottom="1418" w:left="1191" w:header="873" w:footer="851" w:gutter="0"/>
          <w:cols w:space="720" w:num="1"/>
        </w:sectPr>
      </w:pPr>
    </w:p>
    <w:p>
      <w:pPr>
        <w:pStyle w:val="20"/>
        <w:spacing w:before="11"/>
        <w:jc w:val="center"/>
        <w:rPr>
          <w:rFonts w:cs="Arial"/>
          <w:b/>
          <w:bCs/>
          <w:color w:val="auto"/>
          <w:sz w:val="36"/>
          <w:szCs w:val="36"/>
          <w:highlight w:val="none"/>
          <w:lang w:val="en-US" w:bidi="ar-SA"/>
        </w:rPr>
      </w:pPr>
      <w:r>
        <w:rPr>
          <w:rFonts w:hint="eastAsia"/>
          <w:b/>
          <w:bCs/>
          <w:color w:val="auto"/>
          <w:sz w:val="36"/>
          <w:szCs w:val="36"/>
          <w:highlight w:val="none"/>
          <w:lang w:val="en-US"/>
        </w:rPr>
        <w:t>工程量清单表</w:t>
      </w:r>
    </w:p>
    <w:p>
      <w:pPr>
        <w:rPr>
          <w:color w:val="auto"/>
          <w:highlight w:val="none"/>
        </w:rPr>
      </w:pPr>
      <w:r>
        <w:rPr>
          <w:rFonts w:hint="eastAsia" w:cs="Arial"/>
          <w:color w:val="auto"/>
          <w:sz w:val="16"/>
          <w:szCs w:val="16"/>
          <w:highlight w:val="none"/>
          <w:lang w:val="en-US" w:bidi="ar-SA"/>
        </w:rPr>
        <w:t xml:space="preserve">合同段：鞍山市2021年库盘线张荒地辽河大桥维修加固工程施工                                              </w:t>
      </w:r>
      <w:r>
        <w:rPr>
          <w:rFonts w:hint="eastAsia"/>
          <w:color w:val="auto"/>
          <w:sz w:val="16"/>
          <w:szCs w:val="16"/>
          <w:highlight w:val="none"/>
          <w:lang w:val="en-US"/>
        </w:rPr>
        <w:t>标表2</w:t>
      </w:r>
    </w:p>
    <w:tbl>
      <w:tblPr>
        <w:tblStyle w:val="47"/>
        <w:tblW w:w="8535" w:type="dxa"/>
        <w:tblInd w:w="93" w:type="dxa"/>
        <w:tblLayout w:type="autofit"/>
        <w:tblCellMar>
          <w:top w:w="0" w:type="dxa"/>
          <w:left w:w="108" w:type="dxa"/>
          <w:bottom w:w="0" w:type="dxa"/>
          <w:right w:w="108" w:type="dxa"/>
        </w:tblCellMar>
      </w:tblPr>
      <w:tblGrid>
        <w:gridCol w:w="885"/>
        <w:gridCol w:w="3750"/>
        <w:gridCol w:w="705"/>
        <w:gridCol w:w="1065"/>
        <w:gridCol w:w="1065"/>
        <w:gridCol w:w="1065"/>
      </w:tblGrid>
      <w:tr>
        <w:tblPrEx>
          <w:tblCellMar>
            <w:top w:w="0" w:type="dxa"/>
            <w:left w:w="108" w:type="dxa"/>
            <w:bottom w:w="0" w:type="dxa"/>
            <w:right w:w="108" w:type="dxa"/>
          </w:tblCellMar>
        </w:tblPrEx>
        <w:trPr>
          <w:trHeight w:val="439" w:hRule="atLeast"/>
        </w:trPr>
        <w:tc>
          <w:tcPr>
            <w:tcW w:w="8535"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pPr>
              <w:widowControl/>
              <w:jc w:val="center"/>
              <w:textAlignment w:val="center"/>
              <w:rPr>
                <w:b/>
                <w:bCs/>
                <w:color w:val="auto"/>
                <w:sz w:val="24"/>
                <w:szCs w:val="24"/>
                <w:highlight w:val="none"/>
              </w:rPr>
            </w:pPr>
            <w:r>
              <w:rPr>
                <w:rFonts w:hint="eastAsia"/>
                <w:b/>
                <w:bCs/>
                <w:color w:val="auto"/>
                <w:sz w:val="24"/>
                <w:szCs w:val="24"/>
                <w:highlight w:val="none"/>
                <w:lang w:val="en-US"/>
              </w:rPr>
              <w:t>清单  第600章  安全设施及预埋管线</w:t>
            </w:r>
          </w:p>
        </w:tc>
      </w:tr>
      <w:tr>
        <w:tblPrEx>
          <w:tblCellMar>
            <w:top w:w="0" w:type="dxa"/>
            <w:left w:w="108" w:type="dxa"/>
            <w:bottom w:w="0" w:type="dxa"/>
            <w:right w:w="108" w:type="dxa"/>
          </w:tblCellMar>
        </w:tblPrEx>
        <w:trPr>
          <w:trHeight w:val="342"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b/>
                <w:bCs/>
                <w:color w:val="auto"/>
                <w:sz w:val="16"/>
                <w:szCs w:val="16"/>
                <w:highlight w:val="none"/>
              </w:rPr>
            </w:pPr>
            <w:r>
              <w:rPr>
                <w:rFonts w:hint="eastAsia"/>
                <w:b/>
                <w:bCs/>
                <w:color w:val="auto"/>
                <w:sz w:val="16"/>
                <w:szCs w:val="16"/>
                <w:highlight w:val="none"/>
                <w:lang w:val="en-US"/>
              </w:rPr>
              <w:t>子目号</w:t>
            </w:r>
          </w:p>
        </w:tc>
        <w:tc>
          <w:tcPr>
            <w:tcW w:w="375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b/>
                <w:bCs/>
                <w:color w:val="auto"/>
                <w:sz w:val="16"/>
                <w:szCs w:val="16"/>
                <w:highlight w:val="none"/>
              </w:rPr>
            </w:pPr>
            <w:r>
              <w:rPr>
                <w:rFonts w:hint="eastAsia"/>
                <w:b/>
                <w:bCs/>
                <w:color w:val="auto"/>
                <w:sz w:val="16"/>
                <w:szCs w:val="16"/>
                <w:highlight w:val="none"/>
                <w:lang w:val="en-US"/>
              </w:rPr>
              <w:t>子目名称</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b/>
                <w:bCs/>
                <w:color w:val="auto"/>
                <w:sz w:val="16"/>
                <w:szCs w:val="16"/>
                <w:highlight w:val="none"/>
              </w:rPr>
            </w:pPr>
            <w:r>
              <w:rPr>
                <w:rFonts w:hint="eastAsia"/>
                <w:b/>
                <w:bCs/>
                <w:color w:val="auto"/>
                <w:sz w:val="16"/>
                <w:szCs w:val="16"/>
                <w:highlight w:val="none"/>
                <w:lang w:val="en-US"/>
              </w:rPr>
              <w:t>单位</w:t>
            </w:r>
          </w:p>
        </w:tc>
        <w:tc>
          <w:tcPr>
            <w:tcW w:w="106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b/>
                <w:bCs/>
                <w:color w:val="auto"/>
                <w:sz w:val="16"/>
                <w:szCs w:val="16"/>
                <w:highlight w:val="none"/>
              </w:rPr>
            </w:pPr>
            <w:r>
              <w:rPr>
                <w:rFonts w:hint="eastAsia"/>
                <w:b/>
                <w:bCs/>
                <w:color w:val="auto"/>
                <w:sz w:val="16"/>
                <w:szCs w:val="16"/>
                <w:highlight w:val="none"/>
                <w:lang w:val="en-US"/>
              </w:rPr>
              <w:t>数量</w:t>
            </w:r>
          </w:p>
        </w:tc>
        <w:tc>
          <w:tcPr>
            <w:tcW w:w="106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b/>
                <w:bCs/>
                <w:color w:val="auto"/>
                <w:sz w:val="16"/>
                <w:szCs w:val="16"/>
                <w:highlight w:val="none"/>
              </w:rPr>
            </w:pPr>
            <w:r>
              <w:rPr>
                <w:rFonts w:hint="eastAsia"/>
                <w:b/>
                <w:bCs/>
                <w:color w:val="auto"/>
                <w:sz w:val="16"/>
                <w:szCs w:val="16"/>
                <w:highlight w:val="none"/>
                <w:lang w:val="en-US"/>
              </w:rPr>
              <w:t>单价</w:t>
            </w:r>
          </w:p>
        </w:tc>
        <w:tc>
          <w:tcPr>
            <w:tcW w:w="1065" w:type="dxa"/>
            <w:tcBorders>
              <w:top w:val="nil"/>
              <w:left w:val="nil"/>
              <w:bottom w:val="single" w:color="000000" w:sz="4" w:space="0"/>
              <w:right w:val="single" w:color="000000" w:sz="8" w:space="0"/>
            </w:tcBorders>
            <w:shd w:val="clear" w:color="auto" w:fill="FFFFFF"/>
            <w:vAlign w:val="center"/>
          </w:tcPr>
          <w:p>
            <w:pPr>
              <w:widowControl/>
              <w:jc w:val="center"/>
              <w:textAlignment w:val="center"/>
              <w:rPr>
                <w:b/>
                <w:bCs/>
                <w:color w:val="auto"/>
                <w:sz w:val="16"/>
                <w:szCs w:val="16"/>
                <w:highlight w:val="none"/>
              </w:rPr>
            </w:pPr>
            <w:r>
              <w:rPr>
                <w:rFonts w:hint="eastAsia"/>
                <w:b/>
                <w:bCs/>
                <w:color w:val="auto"/>
                <w:sz w:val="16"/>
                <w:szCs w:val="16"/>
                <w:highlight w:val="none"/>
                <w:lang w:val="en-US"/>
              </w:rPr>
              <w:t>合价</w:t>
            </w: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602</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护栏</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602-3</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波形梁钢护栏</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-c</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桥头波形梁钢护栏过渡端头32.257m</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个</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4.000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605</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道路交通标线</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605-1</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热熔型涂料路面标线</w:t>
            </w:r>
          </w:p>
        </w:tc>
        <w:tc>
          <w:tcPr>
            <w:tcW w:w="705" w:type="dxa"/>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-a</w:t>
            </w:r>
          </w:p>
        </w:tc>
        <w:tc>
          <w:tcPr>
            <w:tcW w:w="3750" w:type="dxa"/>
            <w:tcBorders>
              <w:top w:val="nil"/>
              <w:left w:val="nil"/>
              <w:bottom w:val="single" w:color="000000" w:sz="4" w:space="0"/>
              <w:right w:val="single" w:color="000000" w:sz="4" w:space="0"/>
            </w:tcBorders>
            <w:shd w:val="clear" w:color="auto" w:fill="FFFFFF"/>
            <w:vAlign w:val="center"/>
          </w:tcPr>
          <w:p>
            <w:pPr>
              <w:widowControl/>
              <w:textAlignment w:val="center"/>
              <w:rPr>
                <w:color w:val="auto"/>
                <w:sz w:val="16"/>
                <w:szCs w:val="16"/>
                <w:highlight w:val="none"/>
              </w:rPr>
            </w:pPr>
            <w:r>
              <w:rPr>
                <w:rFonts w:hint="eastAsia"/>
                <w:color w:val="auto"/>
                <w:sz w:val="16"/>
                <w:szCs w:val="16"/>
                <w:highlight w:val="none"/>
                <w:lang w:val="en-US"/>
              </w:rPr>
              <w:t>热熔反光标线</w:t>
            </w:r>
          </w:p>
        </w:tc>
        <w:tc>
          <w:tcPr>
            <w:tcW w:w="7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m2</w:t>
            </w:r>
          </w:p>
        </w:tc>
        <w:tc>
          <w:tcPr>
            <w:tcW w:w="106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auto"/>
                <w:sz w:val="16"/>
                <w:szCs w:val="16"/>
                <w:highlight w:val="none"/>
              </w:rPr>
            </w:pPr>
            <w:r>
              <w:rPr>
                <w:rFonts w:ascii="Arial Narrow" w:hAnsi="Arial Narrow" w:eastAsia="Arial Narrow" w:cs="Arial Narrow"/>
                <w:color w:val="auto"/>
                <w:sz w:val="16"/>
                <w:szCs w:val="16"/>
                <w:highlight w:val="none"/>
                <w:lang w:val="en-US"/>
              </w:rPr>
              <w:t>930.600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6236" w:hRule="atLeast"/>
        </w:trPr>
        <w:tc>
          <w:tcPr>
            <w:tcW w:w="885" w:type="dxa"/>
            <w:vMerge w:val="restart"/>
            <w:tcBorders>
              <w:top w:val="nil"/>
              <w:left w:val="single" w:color="000000" w:sz="8" w:space="0"/>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3750" w:type="dxa"/>
            <w:vMerge w:val="restart"/>
            <w:tcBorders>
              <w:top w:val="nil"/>
              <w:left w:val="nil"/>
              <w:bottom w:val="single" w:color="000000" w:sz="4" w:space="0"/>
              <w:right w:val="single" w:color="000000" w:sz="4" w:space="0"/>
            </w:tcBorders>
            <w:shd w:val="clear" w:color="auto" w:fill="FFFFFF"/>
            <w:vAlign w:val="center"/>
          </w:tcPr>
          <w:p>
            <w:pPr>
              <w:rPr>
                <w:color w:val="auto"/>
                <w:sz w:val="16"/>
                <w:szCs w:val="16"/>
                <w:highlight w:val="none"/>
              </w:rPr>
            </w:pPr>
          </w:p>
        </w:tc>
        <w:tc>
          <w:tcPr>
            <w:tcW w:w="705" w:type="dxa"/>
            <w:vMerge w:val="restart"/>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vMerge w:val="restart"/>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vMerge w:val="restart"/>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vMerge w:val="restart"/>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2940" w:hRule="atLeast"/>
        </w:trPr>
        <w:tc>
          <w:tcPr>
            <w:tcW w:w="885" w:type="dxa"/>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3750" w:type="dxa"/>
            <w:vMerge w:val="continue"/>
            <w:tcBorders>
              <w:top w:val="nil"/>
              <w:left w:val="nil"/>
              <w:bottom w:val="single" w:color="000000" w:sz="4" w:space="0"/>
              <w:right w:val="single" w:color="000000" w:sz="4" w:space="0"/>
            </w:tcBorders>
            <w:shd w:val="clear" w:color="auto" w:fill="FFFFFF"/>
            <w:vAlign w:val="center"/>
          </w:tcPr>
          <w:p>
            <w:pPr>
              <w:rPr>
                <w:color w:val="auto"/>
                <w:sz w:val="16"/>
                <w:szCs w:val="16"/>
                <w:highlight w:val="none"/>
              </w:rPr>
            </w:pPr>
          </w:p>
        </w:tc>
        <w:tc>
          <w:tcPr>
            <w:tcW w:w="705" w:type="dxa"/>
            <w:vMerge w:val="continue"/>
            <w:tcBorders>
              <w:top w:val="nil"/>
              <w:left w:val="nil"/>
              <w:bottom w:val="single" w:color="000000" w:sz="4" w:space="0"/>
              <w:right w:val="single" w:color="000000" w:sz="4" w:space="0"/>
            </w:tcBorders>
            <w:shd w:val="clear" w:color="auto" w:fill="FFFFFF"/>
            <w:vAlign w:val="center"/>
          </w:tcPr>
          <w:p>
            <w:pPr>
              <w:jc w:val="center"/>
              <w:rPr>
                <w:color w:val="auto"/>
                <w:sz w:val="16"/>
                <w:szCs w:val="16"/>
                <w:highlight w:val="none"/>
              </w:rPr>
            </w:pPr>
          </w:p>
        </w:tc>
        <w:tc>
          <w:tcPr>
            <w:tcW w:w="1065" w:type="dxa"/>
            <w:vMerge w:val="continue"/>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vMerge w:val="continue"/>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auto"/>
                <w:sz w:val="16"/>
                <w:szCs w:val="16"/>
                <w:highlight w:val="none"/>
              </w:rPr>
            </w:pPr>
          </w:p>
        </w:tc>
        <w:tc>
          <w:tcPr>
            <w:tcW w:w="1065" w:type="dxa"/>
            <w:vMerge w:val="continue"/>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auto"/>
                <w:sz w:val="16"/>
                <w:szCs w:val="16"/>
                <w:highlight w:val="none"/>
              </w:rPr>
            </w:pPr>
          </w:p>
        </w:tc>
      </w:tr>
      <w:tr>
        <w:tblPrEx>
          <w:tblCellMar>
            <w:top w:w="0" w:type="dxa"/>
            <w:left w:w="108" w:type="dxa"/>
            <w:bottom w:w="0" w:type="dxa"/>
            <w:right w:w="108" w:type="dxa"/>
          </w:tblCellMar>
        </w:tblPrEx>
        <w:trPr>
          <w:trHeight w:val="300" w:hRule="atLeast"/>
        </w:trPr>
        <w:tc>
          <w:tcPr>
            <w:tcW w:w="8535" w:type="dxa"/>
            <w:gridSpan w:val="6"/>
            <w:tcBorders>
              <w:top w:val="nil"/>
              <w:left w:val="single" w:color="000000" w:sz="8" w:space="0"/>
              <w:bottom w:val="single" w:color="000000" w:sz="8" w:space="0"/>
              <w:right w:val="single" w:color="000000" w:sz="8" w:space="0"/>
            </w:tcBorders>
            <w:shd w:val="clear" w:color="auto" w:fill="FFFFFF"/>
            <w:vAlign w:val="center"/>
          </w:tcPr>
          <w:p>
            <w:pPr>
              <w:widowControl/>
              <w:jc w:val="center"/>
              <w:textAlignment w:val="center"/>
              <w:rPr>
                <w:color w:val="auto"/>
                <w:sz w:val="16"/>
                <w:szCs w:val="16"/>
                <w:highlight w:val="none"/>
              </w:rPr>
            </w:pPr>
            <w:r>
              <w:rPr>
                <w:rFonts w:hint="eastAsia"/>
                <w:color w:val="auto"/>
                <w:sz w:val="16"/>
                <w:szCs w:val="16"/>
                <w:highlight w:val="none"/>
                <w:lang w:val="en-US"/>
              </w:rPr>
              <w:t>清单  第600章  合计   人民币           元</w:t>
            </w:r>
          </w:p>
        </w:tc>
      </w:tr>
    </w:tbl>
    <w:p>
      <w:pPr>
        <w:pStyle w:val="20"/>
        <w:ind w:firstLine="6560" w:firstLineChars="4100"/>
        <w:rPr>
          <w:rFonts w:ascii="黑体" w:eastAsia="黑体"/>
          <w:color w:val="auto"/>
          <w:sz w:val="21"/>
          <w:szCs w:val="21"/>
          <w:highlight w:val="none"/>
        </w:rPr>
      </w:pPr>
      <w:r>
        <w:rPr>
          <w:rFonts w:hint="eastAsia"/>
          <w:color w:val="auto"/>
          <w:sz w:val="16"/>
          <w:szCs w:val="16"/>
          <w:highlight w:val="none"/>
          <w:lang w:val="en-US"/>
        </w:rPr>
        <w:t>清单   第 7 页  共 7 页</w:t>
      </w:r>
    </w:p>
    <w:sectPr>
      <w:footerReference r:id="rId5" w:type="default"/>
      <w:pgSz w:w="11907" w:h="16840"/>
      <w:pgMar w:top="1418" w:right="1191" w:bottom="1418" w:left="1191" w:header="873"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0000000000000000000"/>
    <w:charset w:val="86"/>
    <w:family w:val="auto"/>
    <w:pitch w:val="default"/>
    <w:sig w:usb0="00000000" w:usb1="00000000" w:usb2="00000010" w:usb3="00000000" w:csb0="0004009F" w:csb1="00000000"/>
  </w:font>
  <w:font w:name="PMingLiU">
    <w:altName w:val="PMingLiU-ExtB"/>
    <w:panose1 w:val="02020500000000000000"/>
    <w:charset w:val="88"/>
    <w:family w:val="roman"/>
    <w:pitch w:val="default"/>
    <w:sig w:usb0="00000000" w:usb1="00000000" w:usb2="00000016" w:usb3="00000000" w:csb0="00100001" w:csb1="00000000"/>
  </w:font>
  <w:font w:name="Wingdings 2">
    <w:panose1 w:val="05020102010507070707"/>
    <w:charset w:val="00"/>
    <w:family w:val="auto"/>
    <w:pitch w:val="default"/>
    <w:sig w:usb0="00000000" w:usb1="00000000" w:usb2="00000000" w:usb3="00000000" w:csb0="80000000" w:csb1="00000000"/>
  </w:font>
  <w:font w:name="HiddenHorzOCl">
    <w:altName w:val="宋体"/>
    <w:panose1 w:val="00000000000000000000"/>
    <w:charset w:val="86"/>
    <w:family w:val="swiss"/>
    <w:pitch w:val="default"/>
    <w:sig w:usb0="00000000" w:usb1="00000000" w:usb2="00000010" w:usb3="00000000" w:csb0="00040000" w:csb1="00000000"/>
  </w:font>
  <w:font w:name="方正行楷简体">
    <w:panose1 w:val="02010601030101010101"/>
    <w:charset w:val="86"/>
    <w:family w:val="auto"/>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2" w:usb3="00000000" w:csb0="0002009F" w:csb1="00000000"/>
  </w:font>
  <w:font w:name="TimesNewRomanPSMT">
    <w:altName w:val="Times New Roman"/>
    <w:panose1 w:val="00000000000000000000"/>
    <w:charset w:val="00"/>
    <w:family w:val="roman"/>
    <w:pitch w:val="default"/>
    <w:sig w:usb0="00000000" w:usb1="00000000" w:usb2="00000000" w:usb3="00000000" w:csb0="00000001" w:csb1="00000000"/>
  </w:font>
  <w:font w:name="Arial Narrow">
    <w:altName w:val="Arial"/>
    <w:panose1 w:val="00000000000000000000"/>
    <w:charset w:val="00"/>
    <w:family w:val="swiss"/>
    <w:pitch w:val="default"/>
    <w:sig w:usb0="00000000" w:usb1="00000000" w:usb2="00000000" w:usb3="00000000" w:csb0="0000009F" w:csb1="00000000"/>
  </w:font>
  <w:font w:name="MingLiUfalt">
    <w:altName w:val="MingLiU-ExtB"/>
    <w:panose1 w:val="00000000000000000000"/>
    <w:charset w:val="88"/>
    <w:family w:val="auto"/>
    <w:pitch w:val="default"/>
    <w:sig w:usb0="00000000" w:usb1="00000000" w:usb2="00000010" w:usb3="00000000" w:csb0="00100000"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Yu Gothic UI">
    <w:panose1 w:val="020B0500000000000000"/>
    <w:charset w:val="80"/>
    <w:family w:val="auto"/>
    <w:pitch w:val="default"/>
    <w:sig w:usb0="E00002FF" w:usb1="2AC7FDFF" w:usb2="00000016" w:usb3="00000000" w:csb0="2002009F"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pict>
        <v:shape id="_x0000_s2289" o:spid="_x0000_s228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sdt>
                <w:sdtPr>
                  <w:id w:val="249641262"/>
                </w:sdtPr>
                <w:sdtContent>
                  <w:p>
                    <w:pPr>
                      <w:pStyle w:val="32"/>
                      <w:jc w:val="center"/>
                    </w:pPr>
                    <w:r>
                      <w:fldChar w:fldCharType="begin"/>
                    </w:r>
                    <w:r>
                      <w:instrText xml:space="preserve"> PAGE   \* MERGEFORMAT </w:instrText>
                    </w:r>
                    <w:r>
                      <w:fldChar w:fldCharType="separate"/>
                    </w:r>
                    <w:r>
                      <w:t>215</w:t>
                    </w:r>
                    <w:r>
                      <w:fldChar w:fldCharType="end"/>
                    </w:r>
                  </w:p>
                </w:sdtContent>
              </w:sdt>
              <w:p/>
            </w:txbxContent>
          </v:textbox>
        </v:shape>
      </w:pict>
    </w:r>
  </w:p>
  <w:p>
    <w:pPr>
      <w:pStyle w:val="20"/>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pict>
        <v:shape id="_x0000_s2303" o:spid="_x0000_s230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32"/>
                  <w:jc w:val="center"/>
                </w:pPr>
                <w:r>
                  <w:fldChar w:fldCharType="begin"/>
                </w:r>
                <w:r>
                  <w:instrText xml:space="preserve"> PAGE   \* MERGEFORMAT </w:instrText>
                </w:r>
                <w:r>
                  <w:fldChar w:fldCharType="separate"/>
                </w:r>
                <w:r>
                  <w:t>263</w:t>
                </w:r>
                <w:r>
                  <w:fldChar w:fldCharType="end"/>
                </w:r>
              </w:p>
            </w:txbxContent>
          </v:textbox>
        </v:shape>
      </w:pict>
    </w:r>
  </w:p>
  <w:p>
    <w:pPr>
      <w:pStyle w:val="20"/>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alias w:val="标题"/>
      <w:id w:val="21471023"/>
      <w:text/>
    </w:sdtPr>
    <w:sdtContent>
      <w:p>
        <w:pPr>
          <w:pStyle w:val="33"/>
          <w:pBdr>
            <w:between w:val="single" w:color="4F81BD" w:themeColor="accent1" w:sz="4" w:space="1"/>
          </w:pBdr>
          <w:spacing w:line="276" w:lineRule="auto"/>
          <w:jc w:val="left"/>
        </w:pPr>
        <w:r>
          <w:rPr>
            <w:rFonts w:hint="eastAsia"/>
          </w:rPr>
          <w:t>鞍山市2021年库盘线张荒地辽河大桥维修加固工程施工</w:t>
        </w:r>
        <w:r>
          <w:rPr>
            <w:rFonts w:hint="eastAsia"/>
            <w:lang w:val="en-US"/>
          </w:rPr>
          <w:t xml:space="preserve">               </w:t>
        </w:r>
        <w:r>
          <w:rPr>
            <w:rFonts w:hint="eastAsia"/>
          </w:rPr>
          <w:t xml:space="preserve">                               招标文件 </w:t>
        </w:r>
      </w:p>
    </w:sdtContent>
  </w:sdt>
  <w:p>
    <w:pPr>
      <w:pStyle w:val="33"/>
      <w:pBdr>
        <w:between w:val="single" w:color="4F81BD" w:themeColor="accent1" w:sz="4" w:space="1"/>
      </w:pBdr>
      <w:spacing w:line="276" w:lineRule="auto"/>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B52FFE"/>
    <w:multiLevelType w:val="multilevel"/>
    <w:tmpl w:val="1BB52FFE"/>
    <w:lvl w:ilvl="0" w:tentative="0">
      <w:start w:val="1"/>
      <w:numFmt w:val="decimal"/>
      <w:lvlText w:val="%1."/>
      <w:lvlJc w:val="left"/>
      <w:pPr>
        <w:ind w:left="774" w:hanging="351"/>
      </w:pPr>
      <w:rPr>
        <w:rFonts w:hint="default" w:ascii="Times New Roman" w:hAnsi="Times New Roman" w:eastAsia="Times New Roman" w:cs="Times New Roman"/>
        <w:w w:val="100"/>
        <w:sz w:val="28"/>
        <w:szCs w:val="28"/>
        <w:lang w:val="zh-CN" w:eastAsia="zh-CN" w:bidi="zh-CN"/>
      </w:rPr>
    </w:lvl>
    <w:lvl w:ilvl="1" w:tentative="0">
      <w:start w:val="1"/>
      <w:numFmt w:val="decimal"/>
      <w:lvlText w:val="%1.%2"/>
      <w:lvlJc w:val="left"/>
      <w:pPr>
        <w:ind w:left="424" w:hanging="420"/>
      </w:pPr>
      <w:rPr>
        <w:rFonts w:hint="default" w:ascii="Times New Roman" w:hAnsi="Times New Roman" w:eastAsia="Times New Roman" w:cs="Times New Roman"/>
        <w:spacing w:val="-1"/>
        <w:w w:val="100"/>
        <w:sz w:val="24"/>
        <w:szCs w:val="24"/>
        <w:lang w:val="zh-CN" w:eastAsia="zh-CN" w:bidi="zh-CN"/>
      </w:rPr>
    </w:lvl>
    <w:lvl w:ilvl="2" w:tentative="0">
      <w:start w:val="1"/>
      <w:numFmt w:val="decimal"/>
      <w:lvlText w:val="%1.%2.%3"/>
      <w:lvlJc w:val="left"/>
      <w:pPr>
        <w:ind w:left="1564" w:hanging="600"/>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1560" w:hanging="600"/>
      </w:pPr>
      <w:rPr>
        <w:rFonts w:hint="default"/>
        <w:lang w:val="zh-CN" w:eastAsia="zh-CN" w:bidi="zh-CN"/>
      </w:rPr>
    </w:lvl>
    <w:lvl w:ilvl="4" w:tentative="0">
      <w:start w:val="0"/>
      <w:numFmt w:val="bullet"/>
      <w:lvlText w:val="•"/>
      <w:lvlJc w:val="left"/>
      <w:pPr>
        <w:ind w:left="2692" w:hanging="600"/>
      </w:pPr>
      <w:rPr>
        <w:rFonts w:hint="default"/>
        <w:lang w:val="zh-CN" w:eastAsia="zh-CN" w:bidi="zh-CN"/>
      </w:rPr>
    </w:lvl>
    <w:lvl w:ilvl="5" w:tentative="0">
      <w:start w:val="0"/>
      <w:numFmt w:val="bullet"/>
      <w:lvlText w:val="•"/>
      <w:lvlJc w:val="left"/>
      <w:pPr>
        <w:ind w:left="3824" w:hanging="600"/>
      </w:pPr>
      <w:rPr>
        <w:rFonts w:hint="default"/>
        <w:lang w:val="zh-CN" w:eastAsia="zh-CN" w:bidi="zh-CN"/>
      </w:rPr>
    </w:lvl>
    <w:lvl w:ilvl="6" w:tentative="0">
      <w:start w:val="0"/>
      <w:numFmt w:val="bullet"/>
      <w:lvlText w:val="•"/>
      <w:lvlJc w:val="left"/>
      <w:pPr>
        <w:ind w:left="4957" w:hanging="600"/>
      </w:pPr>
      <w:rPr>
        <w:rFonts w:hint="default"/>
        <w:lang w:val="zh-CN" w:eastAsia="zh-CN" w:bidi="zh-CN"/>
      </w:rPr>
    </w:lvl>
    <w:lvl w:ilvl="7" w:tentative="0">
      <w:start w:val="0"/>
      <w:numFmt w:val="bullet"/>
      <w:lvlText w:val="•"/>
      <w:lvlJc w:val="left"/>
      <w:pPr>
        <w:ind w:left="6089" w:hanging="600"/>
      </w:pPr>
      <w:rPr>
        <w:rFonts w:hint="default"/>
        <w:lang w:val="zh-CN" w:eastAsia="zh-CN" w:bidi="zh-CN"/>
      </w:rPr>
    </w:lvl>
    <w:lvl w:ilvl="8" w:tentative="0">
      <w:start w:val="0"/>
      <w:numFmt w:val="bullet"/>
      <w:lvlText w:val="•"/>
      <w:lvlJc w:val="left"/>
      <w:pPr>
        <w:ind w:left="7221" w:hanging="600"/>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872B64"/>
    <w:rsid w:val="000024AE"/>
    <w:rsid w:val="00006C84"/>
    <w:rsid w:val="00012336"/>
    <w:rsid w:val="00012DB6"/>
    <w:rsid w:val="0001459C"/>
    <w:rsid w:val="00015152"/>
    <w:rsid w:val="00016DE4"/>
    <w:rsid w:val="00022902"/>
    <w:rsid w:val="00025AB2"/>
    <w:rsid w:val="00026F68"/>
    <w:rsid w:val="00042335"/>
    <w:rsid w:val="00043F25"/>
    <w:rsid w:val="00050393"/>
    <w:rsid w:val="000643B6"/>
    <w:rsid w:val="00067048"/>
    <w:rsid w:val="00067156"/>
    <w:rsid w:val="00070A56"/>
    <w:rsid w:val="00071692"/>
    <w:rsid w:val="00086FEE"/>
    <w:rsid w:val="00095F8D"/>
    <w:rsid w:val="000A1476"/>
    <w:rsid w:val="000B3A9E"/>
    <w:rsid w:val="000C223A"/>
    <w:rsid w:val="000C3802"/>
    <w:rsid w:val="000C41FB"/>
    <w:rsid w:val="000D298A"/>
    <w:rsid w:val="000D4CFA"/>
    <w:rsid w:val="000D6BA6"/>
    <w:rsid w:val="000D6D7B"/>
    <w:rsid w:val="000E34A2"/>
    <w:rsid w:val="000F4D04"/>
    <w:rsid w:val="00124429"/>
    <w:rsid w:val="00132EC4"/>
    <w:rsid w:val="00134866"/>
    <w:rsid w:val="00134998"/>
    <w:rsid w:val="00137DEF"/>
    <w:rsid w:val="001502FF"/>
    <w:rsid w:val="001579BA"/>
    <w:rsid w:val="00162D89"/>
    <w:rsid w:val="00171219"/>
    <w:rsid w:val="00174D64"/>
    <w:rsid w:val="0017610B"/>
    <w:rsid w:val="0018519C"/>
    <w:rsid w:val="001972C7"/>
    <w:rsid w:val="001A3E2F"/>
    <w:rsid w:val="001A4385"/>
    <w:rsid w:val="001A4C03"/>
    <w:rsid w:val="001B070D"/>
    <w:rsid w:val="001B64AC"/>
    <w:rsid w:val="001C2106"/>
    <w:rsid w:val="001D3EA3"/>
    <w:rsid w:val="001D7FED"/>
    <w:rsid w:val="001E6C3C"/>
    <w:rsid w:val="001F266F"/>
    <w:rsid w:val="002017B7"/>
    <w:rsid w:val="00206C86"/>
    <w:rsid w:val="00206F9E"/>
    <w:rsid w:val="002248A4"/>
    <w:rsid w:val="00224B92"/>
    <w:rsid w:val="00230FE6"/>
    <w:rsid w:val="00241C90"/>
    <w:rsid w:val="00245102"/>
    <w:rsid w:val="00255A87"/>
    <w:rsid w:val="00257931"/>
    <w:rsid w:val="002635FA"/>
    <w:rsid w:val="0026395B"/>
    <w:rsid w:val="002721CD"/>
    <w:rsid w:val="00274D5B"/>
    <w:rsid w:val="00277457"/>
    <w:rsid w:val="0028721B"/>
    <w:rsid w:val="002913ED"/>
    <w:rsid w:val="00292189"/>
    <w:rsid w:val="002A6C8B"/>
    <w:rsid w:val="002A71CB"/>
    <w:rsid w:val="002B205D"/>
    <w:rsid w:val="002C6C1C"/>
    <w:rsid w:val="002D44D8"/>
    <w:rsid w:val="002D59D3"/>
    <w:rsid w:val="002E16C6"/>
    <w:rsid w:val="002E7029"/>
    <w:rsid w:val="00301C2B"/>
    <w:rsid w:val="00301E3F"/>
    <w:rsid w:val="003046AE"/>
    <w:rsid w:val="00306735"/>
    <w:rsid w:val="00310732"/>
    <w:rsid w:val="00311A2E"/>
    <w:rsid w:val="003144D0"/>
    <w:rsid w:val="003154A3"/>
    <w:rsid w:val="003232CF"/>
    <w:rsid w:val="0033114A"/>
    <w:rsid w:val="00337D85"/>
    <w:rsid w:val="003441CF"/>
    <w:rsid w:val="00344E3D"/>
    <w:rsid w:val="0034638E"/>
    <w:rsid w:val="0035079C"/>
    <w:rsid w:val="00363AC4"/>
    <w:rsid w:val="00364345"/>
    <w:rsid w:val="003753B7"/>
    <w:rsid w:val="0039363A"/>
    <w:rsid w:val="00394D51"/>
    <w:rsid w:val="003A1244"/>
    <w:rsid w:val="003A4BF8"/>
    <w:rsid w:val="003C1480"/>
    <w:rsid w:val="003C6F7B"/>
    <w:rsid w:val="003D0A7B"/>
    <w:rsid w:val="003E0EE2"/>
    <w:rsid w:val="00401D28"/>
    <w:rsid w:val="00401D53"/>
    <w:rsid w:val="00403B6A"/>
    <w:rsid w:val="00403E8B"/>
    <w:rsid w:val="00416552"/>
    <w:rsid w:val="00431E9D"/>
    <w:rsid w:val="00432AD5"/>
    <w:rsid w:val="00434D72"/>
    <w:rsid w:val="00443F9D"/>
    <w:rsid w:val="00447626"/>
    <w:rsid w:val="004540BE"/>
    <w:rsid w:val="00454EEE"/>
    <w:rsid w:val="00455224"/>
    <w:rsid w:val="004615EF"/>
    <w:rsid w:val="0046552C"/>
    <w:rsid w:val="00467709"/>
    <w:rsid w:val="00467B54"/>
    <w:rsid w:val="00471C86"/>
    <w:rsid w:val="00483201"/>
    <w:rsid w:val="004952A4"/>
    <w:rsid w:val="00495A8B"/>
    <w:rsid w:val="004A6E01"/>
    <w:rsid w:val="004B074B"/>
    <w:rsid w:val="004B35E4"/>
    <w:rsid w:val="004B4B41"/>
    <w:rsid w:val="004D109F"/>
    <w:rsid w:val="004D283F"/>
    <w:rsid w:val="004E0A67"/>
    <w:rsid w:val="004E4D35"/>
    <w:rsid w:val="004F563E"/>
    <w:rsid w:val="00500A30"/>
    <w:rsid w:val="005023C0"/>
    <w:rsid w:val="00503643"/>
    <w:rsid w:val="00505E68"/>
    <w:rsid w:val="005063DB"/>
    <w:rsid w:val="00506F47"/>
    <w:rsid w:val="00523D14"/>
    <w:rsid w:val="0053121F"/>
    <w:rsid w:val="0053517A"/>
    <w:rsid w:val="005411E8"/>
    <w:rsid w:val="00544159"/>
    <w:rsid w:val="005453AA"/>
    <w:rsid w:val="00546CF4"/>
    <w:rsid w:val="00555783"/>
    <w:rsid w:val="00560F85"/>
    <w:rsid w:val="0056287F"/>
    <w:rsid w:val="0057232B"/>
    <w:rsid w:val="00573467"/>
    <w:rsid w:val="00575C7D"/>
    <w:rsid w:val="00584F71"/>
    <w:rsid w:val="005912D5"/>
    <w:rsid w:val="005920B2"/>
    <w:rsid w:val="005940C2"/>
    <w:rsid w:val="00594529"/>
    <w:rsid w:val="00596D56"/>
    <w:rsid w:val="005A1940"/>
    <w:rsid w:val="005A26F1"/>
    <w:rsid w:val="005A275A"/>
    <w:rsid w:val="005B1D19"/>
    <w:rsid w:val="005C14AD"/>
    <w:rsid w:val="005D0DE9"/>
    <w:rsid w:val="005D1492"/>
    <w:rsid w:val="005D464A"/>
    <w:rsid w:val="005E235F"/>
    <w:rsid w:val="005E5141"/>
    <w:rsid w:val="005E52E8"/>
    <w:rsid w:val="006037D8"/>
    <w:rsid w:val="00632FCF"/>
    <w:rsid w:val="006366E4"/>
    <w:rsid w:val="00641F82"/>
    <w:rsid w:val="006474BF"/>
    <w:rsid w:val="00647B9C"/>
    <w:rsid w:val="00661F07"/>
    <w:rsid w:val="00667FE5"/>
    <w:rsid w:val="006739FE"/>
    <w:rsid w:val="006820DE"/>
    <w:rsid w:val="00685303"/>
    <w:rsid w:val="006858EF"/>
    <w:rsid w:val="006915EE"/>
    <w:rsid w:val="00694AD1"/>
    <w:rsid w:val="006A0263"/>
    <w:rsid w:val="006A0450"/>
    <w:rsid w:val="006A61F7"/>
    <w:rsid w:val="006A6F1C"/>
    <w:rsid w:val="006B7330"/>
    <w:rsid w:val="006C1999"/>
    <w:rsid w:val="006C633D"/>
    <w:rsid w:val="006D4762"/>
    <w:rsid w:val="006D4763"/>
    <w:rsid w:val="006D6180"/>
    <w:rsid w:val="006D66D5"/>
    <w:rsid w:val="006E2991"/>
    <w:rsid w:val="006F3F7D"/>
    <w:rsid w:val="006F4344"/>
    <w:rsid w:val="006F67EE"/>
    <w:rsid w:val="0070178C"/>
    <w:rsid w:val="0070643D"/>
    <w:rsid w:val="007154FD"/>
    <w:rsid w:val="00723659"/>
    <w:rsid w:val="00727F73"/>
    <w:rsid w:val="0074097D"/>
    <w:rsid w:val="00743FDB"/>
    <w:rsid w:val="007513EB"/>
    <w:rsid w:val="00755585"/>
    <w:rsid w:val="0075703E"/>
    <w:rsid w:val="00757C2E"/>
    <w:rsid w:val="0077117E"/>
    <w:rsid w:val="00780D94"/>
    <w:rsid w:val="007825A5"/>
    <w:rsid w:val="00791AFB"/>
    <w:rsid w:val="0079675E"/>
    <w:rsid w:val="007A0812"/>
    <w:rsid w:val="007A7A1F"/>
    <w:rsid w:val="007A7D67"/>
    <w:rsid w:val="007B5A50"/>
    <w:rsid w:val="007B6BD9"/>
    <w:rsid w:val="007C6678"/>
    <w:rsid w:val="007D0F4B"/>
    <w:rsid w:val="007E7842"/>
    <w:rsid w:val="007F403A"/>
    <w:rsid w:val="007F57AC"/>
    <w:rsid w:val="007F5DBB"/>
    <w:rsid w:val="008020F2"/>
    <w:rsid w:val="00803665"/>
    <w:rsid w:val="00807546"/>
    <w:rsid w:val="00813BFB"/>
    <w:rsid w:val="0081688B"/>
    <w:rsid w:val="00834B77"/>
    <w:rsid w:val="00835DAE"/>
    <w:rsid w:val="00837657"/>
    <w:rsid w:val="008454A3"/>
    <w:rsid w:val="00853826"/>
    <w:rsid w:val="00854BA7"/>
    <w:rsid w:val="008565F9"/>
    <w:rsid w:val="00872B64"/>
    <w:rsid w:val="00873C90"/>
    <w:rsid w:val="008749FA"/>
    <w:rsid w:val="0088261D"/>
    <w:rsid w:val="008861AC"/>
    <w:rsid w:val="008A37AC"/>
    <w:rsid w:val="008A5906"/>
    <w:rsid w:val="008A61C7"/>
    <w:rsid w:val="008A64FA"/>
    <w:rsid w:val="008A65E3"/>
    <w:rsid w:val="008B0B66"/>
    <w:rsid w:val="008B7986"/>
    <w:rsid w:val="008C4657"/>
    <w:rsid w:val="008C4FDD"/>
    <w:rsid w:val="008C7BB5"/>
    <w:rsid w:val="008E4C79"/>
    <w:rsid w:val="008E6A1C"/>
    <w:rsid w:val="008F1B6F"/>
    <w:rsid w:val="008F3646"/>
    <w:rsid w:val="00900950"/>
    <w:rsid w:val="00901D06"/>
    <w:rsid w:val="00902F62"/>
    <w:rsid w:val="00904076"/>
    <w:rsid w:val="00904E01"/>
    <w:rsid w:val="00911D32"/>
    <w:rsid w:val="00917558"/>
    <w:rsid w:val="0092152A"/>
    <w:rsid w:val="0092623A"/>
    <w:rsid w:val="00932E32"/>
    <w:rsid w:val="0093305C"/>
    <w:rsid w:val="00935D4F"/>
    <w:rsid w:val="00940597"/>
    <w:rsid w:val="00946C29"/>
    <w:rsid w:val="00971D9D"/>
    <w:rsid w:val="00972E5A"/>
    <w:rsid w:val="0098708C"/>
    <w:rsid w:val="009A1B97"/>
    <w:rsid w:val="009A4D5F"/>
    <w:rsid w:val="009A76BA"/>
    <w:rsid w:val="009B67A8"/>
    <w:rsid w:val="009B70C0"/>
    <w:rsid w:val="009C1CAA"/>
    <w:rsid w:val="009C1FA9"/>
    <w:rsid w:val="009C61D6"/>
    <w:rsid w:val="009C7E57"/>
    <w:rsid w:val="009D2E8A"/>
    <w:rsid w:val="009E58C0"/>
    <w:rsid w:val="009F048B"/>
    <w:rsid w:val="00A0507F"/>
    <w:rsid w:val="00A10F09"/>
    <w:rsid w:val="00A113D2"/>
    <w:rsid w:val="00A12813"/>
    <w:rsid w:val="00A13D91"/>
    <w:rsid w:val="00A21123"/>
    <w:rsid w:val="00A24564"/>
    <w:rsid w:val="00A27064"/>
    <w:rsid w:val="00A31957"/>
    <w:rsid w:val="00A339C8"/>
    <w:rsid w:val="00A35297"/>
    <w:rsid w:val="00A5458A"/>
    <w:rsid w:val="00A75C15"/>
    <w:rsid w:val="00A76463"/>
    <w:rsid w:val="00A8192A"/>
    <w:rsid w:val="00A82A84"/>
    <w:rsid w:val="00A83C46"/>
    <w:rsid w:val="00A84A62"/>
    <w:rsid w:val="00A931A4"/>
    <w:rsid w:val="00A96CAB"/>
    <w:rsid w:val="00A9769C"/>
    <w:rsid w:val="00A97C7F"/>
    <w:rsid w:val="00AA1BEB"/>
    <w:rsid w:val="00AA1EAF"/>
    <w:rsid w:val="00AB273F"/>
    <w:rsid w:val="00AD1BB9"/>
    <w:rsid w:val="00AD776A"/>
    <w:rsid w:val="00AE4D0E"/>
    <w:rsid w:val="00AE7B3F"/>
    <w:rsid w:val="00AE7C9C"/>
    <w:rsid w:val="00AF0955"/>
    <w:rsid w:val="00AF5A5D"/>
    <w:rsid w:val="00B0035B"/>
    <w:rsid w:val="00B05F96"/>
    <w:rsid w:val="00B20AC4"/>
    <w:rsid w:val="00B247BF"/>
    <w:rsid w:val="00B24EEF"/>
    <w:rsid w:val="00B31550"/>
    <w:rsid w:val="00B34794"/>
    <w:rsid w:val="00B3498C"/>
    <w:rsid w:val="00B43C9D"/>
    <w:rsid w:val="00B51C6E"/>
    <w:rsid w:val="00B618AA"/>
    <w:rsid w:val="00B764A0"/>
    <w:rsid w:val="00B878A7"/>
    <w:rsid w:val="00B94667"/>
    <w:rsid w:val="00BA2DB6"/>
    <w:rsid w:val="00BA64CC"/>
    <w:rsid w:val="00BB1F92"/>
    <w:rsid w:val="00BB3173"/>
    <w:rsid w:val="00BB554B"/>
    <w:rsid w:val="00BC212B"/>
    <w:rsid w:val="00BD3BD7"/>
    <w:rsid w:val="00BE43BB"/>
    <w:rsid w:val="00BE7690"/>
    <w:rsid w:val="00BE7876"/>
    <w:rsid w:val="00C0208B"/>
    <w:rsid w:val="00C103BA"/>
    <w:rsid w:val="00C133E8"/>
    <w:rsid w:val="00C22C55"/>
    <w:rsid w:val="00C275E3"/>
    <w:rsid w:val="00C2782D"/>
    <w:rsid w:val="00C603A7"/>
    <w:rsid w:val="00C62C21"/>
    <w:rsid w:val="00C73F1E"/>
    <w:rsid w:val="00C75527"/>
    <w:rsid w:val="00C75E44"/>
    <w:rsid w:val="00C80D1F"/>
    <w:rsid w:val="00C85AED"/>
    <w:rsid w:val="00C959D0"/>
    <w:rsid w:val="00CA3C73"/>
    <w:rsid w:val="00CB6F9D"/>
    <w:rsid w:val="00CC25B5"/>
    <w:rsid w:val="00CD608A"/>
    <w:rsid w:val="00CD60A9"/>
    <w:rsid w:val="00CE30A5"/>
    <w:rsid w:val="00CE4779"/>
    <w:rsid w:val="00CE4E9B"/>
    <w:rsid w:val="00CE5C51"/>
    <w:rsid w:val="00CF0CE9"/>
    <w:rsid w:val="00D01840"/>
    <w:rsid w:val="00D04A6E"/>
    <w:rsid w:val="00D1678C"/>
    <w:rsid w:val="00D23312"/>
    <w:rsid w:val="00D25912"/>
    <w:rsid w:val="00D270E3"/>
    <w:rsid w:val="00D32AEE"/>
    <w:rsid w:val="00D450FF"/>
    <w:rsid w:val="00D45644"/>
    <w:rsid w:val="00D50920"/>
    <w:rsid w:val="00D518F7"/>
    <w:rsid w:val="00D56466"/>
    <w:rsid w:val="00D65E97"/>
    <w:rsid w:val="00D67317"/>
    <w:rsid w:val="00D75153"/>
    <w:rsid w:val="00D81B7F"/>
    <w:rsid w:val="00DB139B"/>
    <w:rsid w:val="00DB311A"/>
    <w:rsid w:val="00DC7658"/>
    <w:rsid w:val="00DD04EB"/>
    <w:rsid w:val="00DD1390"/>
    <w:rsid w:val="00DE4C92"/>
    <w:rsid w:val="00DE59B5"/>
    <w:rsid w:val="00DF58C0"/>
    <w:rsid w:val="00E36C88"/>
    <w:rsid w:val="00E424B6"/>
    <w:rsid w:val="00E45534"/>
    <w:rsid w:val="00E55C9F"/>
    <w:rsid w:val="00E93FC9"/>
    <w:rsid w:val="00E9668D"/>
    <w:rsid w:val="00E967CB"/>
    <w:rsid w:val="00E96A28"/>
    <w:rsid w:val="00EA12CA"/>
    <w:rsid w:val="00EA3276"/>
    <w:rsid w:val="00EA6405"/>
    <w:rsid w:val="00EB243D"/>
    <w:rsid w:val="00EC2433"/>
    <w:rsid w:val="00EC325E"/>
    <w:rsid w:val="00EF1519"/>
    <w:rsid w:val="00F004A8"/>
    <w:rsid w:val="00F00DA0"/>
    <w:rsid w:val="00F03426"/>
    <w:rsid w:val="00F24392"/>
    <w:rsid w:val="00F35985"/>
    <w:rsid w:val="00F42276"/>
    <w:rsid w:val="00F4782A"/>
    <w:rsid w:val="00F543A7"/>
    <w:rsid w:val="00F569A7"/>
    <w:rsid w:val="00F75730"/>
    <w:rsid w:val="00F820DE"/>
    <w:rsid w:val="00F8720A"/>
    <w:rsid w:val="00F91594"/>
    <w:rsid w:val="00F92A05"/>
    <w:rsid w:val="00F92DD5"/>
    <w:rsid w:val="00FA04AA"/>
    <w:rsid w:val="00FA0747"/>
    <w:rsid w:val="00FA41B9"/>
    <w:rsid w:val="00FA5133"/>
    <w:rsid w:val="00FB7002"/>
    <w:rsid w:val="00FD0A18"/>
    <w:rsid w:val="00FD2D76"/>
    <w:rsid w:val="0366755B"/>
    <w:rsid w:val="04AC5423"/>
    <w:rsid w:val="05C055B6"/>
    <w:rsid w:val="05E17495"/>
    <w:rsid w:val="05FD6928"/>
    <w:rsid w:val="06DD60EF"/>
    <w:rsid w:val="0951569D"/>
    <w:rsid w:val="0C101ECD"/>
    <w:rsid w:val="0C68018E"/>
    <w:rsid w:val="0C9D244A"/>
    <w:rsid w:val="0DD03EA9"/>
    <w:rsid w:val="0F192413"/>
    <w:rsid w:val="107F54D7"/>
    <w:rsid w:val="10EE5276"/>
    <w:rsid w:val="11152BA8"/>
    <w:rsid w:val="122F05D9"/>
    <w:rsid w:val="131272CE"/>
    <w:rsid w:val="132C067D"/>
    <w:rsid w:val="138F7B58"/>
    <w:rsid w:val="14C07297"/>
    <w:rsid w:val="16DF427C"/>
    <w:rsid w:val="17D152B0"/>
    <w:rsid w:val="17F4202D"/>
    <w:rsid w:val="18B6169D"/>
    <w:rsid w:val="1B435FEF"/>
    <w:rsid w:val="1BE03DB5"/>
    <w:rsid w:val="1CE26102"/>
    <w:rsid w:val="1F6A3A1A"/>
    <w:rsid w:val="1F835FDC"/>
    <w:rsid w:val="201B344D"/>
    <w:rsid w:val="2032468F"/>
    <w:rsid w:val="20711AA5"/>
    <w:rsid w:val="209D3E84"/>
    <w:rsid w:val="21446C14"/>
    <w:rsid w:val="230C37DD"/>
    <w:rsid w:val="23E57BDC"/>
    <w:rsid w:val="24365232"/>
    <w:rsid w:val="2499613F"/>
    <w:rsid w:val="26637A31"/>
    <w:rsid w:val="276A4A63"/>
    <w:rsid w:val="29225AD7"/>
    <w:rsid w:val="296A1E0B"/>
    <w:rsid w:val="298B229A"/>
    <w:rsid w:val="2C3146BD"/>
    <w:rsid w:val="2DFF62FC"/>
    <w:rsid w:val="2E0B1575"/>
    <w:rsid w:val="2E6E3910"/>
    <w:rsid w:val="308A3676"/>
    <w:rsid w:val="308B3624"/>
    <w:rsid w:val="30DE1ADC"/>
    <w:rsid w:val="331A3AAD"/>
    <w:rsid w:val="33B73993"/>
    <w:rsid w:val="34043C51"/>
    <w:rsid w:val="36A8722F"/>
    <w:rsid w:val="3711788B"/>
    <w:rsid w:val="37981034"/>
    <w:rsid w:val="37FE4341"/>
    <w:rsid w:val="392B7CD8"/>
    <w:rsid w:val="393D79C3"/>
    <w:rsid w:val="39706F37"/>
    <w:rsid w:val="39A519DE"/>
    <w:rsid w:val="3A3478E7"/>
    <w:rsid w:val="3AFF2D3D"/>
    <w:rsid w:val="3B48758E"/>
    <w:rsid w:val="3C65063F"/>
    <w:rsid w:val="3C7E0CC1"/>
    <w:rsid w:val="3CA200D3"/>
    <w:rsid w:val="3CE1104D"/>
    <w:rsid w:val="3D4679E0"/>
    <w:rsid w:val="3DF6479F"/>
    <w:rsid w:val="3EC44D55"/>
    <w:rsid w:val="44324997"/>
    <w:rsid w:val="447A574B"/>
    <w:rsid w:val="44A91CE2"/>
    <w:rsid w:val="44F779DF"/>
    <w:rsid w:val="45F34189"/>
    <w:rsid w:val="483F482B"/>
    <w:rsid w:val="4A3A4C2A"/>
    <w:rsid w:val="4B831AF2"/>
    <w:rsid w:val="4E9F2D96"/>
    <w:rsid w:val="4ECC2ECE"/>
    <w:rsid w:val="520163CA"/>
    <w:rsid w:val="543945B6"/>
    <w:rsid w:val="54BE7D69"/>
    <w:rsid w:val="56CC01D4"/>
    <w:rsid w:val="574B07FC"/>
    <w:rsid w:val="58250210"/>
    <w:rsid w:val="592375F5"/>
    <w:rsid w:val="596F51F7"/>
    <w:rsid w:val="5A352225"/>
    <w:rsid w:val="5A361F20"/>
    <w:rsid w:val="5B0136E7"/>
    <w:rsid w:val="5B357F02"/>
    <w:rsid w:val="5BE076BE"/>
    <w:rsid w:val="5E303D89"/>
    <w:rsid w:val="5E526C64"/>
    <w:rsid w:val="5F633500"/>
    <w:rsid w:val="5FFA2EC4"/>
    <w:rsid w:val="60135A2C"/>
    <w:rsid w:val="605439DD"/>
    <w:rsid w:val="60EF4A7C"/>
    <w:rsid w:val="612C0710"/>
    <w:rsid w:val="63053EC2"/>
    <w:rsid w:val="639A01E7"/>
    <w:rsid w:val="64615FEA"/>
    <w:rsid w:val="656027C7"/>
    <w:rsid w:val="68B653ED"/>
    <w:rsid w:val="694B078B"/>
    <w:rsid w:val="699C630F"/>
    <w:rsid w:val="6B1B0F25"/>
    <w:rsid w:val="6C4F16EF"/>
    <w:rsid w:val="72BA2D3F"/>
    <w:rsid w:val="72C0584D"/>
    <w:rsid w:val="732E27B8"/>
    <w:rsid w:val="743D0A40"/>
    <w:rsid w:val="795A6327"/>
    <w:rsid w:val="7A7D06BE"/>
    <w:rsid w:val="7D146E1F"/>
    <w:rsid w:val="7DA57218"/>
    <w:rsid w:val="7F4D70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qFormat="1" w:unhideWhenUsed="0" w:uiPriority="99"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nhideWhenUsed="0"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link w:val="56"/>
    <w:qFormat/>
    <w:uiPriority w:val="0"/>
    <w:pPr>
      <w:spacing w:before="169"/>
      <w:outlineLvl w:val="0"/>
    </w:pPr>
    <w:rPr>
      <w:rFonts w:ascii="黑体" w:hAnsi="黑体" w:eastAsia="黑体" w:cs="黑体"/>
      <w:sz w:val="76"/>
      <w:szCs w:val="56"/>
    </w:rPr>
  </w:style>
  <w:style w:type="paragraph" w:styleId="3">
    <w:name w:val="heading 2"/>
    <w:basedOn w:val="1"/>
    <w:next w:val="1"/>
    <w:link w:val="57"/>
    <w:qFormat/>
    <w:uiPriority w:val="99"/>
    <w:pPr>
      <w:spacing w:before="41"/>
      <w:ind w:left="2661"/>
      <w:outlineLvl w:val="1"/>
    </w:pPr>
    <w:rPr>
      <w:rFonts w:ascii="黑体" w:hAnsi="黑体" w:eastAsia="黑体" w:cs="黑体"/>
      <w:sz w:val="56"/>
      <w:szCs w:val="42"/>
    </w:rPr>
  </w:style>
  <w:style w:type="paragraph" w:styleId="4">
    <w:name w:val="heading 3"/>
    <w:basedOn w:val="1"/>
    <w:next w:val="1"/>
    <w:link w:val="58"/>
    <w:qFormat/>
    <w:uiPriority w:val="99"/>
    <w:pPr>
      <w:spacing w:before="45"/>
      <w:ind w:left="1881"/>
      <w:outlineLvl w:val="2"/>
    </w:pPr>
    <w:rPr>
      <w:rFonts w:ascii="黑体" w:hAnsi="黑体" w:eastAsia="黑体" w:cs="黑体"/>
      <w:sz w:val="40"/>
      <w:szCs w:val="40"/>
    </w:rPr>
  </w:style>
  <w:style w:type="paragraph" w:styleId="5">
    <w:name w:val="heading 4"/>
    <w:basedOn w:val="1"/>
    <w:next w:val="6"/>
    <w:link w:val="59"/>
    <w:qFormat/>
    <w:uiPriority w:val="99"/>
    <w:pPr>
      <w:spacing w:before="30"/>
      <w:ind w:left="359" w:right="347"/>
      <w:jc w:val="center"/>
      <w:outlineLvl w:val="3"/>
    </w:pPr>
    <w:rPr>
      <w:b/>
      <w:bCs/>
      <w:sz w:val="38"/>
      <w:szCs w:val="38"/>
    </w:rPr>
  </w:style>
  <w:style w:type="paragraph" w:styleId="7">
    <w:name w:val="heading 5"/>
    <w:basedOn w:val="1"/>
    <w:next w:val="1"/>
    <w:link w:val="60"/>
    <w:qFormat/>
    <w:uiPriority w:val="99"/>
    <w:pPr>
      <w:ind w:left="42"/>
      <w:jc w:val="center"/>
      <w:outlineLvl w:val="4"/>
    </w:pPr>
    <w:rPr>
      <w:rFonts w:ascii="黑体" w:hAnsi="黑体" w:eastAsia="黑体" w:cs="黑体"/>
      <w:sz w:val="36"/>
      <w:szCs w:val="36"/>
    </w:rPr>
  </w:style>
  <w:style w:type="paragraph" w:styleId="8">
    <w:name w:val="heading 6"/>
    <w:basedOn w:val="1"/>
    <w:next w:val="1"/>
    <w:link w:val="61"/>
    <w:qFormat/>
    <w:uiPriority w:val="99"/>
    <w:pPr>
      <w:spacing w:before="55"/>
      <w:outlineLvl w:val="5"/>
    </w:pPr>
    <w:rPr>
      <w:rFonts w:ascii="黑体" w:hAnsi="黑体" w:eastAsia="黑体" w:cs="黑体"/>
      <w:sz w:val="32"/>
      <w:szCs w:val="32"/>
    </w:rPr>
  </w:style>
  <w:style w:type="paragraph" w:styleId="9">
    <w:name w:val="heading 7"/>
    <w:basedOn w:val="1"/>
    <w:next w:val="1"/>
    <w:link w:val="62"/>
    <w:qFormat/>
    <w:uiPriority w:val="99"/>
    <w:pPr>
      <w:spacing w:before="66"/>
      <w:ind w:left="1199"/>
      <w:outlineLvl w:val="6"/>
    </w:pPr>
    <w:rPr>
      <w:rFonts w:ascii="黑体" w:hAnsi="黑体" w:eastAsia="黑体" w:cs="黑体"/>
      <w:sz w:val="31"/>
      <w:szCs w:val="31"/>
      <w:u w:val="single" w:color="000000"/>
    </w:rPr>
  </w:style>
  <w:style w:type="paragraph" w:styleId="10">
    <w:name w:val="heading 8"/>
    <w:basedOn w:val="1"/>
    <w:next w:val="1"/>
    <w:link w:val="63"/>
    <w:qFormat/>
    <w:uiPriority w:val="99"/>
    <w:pPr>
      <w:spacing w:before="200"/>
      <w:ind w:left="3999"/>
      <w:outlineLvl w:val="7"/>
    </w:pPr>
    <w:rPr>
      <w:rFonts w:ascii="黑体" w:hAnsi="黑体" w:eastAsia="黑体" w:cs="黑体"/>
      <w:b/>
      <w:bCs/>
      <w:sz w:val="30"/>
      <w:szCs w:val="30"/>
    </w:rPr>
  </w:style>
  <w:style w:type="paragraph" w:styleId="11">
    <w:name w:val="heading 9"/>
    <w:basedOn w:val="1"/>
    <w:next w:val="1"/>
    <w:link w:val="64"/>
    <w:qFormat/>
    <w:uiPriority w:val="99"/>
    <w:pPr>
      <w:ind w:right="1061"/>
      <w:jc w:val="center"/>
      <w:outlineLvl w:val="8"/>
    </w:pPr>
    <w:rPr>
      <w:rFonts w:ascii="黑体" w:hAnsi="黑体" w:eastAsia="黑体" w:cs="黑体"/>
      <w:sz w:val="30"/>
      <w:szCs w:val="3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autoSpaceDE/>
      <w:autoSpaceDN/>
      <w:ind w:firstLine="420" w:firstLineChars="200"/>
      <w:jc w:val="both"/>
    </w:pPr>
    <w:rPr>
      <w:rFonts w:ascii="Times New Roman" w:hAnsi="Times New Roman" w:cs="Times New Roman"/>
      <w:kern w:val="2"/>
      <w:sz w:val="21"/>
      <w:szCs w:val="24"/>
      <w:lang w:val="en-US" w:bidi="ar-SA"/>
    </w:rPr>
  </w:style>
  <w:style w:type="paragraph" w:styleId="12">
    <w:name w:val="toc 7"/>
    <w:basedOn w:val="1"/>
    <w:next w:val="1"/>
    <w:qFormat/>
    <w:uiPriority w:val="39"/>
    <w:pPr>
      <w:autoSpaceDE/>
      <w:autoSpaceDN/>
      <w:ind w:left="1260"/>
    </w:pPr>
    <w:rPr>
      <w:rFonts w:ascii="Times New Roman" w:hAnsi="Times New Roman" w:cs="Times New Roman"/>
      <w:kern w:val="2"/>
      <w:sz w:val="21"/>
      <w:szCs w:val="21"/>
      <w:lang w:val="en-US" w:bidi="ar-SA"/>
    </w:rPr>
  </w:style>
  <w:style w:type="paragraph" w:styleId="13">
    <w:name w:val="List Bullet 4"/>
    <w:basedOn w:val="1"/>
    <w:qFormat/>
    <w:uiPriority w:val="99"/>
    <w:pPr>
      <w:tabs>
        <w:tab w:val="left" w:pos="1620"/>
      </w:tabs>
      <w:autoSpaceDE/>
      <w:autoSpaceDN/>
      <w:ind w:left="600" w:leftChars="600" w:hanging="200" w:hangingChars="200"/>
      <w:jc w:val="both"/>
    </w:pPr>
    <w:rPr>
      <w:rFonts w:ascii="Times New Roman" w:hAnsi="Times New Roman" w:cs="Times New Roman"/>
      <w:kern w:val="2"/>
      <w:sz w:val="21"/>
      <w:szCs w:val="24"/>
      <w:lang w:val="en-US" w:bidi="ar-SA"/>
    </w:rPr>
  </w:style>
  <w:style w:type="paragraph" w:styleId="14">
    <w:name w:val="caption"/>
    <w:basedOn w:val="1"/>
    <w:next w:val="1"/>
    <w:qFormat/>
    <w:uiPriority w:val="99"/>
    <w:pPr>
      <w:autoSpaceDE/>
      <w:autoSpaceDN/>
      <w:jc w:val="both"/>
    </w:pPr>
    <w:rPr>
      <w:rFonts w:ascii="Arial" w:hAnsi="Arial" w:eastAsia="黑体" w:cs="Arial"/>
      <w:kern w:val="2"/>
      <w:sz w:val="20"/>
      <w:szCs w:val="20"/>
      <w:lang w:val="en-US" w:bidi="ar-SA"/>
    </w:rPr>
  </w:style>
  <w:style w:type="paragraph" w:styleId="15">
    <w:name w:val="List Bullet"/>
    <w:basedOn w:val="1"/>
    <w:qFormat/>
    <w:uiPriority w:val="99"/>
    <w:pPr>
      <w:tabs>
        <w:tab w:val="left" w:pos="360"/>
      </w:tabs>
      <w:autoSpaceDE/>
      <w:autoSpaceDN/>
      <w:ind w:left="360" w:hanging="200" w:hangingChars="200"/>
      <w:jc w:val="both"/>
    </w:pPr>
    <w:rPr>
      <w:rFonts w:ascii="Times New Roman" w:hAnsi="Times New Roman" w:cs="Times New Roman"/>
      <w:kern w:val="2"/>
      <w:sz w:val="21"/>
      <w:szCs w:val="24"/>
      <w:lang w:val="en-US" w:bidi="ar-SA"/>
    </w:rPr>
  </w:style>
  <w:style w:type="paragraph" w:styleId="16">
    <w:name w:val="Document Map"/>
    <w:basedOn w:val="1"/>
    <w:link w:val="65"/>
    <w:qFormat/>
    <w:uiPriority w:val="99"/>
    <w:pPr>
      <w:shd w:val="clear" w:color="auto" w:fill="000080"/>
      <w:autoSpaceDE/>
      <w:autoSpaceDN/>
      <w:jc w:val="both"/>
    </w:pPr>
    <w:rPr>
      <w:rFonts w:ascii="Times New Roman" w:hAnsi="Times New Roman" w:cs="Times New Roman"/>
      <w:kern w:val="2"/>
      <w:sz w:val="21"/>
      <w:szCs w:val="24"/>
      <w:lang w:val="en-US" w:bidi="ar-SA"/>
    </w:rPr>
  </w:style>
  <w:style w:type="paragraph" w:styleId="17">
    <w:name w:val="annotation text"/>
    <w:basedOn w:val="1"/>
    <w:link w:val="66"/>
    <w:qFormat/>
    <w:uiPriority w:val="99"/>
    <w:pPr>
      <w:autoSpaceDE/>
      <w:autoSpaceDN/>
    </w:pPr>
    <w:rPr>
      <w:rFonts w:ascii="Times New Roman" w:hAnsi="Times New Roman" w:cs="Times New Roman"/>
      <w:kern w:val="2"/>
      <w:sz w:val="21"/>
      <w:szCs w:val="24"/>
      <w:lang w:val="en-US" w:bidi="ar-SA"/>
    </w:rPr>
  </w:style>
  <w:style w:type="paragraph" w:styleId="18">
    <w:name w:val="Body Text 3"/>
    <w:basedOn w:val="1"/>
    <w:link w:val="67"/>
    <w:qFormat/>
    <w:uiPriority w:val="99"/>
    <w:pPr>
      <w:autoSpaceDE/>
      <w:autoSpaceDN/>
      <w:jc w:val="both"/>
    </w:pPr>
    <w:rPr>
      <w:rFonts w:hAnsi="Times New Roman" w:cs="Times New Roman"/>
      <w:kern w:val="2"/>
      <w:sz w:val="24"/>
      <w:szCs w:val="20"/>
      <w:lang w:val="en-US" w:bidi="ar-SA"/>
    </w:rPr>
  </w:style>
  <w:style w:type="paragraph" w:styleId="19">
    <w:name w:val="List Bullet 3"/>
    <w:basedOn w:val="1"/>
    <w:qFormat/>
    <w:uiPriority w:val="99"/>
    <w:pPr>
      <w:tabs>
        <w:tab w:val="left" w:pos="1200"/>
      </w:tabs>
      <w:autoSpaceDE/>
      <w:autoSpaceDN/>
      <w:ind w:left="400" w:leftChars="400" w:hanging="200" w:hangingChars="200"/>
      <w:jc w:val="both"/>
    </w:pPr>
    <w:rPr>
      <w:rFonts w:ascii="Times New Roman" w:hAnsi="Times New Roman" w:cs="Times New Roman"/>
      <w:kern w:val="2"/>
      <w:sz w:val="21"/>
      <w:szCs w:val="24"/>
      <w:lang w:val="en-US" w:bidi="ar-SA"/>
    </w:rPr>
  </w:style>
  <w:style w:type="paragraph" w:styleId="20">
    <w:name w:val="Body Text"/>
    <w:basedOn w:val="1"/>
    <w:link w:val="68"/>
    <w:qFormat/>
    <w:uiPriority w:val="1"/>
    <w:rPr>
      <w:sz w:val="24"/>
      <w:szCs w:val="24"/>
    </w:rPr>
  </w:style>
  <w:style w:type="paragraph" w:styleId="21">
    <w:name w:val="Body Text Indent"/>
    <w:basedOn w:val="1"/>
    <w:link w:val="69"/>
    <w:qFormat/>
    <w:uiPriority w:val="0"/>
    <w:pPr>
      <w:autoSpaceDE/>
      <w:autoSpaceDN/>
      <w:spacing w:after="120"/>
      <w:ind w:left="420" w:leftChars="200"/>
      <w:jc w:val="both"/>
    </w:pPr>
    <w:rPr>
      <w:rFonts w:ascii="Times New Roman" w:hAnsi="Times New Roman" w:cs="Times New Roman"/>
      <w:kern w:val="2"/>
      <w:sz w:val="21"/>
      <w:szCs w:val="24"/>
      <w:lang w:val="en-US" w:bidi="ar-SA"/>
    </w:rPr>
  </w:style>
  <w:style w:type="paragraph" w:styleId="22">
    <w:name w:val="List Bullet 2"/>
    <w:basedOn w:val="1"/>
    <w:qFormat/>
    <w:uiPriority w:val="99"/>
    <w:pPr>
      <w:tabs>
        <w:tab w:val="left" w:pos="780"/>
      </w:tabs>
      <w:autoSpaceDE/>
      <w:autoSpaceDN/>
      <w:ind w:left="200" w:leftChars="200" w:hanging="200" w:hangingChars="200"/>
      <w:jc w:val="both"/>
    </w:pPr>
    <w:rPr>
      <w:rFonts w:ascii="Times New Roman" w:hAnsi="Times New Roman" w:cs="Times New Roman"/>
      <w:kern w:val="2"/>
      <w:sz w:val="21"/>
      <w:szCs w:val="24"/>
      <w:lang w:val="en-US" w:bidi="ar-SA"/>
    </w:rPr>
  </w:style>
  <w:style w:type="paragraph" w:styleId="23">
    <w:name w:val="toc 5"/>
    <w:basedOn w:val="1"/>
    <w:next w:val="1"/>
    <w:qFormat/>
    <w:uiPriority w:val="39"/>
    <w:pPr>
      <w:autoSpaceDE/>
      <w:autoSpaceDN/>
      <w:ind w:left="840"/>
    </w:pPr>
    <w:rPr>
      <w:rFonts w:ascii="Times New Roman" w:hAnsi="Times New Roman" w:cs="Times New Roman"/>
      <w:kern w:val="2"/>
      <w:sz w:val="21"/>
      <w:szCs w:val="21"/>
      <w:lang w:val="en-US" w:bidi="ar-SA"/>
    </w:rPr>
  </w:style>
  <w:style w:type="paragraph" w:styleId="24">
    <w:name w:val="toc 3"/>
    <w:basedOn w:val="1"/>
    <w:next w:val="1"/>
    <w:qFormat/>
    <w:uiPriority w:val="39"/>
    <w:pPr>
      <w:autoSpaceDE/>
      <w:autoSpaceDN/>
      <w:ind w:left="840" w:leftChars="400"/>
      <w:jc w:val="both"/>
    </w:pPr>
    <w:rPr>
      <w:rFonts w:ascii="Times New Roman" w:hAnsi="Times New Roman" w:cs="Times New Roman"/>
      <w:kern w:val="2"/>
      <w:sz w:val="21"/>
      <w:szCs w:val="24"/>
      <w:lang w:val="en-US" w:bidi="ar-SA"/>
    </w:rPr>
  </w:style>
  <w:style w:type="paragraph" w:styleId="25">
    <w:name w:val="Plain Text"/>
    <w:basedOn w:val="1"/>
    <w:link w:val="70"/>
    <w:qFormat/>
    <w:uiPriority w:val="0"/>
    <w:pPr>
      <w:autoSpaceDE/>
      <w:autoSpaceDN/>
      <w:jc w:val="both"/>
    </w:pPr>
    <w:rPr>
      <w:rFonts w:hAnsi="Courier New" w:cs="Times New Roman"/>
      <w:color w:val="000000"/>
      <w:kern w:val="2"/>
      <w:sz w:val="21"/>
      <w:szCs w:val="20"/>
      <w:lang w:val="en-US" w:bidi="ar-SA"/>
    </w:rPr>
  </w:style>
  <w:style w:type="paragraph" w:styleId="26">
    <w:name w:val="List Bullet 5"/>
    <w:basedOn w:val="1"/>
    <w:qFormat/>
    <w:uiPriority w:val="99"/>
    <w:pPr>
      <w:tabs>
        <w:tab w:val="left" w:pos="2040"/>
      </w:tabs>
      <w:autoSpaceDE/>
      <w:autoSpaceDN/>
      <w:ind w:left="800" w:leftChars="800" w:hanging="200" w:hangingChars="200"/>
      <w:jc w:val="both"/>
    </w:pPr>
    <w:rPr>
      <w:rFonts w:ascii="Times New Roman" w:hAnsi="Times New Roman" w:cs="Times New Roman"/>
      <w:kern w:val="2"/>
      <w:sz w:val="21"/>
      <w:szCs w:val="24"/>
      <w:lang w:val="en-US" w:bidi="ar-SA"/>
    </w:rPr>
  </w:style>
  <w:style w:type="paragraph" w:styleId="27">
    <w:name w:val="toc 8"/>
    <w:basedOn w:val="1"/>
    <w:next w:val="1"/>
    <w:qFormat/>
    <w:uiPriority w:val="39"/>
    <w:pPr>
      <w:autoSpaceDE/>
      <w:autoSpaceDN/>
      <w:ind w:left="1470"/>
    </w:pPr>
    <w:rPr>
      <w:rFonts w:ascii="Times New Roman" w:hAnsi="Times New Roman" w:cs="Times New Roman"/>
      <w:kern w:val="2"/>
      <w:sz w:val="21"/>
      <w:szCs w:val="21"/>
      <w:lang w:val="en-US" w:bidi="ar-SA"/>
    </w:rPr>
  </w:style>
  <w:style w:type="paragraph" w:styleId="28">
    <w:name w:val="Date"/>
    <w:basedOn w:val="1"/>
    <w:next w:val="1"/>
    <w:link w:val="71"/>
    <w:qFormat/>
    <w:uiPriority w:val="99"/>
    <w:pPr>
      <w:autoSpaceDE/>
      <w:autoSpaceDN/>
      <w:ind w:left="100" w:leftChars="2500"/>
      <w:jc w:val="both"/>
    </w:pPr>
    <w:rPr>
      <w:rFonts w:ascii="Times New Roman" w:hAnsi="Times New Roman" w:cs="Times New Roman"/>
      <w:kern w:val="2"/>
      <w:sz w:val="21"/>
      <w:szCs w:val="24"/>
      <w:lang w:val="en-US" w:bidi="ar-SA"/>
    </w:rPr>
  </w:style>
  <w:style w:type="paragraph" w:styleId="29">
    <w:name w:val="Body Text Indent 2"/>
    <w:basedOn w:val="1"/>
    <w:link w:val="72"/>
    <w:qFormat/>
    <w:uiPriority w:val="99"/>
    <w:pPr>
      <w:autoSpaceDE/>
      <w:autoSpaceDN/>
      <w:ind w:firstLine="624"/>
      <w:jc w:val="both"/>
    </w:pPr>
    <w:rPr>
      <w:rFonts w:ascii="仿宋_GB2312" w:hAnsi="Times New Roman" w:eastAsia="仿宋_GB2312" w:cs="Times New Roman"/>
      <w:kern w:val="2"/>
      <w:sz w:val="28"/>
      <w:szCs w:val="24"/>
      <w:lang w:val="en-US" w:bidi="ar-SA"/>
    </w:rPr>
  </w:style>
  <w:style w:type="paragraph" w:styleId="30">
    <w:name w:val="endnote text"/>
    <w:basedOn w:val="1"/>
    <w:link w:val="73"/>
    <w:qFormat/>
    <w:uiPriority w:val="99"/>
    <w:pPr>
      <w:autoSpaceDE/>
      <w:autoSpaceDN/>
      <w:snapToGrid w:val="0"/>
    </w:pPr>
    <w:rPr>
      <w:rFonts w:ascii="Times New Roman" w:hAnsi="Times New Roman" w:cs="Times New Roman"/>
      <w:kern w:val="2"/>
      <w:sz w:val="21"/>
      <w:szCs w:val="24"/>
      <w:lang w:val="en-US" w:bidi="ar-SA"/>
    </w:rPr>
  </w:style>
  <w:style w:type="paragraph" w:styleId="31">
    <w:name w:val="Balloon Text"/>
    <w:basedOn w:val="1"/>
    <w:link w:val="74"/>
    <w:unhideWhenUsed/>
    <w:qFormat/>
    <w:uiPriority w:val="99"/>
    <w:rPr>
      <w:sz w:val="18"/>
      <w:szCs w:val="18"/>
    </w:rPr>
  </w:style>
  <w:style w:type="paragraph" w:styleId="32">
    <w:name w:val="footer"/>
    <w:basedOn w:val="1"/>
    <w:link w:val="75"/>
    <w:unhideWhenUsed/>
    <w:qFormat/>
    <w:uiPriority w:val="99"/>
    <w:pPr>
      <w:tabs>
        <w:tab w:val="center" w:pos="4153"/>
        <w:tab w:val="right" w:pos="8306"/>
      </w:tabs>
      <w:snapToGrid w:val="0"/>
    </w:pPr>
    <w:rPr>
      <w:sz w:val="18"/>
      <w:szCs w:val="18"/>
    </w:rPr>
  </w:style>
  <w:style w:type="paragraph" w:styleId="33">
    <w:name w:val="header"/>
    <w:basedOn w:val="1"/>
    <w:link w:val="76"/>
    <w:unhideWhenUsed/>
    <w:qFormat/>
    <w:uiPriority w:val="99"/>
    <w:pPr>
      <w:tabs>
        <w:tab w:val="center" w:pos="4153"/>
        <w:tab w:val="right" w:pos="8306"/>
      </w:tabs>
      <w:snapToGrid w:val="0"/>
      <w:jc w:val="center"/>
    </w:pPr>
    <w:rPr>
      <w:sz w:val="18"/>
      <w:szCs w:val="18"/>
    </w:rPr>
  </w:style>
  <w:style w:type="paragraph" w:styleId="34">
    <w:name w:val="toc 1"/>
    <w:basedOn w:val="1"/>
    <w:next w:val="1"/>
    <w:link w:val="77"/>
    <w:qFormat/>
    <w:uiPriority w:val="39"/>
    <w:pPr>
      <w:spacing w:before="183"/>
      <w:ind w:left="424"/>
    </w:pPr>
    <w:rPr>
      <w:rFonts w:ascii="黑体" w:hAnsi="黑体" w:eastAsia="黑体" w:cs="黑体"/>
      <w:sz w:val="20"/>
      <w:szCs w:val="20"/>
    </w:rPr>
  </w:style>
  <w:style w:type="paragraph" w:styleId="35">
    <w:name w:val="toc 4"/>
    <w:basedOn w:val="1"/>
    <w:next w:val="1"/>
    <w:qFormat/>
    <w:uiPriority w:val="39"/>
    <w:pPr>
      <w:autoSpaceDE/>
      <w:autoSpaceDN/>
      <w:ind w:left="630"/>
    </w:pPr>
    <w:rPr>
      <w:rFonts w:ascii="Times New Roman" w:hAnsi="Times New Roman" w:cs="Times New Roman"/>
      <w:kern w:val="2"/>
      <w:sz w:val="21"/>
      <w:szCs w:val="21"/>
      <w:lang w:val="en-US" w:bidi="ar-SA"/>
    </w:rPr>
  </w:style>
  <w:style w:type="paragraph" w:styleId="36">
    <w:name w:val="footnote text"/>
    <w:basedOn w:val="1"/>
    <w:link w:val="78"/>
    <w:qFormat/>
    <w:uiPriority w:val="0"/>
    <w:pPr>
      <w:autoSpaceDE/>
      <w:autoSpaceDN/>
      <w:snapToGrid w:val="0"/>
    </w:pPr>
    <w:rPr>
      <w:rFonts w:ascii="Times New Roman" w:hAnsi="Times New Roman" w:cs="Times New Roman"/>
      <w:kern w:val="2"/>
      <w:sz w:val="18"/>
      <w:szCs w:val="18"/>
      <w:lang w:val="en-US" w:bidi="ar-SA"/>
    </w:rPr>
  </w:style>
  <w:style w:type="paragraph" w:styleId="37">
    <w:name w:val="toc 6"/>
    <w:basedOn w:val="1"/>
    <w:next w:val="1"/>
    <w:qFormat/>
    <w:uiPriority w:val="39"/>
    <w:pPr>
      <w:autoSpaceDE/>
      <w:autoSpaceDN/>
      <w:ind w:left="1050"/>
    </w:pPr>
    <w:rPr>
      <w:rFonts w:ascii="Times New Roman" w:hAnsi="Times New Roman" w:cs="Times New Roman"/>
      <w:kern w:val="2"/>
      <w:sz w:val="21"/>
      <w:szCs w:val="21"/>
      <w:lang w:val="en-US" w:bidi="ar-SA"/>
    </w:rPr>
  </w:style>
  <w:style w:type="paragraph" w:styleId="38">
    <w:name w:val="Body Text Indent 3"/>
    <w:basedOn w:val="1"/>
    <w:link w:val="79"/>
    <w:qFormat/>
    <w:uiPriority w:val="99"/>
    <w:pPr>
      <w:autoSpaceDE/>
      <w:autoSpaceDN/>
      <w:spacing w:after="120"/>
      <w:ind w:left="420" w:leftChars="200"/>
      <w:jc w:val="both"/>
    </w:pPr>
    <w:rPr>
      <w:rFonts w:ascii="Times New Roman" w:hAnsi="Times New Roman" w:cs="Times New Roman"/>
      <w:kern w:val="2"/>
      <w:sz w:val="16"/>
      <w:szCs w:val="16"/>
      <w:lang w:val="en-US" w:bidi="ar-SA"/>
    </w:rPr>
  </w:style>
  <w:style w:type="paragraph" w:styleId="39">
    <w:name w:val="toc 2"/>
    <w:basedOn w:val="1"/>
    <w:next w:val="1"/>
    <w:qFormat/>
    <w:uiPriority w:val="39"/>
    <w:pPr>
      <w:spacing w:before="182"/>
      <w:ind w:left="707"/>
    </w:pPr>
    <w:rPr>
      <w:rFonts w:ascii="黑体" w:hAnsi="黑体" w:eastAsia="黑体" w:cs="黑体"/>
      <w:sz w:val="20"/>
      <w:szCs w:val="20"/>
    </w:rPr>
  </w:style>
  <w:style w:type="paragraph" w:styleId="40">
    <w:name w:val="toc 9"/>
    <w:basedOn w:val="1"/>
    <w:next w:val="1"/>
    <w:qFormat/>
    <w:uiPriority w:val="39"/>
    <w:pPr>
      <w:autoSpaceDE/>
      <w:autoSpaceDN/>
      <w:ind w:left="1680"/>
    </w:pPr>
    <w:rPr>
      <w:rFonts w:ascii="Times New Roman" w:hAnsi="Times New Roman" w:cs="Times New Roman"/>
      <w:kern w:val="2"/>
      <w:sz w:val="21"/>
      <w:szCs w:val="21"/>
      <w:lang w:val="en-US" w:bidi="ar-SA"/>
    </w:rPr>
  </w:style>
  <w:style w:type="paragraph" w:styleId="41">
    <w:name w:val="Body Text 2"/>
    <w:basedOn w:val="1"/>
    <w:link w:val="80"/>
    <w:qFormat/>
    <w:uiPriority w:val="99"/>
    <w:pPr>
      <w:autoSpaceDE/>
      <w:autoSpaceDN/>
      <w:jc w:val="both"/>
    </w:pPr>
    <w:rPr>
      <w:rFonts w:cs="Times New Roman"/>
      <w:kern w:val="2"/>
      <w:sz w:val="28"/>
      <w:szCs w:val="24"/>
      <w:lang w:val="en-US" w:bidi="ar-SA"/>
    </w:rPr>
  </w:style>
  <w:style w:type="paragraph" w:styleId="42">
    <w:name w:val="HTML Preformatted"/>
    <w:basedOn w:val="1"/>
    <w:link w:val="8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sz w:val="24"/>
      <w:szCs w:val="24"/>
      <w:lang w:val="en-US" w:bidi="ar-SA"/>
    </w:rPr>
  </w:style>
  <w:style w:type="paragraph" w:styleId="43">
    <w:name w:val="index 1"/>
    <w:basedOn w:val="1"/>
    <w:next w:val="1"/>
    <w:qFormat/>
    <w:uiPriority w:val="99"/>
    <w:pPr>
      <w:autoSpaceDE/>
      <w:autoSpaceDN/>
      <w:spacing w:line="220" w:lineRule="exact"/>
      <w:jc w:val="center"/>
    </w:pPr>
    <w:rPr>
      <w:rFonts w:ascii="仿宋_GB2312" w:hAnsi="Times New Roman" w:eastAsia="仿宋_GB2312" w:cs="Times New Roman"/>
      <w:kern w:val="2"/>
      <w:sz w:val="21"/>
      <w:szCs w:val="21"/>
      <w:lang w:val="en-US" w:bidi="ar-SA"/>
    </w:rPr>
  </w:style>
  <w:style w:type="paragraph" w:styleId="44">
    <w:name w:val="Title"/>
    <w:basedOn w:val="1"/>
    <w:link w:val="82"/>
    <w:qFormat/>
    <w:uiPriority w:val="99"/>
    <w:pPr>
      <w:autoSpaceDE/>
      <w:autoSpaceDN/>
      <w:adjustRightInd w:val="0"/>
      <w:spacing w:before="240" w:after="60" w:line="420" w:lineRule="atLeast"/>
      <w:jc w:val="center"/>
      <w:textAlignment w:val="baseline"/>
      <w:outlineLvl w:val="0"/>
    </w:pPr>
    <w:rPr>
      <w:rFonts w:ascii="Arial" w:hAnsi="Arial" w:cs="Times New Roman"/>
      <w:b/>
      <w:sz w:val="32"/>
      <w:szCs w:val="20"/>
      <w:lang w:val="en-US" w:bidi="ar-SA"/>
    </w:rPr>
  </w:style>
  <w:style w:type="paragraph" w:styleId="45">
    <w:name w:val="annotation subject"/>
    <w:basedOn w:val="17"/>
    <w:next w:val="17"/>
    <w:link w:val="83"/>
    <w:semiHidden/>
    <w:qFormat/>
    <w:uiPriority w:val="99"/>
    <w:rPr>
      <w:b/>
      <w:bCs/>
    </w:rPr>
  </w:style>
  <w:style w:type="paragraph" w:styleId="46">
    <w:name w:val="Body Text First Indent 2"/>
    <w:basedOn w:val="21"/>
    <w:link w:val="84"/>
    <w:qFormat/>
    <w:uiPriority w:val="99"/>
    <w:pPr>
      <w:ind w:firstLine="420" w:firstLineChars="200"/>
    </w:pPr>
  </w:style>
  <w:style w:type="table" w:styleId="48">
    <w:name w:val="Table Grid"/>
    <w:basedOn w:val="47"/>
    <w:qFormat/>
    <w:uiPriority w:val="9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endnote reference"/>
    <w:basedOn w:val="49"/>
    <w:qFormat/>
    <w:uiPriority w:val="99"/>
    <w:rPr>
      <w:rFonts w:cs="Times New Roman"/>
      <w:vertAlign w:val="superscript"/>
    </w:rPr>
  </w:style>
  <w:style w:type="character" w:styleId="51">
    <w:name w:val="page number"/>
    <w:basedOn w:val="49"/>
    <w:qFormat/>
    <w:uiPriority w:val="0"/>
    <w:rPr>
      <w:rFonts w:cs="Times New Roman"/>
    </w:rPr>
  </w:style>
  <w:style w:type="character" w:styleId="52">
    <w:name w:val="FollowedHyperlink"/>
    <w:basedOn w:val="49"/>
    <w:qFormat/>
    <w:uiPriority w:val="99"/>
    <w:rPr>
      <w:rFonts w:cs="Times New Roman"/>
      <w:color w:val="800080"/>
      <w:u w:val="single"/>
    </w:rPr>
  </w:style>
  <w:style w:type="character" w:styleId="53">
    <w:name w:val="Hyperlink"/>
    <w:basedOn w:val="49"/>
    <w:qFormat/>
    <w:uiPriority w:val="99"/>
    <w:rPr>
      <w:rFonts w:cs="Times New Roman"/>
      <w:color w:val="0000FF"/>
      <w:u w:val="single"/>
    </w:rPr>
  </w:style>
  <w:style w:type="character" w:styleId="54">
    <w:name w:val="annotation reference"/>
    <w:basedOn w:val="49"/>
    <w:qFormat/>
    <w:uiPriority w:val="99"/>
    <w:rPr>
      <w:rFonts w:cs="Times New Roman"/>
      <w:sz w:val="21"/>
      <w:szCs w:val="21"/>
    </w:rPr>
  </w:style>
  <w:style w:type="character" w:styleId="55">
    <w:name w:val="footnote reference"/>
    <w:basedOn w:val="49"/>
    <w:qFormat/>
    <w:uiPriority w:val="0"/>
    <w:rPr>
      <w:rFonts w:cs="Times New Roman"/>
      <w:vertAlign w:val="superscript"/>
    </w:rPr>
  </w:style>
  <w:style w:type="character" w:customStyle="1" w:styleId="56">
    <w:name w:val="标题 1 Char"/>
    <w:basedOn w:val="49"/>
    <w:link w:val="2"/>
    <w:qFormat/>
    <w:locked/>
    <w:uiPriority w:val="0"/>
    <w:rPr>
      <w:rFonts w:ascii="黑体" w:hAnsi="黑体" w:eastAsia="黑体" w:cs="黑体"/>
      <w:sz w:val="76"/>
      <w:szCs w:val="56"/>
      <w:lang w:val="zh-CN" w:eastAsia="zh-CN" w:bidi="zh-CN"/>
    </w:rPr>
  </w:style>
  <w:style w:type="character" w:customStyle="1" w:styleId="57">
    <w:name w:val="标题 2 Char"/>
    <w:basedOn w:val="49"/>
    <w:link w:val="3"/>
    <w:qFormat/>
    <w:locked/>
    <w:uiPriority w:val="99"/>
    <w:rPr>
      <w:rFonts w:ascii="黑体" w:hAnsi="黑体" w:eastAsia="黑体" w:cs="黑体"/>
      <w:sz w:val="56"/>
      <w:szCs w:val="42"/>
      <w:lang w:val="zh-CN" w:eastAsia="zh-CN" w:bidi="zh-CN"/>
    </w:rPr>
  </w:style>
  <w:style w:type="character" w:customStyle="1" w:styleId="58">
    <w:name w:val="标题 3 Char"/>
    <w:basedOn w:val="49"/>
    <w:link w:val="4"/>
    <w:qFormat/>
    <w:locked/>
    <w:uiPriority w:val="99"/>
    <w:rPr>
      <w:rFonts w:ascii="黑体" w:hAnsi="黑体" w:eastAsia="黑体" w:cs="黑体"/>
      <w:sz w:val="40"/>
      <w:szCs w:val="40"/>
      <w:lang w:val="zh-CN" w:eastAsia="zh-CN" w:bidi="zh-CN"/>
    </w:rPr>
  </w:style>
  <w:style w:type="character" w:customStyle="1" w:styleId="59">
    <w:name w:val="标题 4 Char"/>
    <w:basedOn w:val="49"/>
    <w:link w:val="5"/>
    <w:qFormat/>
    <w:locked/>
    <w:uiPriority w:val="99"/>
    <w:rPr>
      <w:rFonts w:ascii="宋体" w:hAnsi="宋体" w:eastAsia="宋体" w:cs="宋体"/>
      <w:b/>
      <w:bCs/>
      <w:sz w:val="38"/>
      <w:szCs w:val="38"/>
      <w:lang w:val="zh-CN" w:eastAsia="zh-CN" w:bidi="zh-CN"/>
    </w:rPr>
  </w:style>
  <w:style w:type="character" w:customStyle="1" w:styleId="60">
    <w:name w:val="标题 5 Char"/>
    <w:basedOn w:val="49"/>
    <w:link w:val="7"/>
    <w:qFormat/>
    <w:locked/>
    <w:uiPriority w:val="99"/>
    <w:rPr>
      <w:rFonts w:ascii="黑体" w:hAnsi="黑体" w:eastAsia="黑体" w:cs="黑体"/>
      <w:sz w:val="36"/>
      <w:szCs w:val="36"/>
      <w:lang w:val="zh-CN" w:eastAsia="zh-CN" w:bidi="zh-CN"/>
    </w:rPr>
  </w:style>
  <w:style w:type="character" w:customStyle="1" w:styleId="61">
    <w:name w:val="标题 6 Char"/>
    <w:basedOn w:val="49"/>
    <w:link w:val="8"/>
    <w:qFormat/>
    <w:locked/>
    <w:uiPriority w:val="99"/>
    <w:rPr>
      <w:rFonts w:ascii="黑体" w:hAnsi="黑体" w:eastAsia="黑体" w:cs="黑体"/>
      <w:sz w:val="32"/>
      <w:szCs w:val="32"/>
      <w:lang w:val="zh-CN" w:eastAsia="zh-CN" w:bidi="zh-CN"/>
    </w:rPr>
  </w:style>
  <w:style w:type="character" w:customStyle="1" w:styleId="62">
    <w:name w:val="标题 7 Char"/>
    <w:basedOn w:val="49"/>
    <w:link w:val="9"/>
    <w:qFormat/>
    <w:locked/>
    <w:uiPriority w:val="99"/>
    <w:rPr>
      <w:rFonts w:ascii="黑体" w:hAnsi="黑体" w:eastAsia="黑体" w:cs="黑体"/>
      <w:sz w:val="31"/>
      <w:szCs w:val="31"/>
      <w:u w:val="single" w:color="000000"/>
      <w:lang w:val="zh-CN" w:eastAsia="zh-CN" w:bidi="zh-CN"/>
    </w:rPr>
  </w:style>
  <w:style w:type="character" w:customStyle="1" w:styleId="63">
    <w:name w:val="标题 8 Char"/>
    <w:basedOn w:val="49"/>
    <w:link w:val="10"/>
    <w:qFormat/>
    <w:locked/>
    <w:uiPriority w:val="99"/>
    <w:rPr>
      <w:rFonts w:ascii="黑体" w:hAnsi="黑体" w:eastAsia="黑体" w:cs="黑体"/>
      <w:b/>
      <w:bCs/>
      <w:sz w:val="30"/>
      <w:szCs w:val="30"/>
      <w:lang w:val="zh-CN" w:eastAsia="zh-CN" w:bidi="zh-CN"/>
    </w:rPr>
  </w:style>
  <w:style w:type="character" w:customStyle="1" w:styleId="64">
    <w:name w:val="标题 9 Char"/>
    <w:basedOn w:val="49"/>
    <w:link w:val="11"/>
    <w:qFormat/>
    <w:locked/>
    <w:uiPriority w:val="99"/>
    <w:rPr>
      <w:rFonts w:ascii="黑体" w:hAnsi="黑体" w:eastAsia="黑体" w:cs="黑体"/>
      <w:sz w:val="30"/>
      <w:szCs w:val="30"/>
      <w:lang w:val="zh-CN" w:eastAsia="zh-CN" w:bidi="zh-CN"/>
    </w:rPr>
  </w:style>
  <w:style w:type="character" w:customStyle="1" w:styleId="65">
    <w:name w:val="文档结构图 Char"/>
    <w:basedOn w:val="49"/>
    <w:link w:val="16"/>
    <w:qFormat/>
    <w:uiPriority w:val="99"/>
    <w:rPr>
      <w:rFonts w:ascii="Times New Roman" w:hAnsi="Times New Roman" w:eastAsia="宋体" w:cs="Times New Roman"/>
      <w:kern w:val="2"/>
      <w:sz w:val="21"/>
      <w:szCs w:val="24"/>
      <w:shd w:val="clear" w:color="auto" w:fill="000080"/>
      <w:lang w:eastAsia="zh-CN"/>
    </w:rPr>
  </w:style>
  <w:style w:type="character" w:customStyle="1" w:styleId="66">
    <w:name w:val="批注文字 Char"/>
    <w:basedOn w:val="49"/>
    <w:link w:val="17"/>
    <w:qFormat/>
    <w:uiPriority w:val="99"/>
    <w:rPr>
      <w:rFonts w:ascii="Times New Roman" w:hAnsi="Times New Roman" w:eastAsia="宋体" w:cs="Times New Roman"/>
      <w:kern w:val="2"/>
      <w:sz w:val="21"/>
      <w:szCs w:val="24"/>
      <w:lang w:eastAsia="zh-CN"/>
    </w:rPr>
  </w:style>
  <w:style w:type="character" w:customStyle="1" w:styleId="67">
    <w:name w:val="正文文本 3 Char"/>
    <w:basedOn w:val="49"/>
    <w:link w:val="18"/>
    <w:qFormat/>
    <w:uiPriority w:val="99"/>
    <w:rPr>
      <w:rFonts w:ascii="宋体" w:hAnsi="Times New Roman" w:eastAsia="宋体" w:cs="Times New Roman"/>
      <w:kern w:val="2"/>
      <w:sz w:val="24"/>
      <w:szCs w:val="20"/>
      <w:lang w:eastAsia="zh-CN"/>
    </w:rPr>
  </w:style>
  <w:style w:type="character" w:customStyle="1" w:styleId="68">
    <w:name w:val="正文文本 Char"/>
    <w:basedOn w:val="49"/>
    <w:link w:val="20"/>
    <w:qFormat/>
    <w:locked/>
    <w:uiPriority w:val="1"/>
    <w:rPr>
      <w:rFonts w:ascii="宋体" w:hAnsi="宋体" w:eastAsia="宋体" w:cs="宋体"/>
      <w:sz w:val="24"/>
      <w:szCs w:val="24"/>
      <w:lang w:val="zh-CN" w:eastAsia="zh-CN" w:bidi="zh-CN"/>
    </w:rPr>
  </w:style>
  <w:style w:type="character" w:customStyle="1" w:styleId="69">
    <w:name w:val="正文文本缩进 Char"/>
    <w:basedOn w:val="49"/>
    <w:link w:val="21"/>
    <w:qFormat/>
    <w:uiPriority w:val="0"/>
    <w:rPr>
      <w:rFonts w:ascii="Times New Roman" w:hAnsi="Times New Roman" w:eastAsia="宋体" w:cs="Times New Roman"/>
      <w:kern w:val="2"/>
      <w:sz w:val="21"/>
      <w:szCs w:val="24"/>
      <w:lang w:eastAsia="zh-CN"/>
    </w:rPr>
  </w:style>
  <w:style w:type="character" w:customStyle="1" w:styleId="70">
    <w:name w:val="纯文本 Char"/>
    <w:basedOn w:val="49"/>
    <w:link w:val="25"/>
    <w:qFormat/>
    <w:uiPriority w:val="0"/>
    <w:rPr>
      <w:rFonts w:ascii="宋体" w:hAnsi="Courier New" w:eastAsia="宋体" w:cs="Times New Roman"/>
      <w:color w:val="000000"/>
      <w:kern w:val="2"/>
      <w:sz w:val="21"/>
      <w:szCs w:val="20"/>
      <w:lang w:eastAsia="zh-CN"/>
    </w:rPr>
  </w:style>
  <w:style w:type="character" w:customStyle="1" w:styleId="71">
    <w:name w:val="日期 Char"/>
    <w:basedOn w:val="49"/>
    <w:link w:val="28"/>
    <w:qFormat/>
    <w:uiPriority w:val="99"/>
    <w:rPr>
      <w:rFonts w:ascii="Times New Roman" w:hAnsi="Times New Roman" w:eastAsia="宋体" w:cs="Times New Roman"/>
      <w:kern w:val="2"/>
      <w:sz w:val="21"/>
      <w:szCs w:val="24"/>
      <w:lang w:eastAsia="zh-CN"/>
    </w:rPr>
  </w:style>
  <w:style w:type="character" w:customStyle="1" w:styleId="72">
    <w:name w:val="正文文本缩进 2 Char"/>
    <w:basedOn w:val="49"/>
    <w:link w:val="29"/>
    <w:qFormat/>
    <w:uiPriority w:val="99"/>
    <w:rPr>
      <w:rFonts w:ascii="仿宋_GB2312" w:hAnsi="Times New Roman" w:eastAsia="仿宋_GB2312" w:cs="Times New Roman"/>
      <w:kern w:val="2"/>
      <w:sz w:val="28"/>
      <w:szCs w:val="24"/>
      <w:lang w:eastAsia="zh-CN"/>
    </w:rPr>
  </w:style>
  <w:style w:type="character" w:customStyle="1" w:styleId="73">
    <w:name w:val="尾注文本 Char"/>
    <w:basedOn w:val="49"/>
    <w:link w:val="30"/>
    <w:qFormat/>
    <w:uiPriority w:val="99"/>
    <w:rPr>
      <w:rFonts w:ascii="Times New Roman" w:hAnsi="Times New Roman" w:eastAsia="宋体" w:cs="Times New Roman"/>
      <w:kern w:val="2"/>
      <w:sz w:val="21"/>
      <w:szCs w:val="24"/>
      <w:lang w:eastAsia="zh-CN"/>
    </w:rPr>
  </w:style>
  <w:style w:type="character" w:customStyle="1" w:styleId="74">
    <w:name w:val="批注框文本 Char"/>
    <w:basedOn w:val="49"/>
    <w:link w:val="31"/>
    <w:qFormat/>
    <w:uiPriority w:val="99"/>
    <w:rPr>
      <w:rFonts w:ascii="宋体" w:hAnsi="宋体" w:eastAsia="宋体" w:cs="宋体"/>
      <w:sz w:val="18"/>
      <w:szCs w:val="18"/>
      <w:lang w:val="zh-CN" w:eastAsia="zh-CN" w:bidi="zh-CN"/>
    </w:rPr>
  </w:style>
  <w:style w:type="character" w:customStyle="1" w:styleId="75">
    <w:name w:val="页脚 Char"/>
    <w:basedOn w:val="49"/>
    <w:link w:val="32"/>
    <w:qFormat/>
    <w:uiPriority w:val="99"/>
    <w:rPr>
      <w:rFonts w:ascii="宋体" w:hAnsi="宋体" w:eastAsia="宋体" w:cs="宋体"/>
      <w:sz w:val="18"/>
      <w:szCs w:val="18"/>
      <w:lang w:val="zh-CN" w:eastAsia="zh-CN" w:bidi="zh-CN"/>
    </w:rPr>
  </w:style>
  <w:style w:type="character" w:customStyle="1" w:styleId="76">
    <w:name w:val="页眉 Char"/>
    <w:basedOn w:val="49"/>
    <w:link w:val="33"/>
    <w:qFormat/>
    <w:uiPriority w:val="99"/>
    <w:rPr>
      <w:rFonts w:ascii="宋体" w:hAnsi="宋体" w:eastAsia="宋体" w:cs="宋体"/>
      <w:sz w:val="18"/>
      <w:szCs w:val="18"/>
      <w:lang w:val="zh-CN" w:bidi="zh-CN"/>
    </w:rPr>
  </w:style>
  <w:style w:type="character" w:customStyle="1" w:styleId="77">
    <w:name w:val="目录 1 Char"/>
    <w:basedOn w:val="49"/>
    <w:link w:val="34"/>
    <w:qFormat/>
    <w:uiPriority w:val="1"/>
    <w:rPr>
      <w:rFonts w:ascii="黑体" w:hAnsi="黑体" w:eastAsia="黑体" w:cs="黑体"/>
      <w:lang w:val="zh-CN" w:bidi="zh-CN"/>
    </w:rPr>
  </w:style>
  <w:style w:type="character" w:customStyle="1" w:styleId="78">
    <w:name w:val="脚注文本 Char"/>
    <w:basedOn w:val="49"/>
    <w:link w:val="36"/>
    <w:qFormat/>
    <w:uiPriority w:val="0"/>
    <w:rPr>
      <w:rFonts w:ascii="Times New Roman" w:hAnsi="Times New Roman" w:eastAsia="宋体" w:cs="Times New Roman"/>
      <w:kern w:val="2"/>
      <w:sz w:val="18"/>
      <w:szCs w:val="18"/>
      <w:lang w:eastAsia="zh-CN"/>
    </w:rPr>
  </w:style>
  <w:style w:type="character" w:customStyle="1" w:styleId="79">
    <w:name w:val="正文文本缩进 3 Char"/>
    <w:basedOn w:val="49"/>
    <w:link w:val="38"/>
    <w:qFormat/>
    <w:uiPriority w:val="99"/>
    <w:rPr>
      <w:rFonts w:ascii="Times New Roman" w:hAnsi="Times New Roman" w:eastAsia="宋体" w:cs="Times New Roman"/>
      <w:kern w:val="2"/>
      <w:sz w:val="16"/>
      <w:szCs w:val="16"/>
      <w:lang w:eastAsia="zh-CN"/>
    </w:rPr>
  </w:style>
  <w:style w:type="character" w:customStyle="1" w:styleId="80">
    <w:name w:val="正文文本 2 Char"/>
    <w:basedOn w:val="49"/>
    <w:link w:val="41"/>
    <w:qFormat/>
    <w:uiPriority w:val="99"/>
    <w:rPr>
      <w:rFonts w:ascii="宋体" w:hAnsi="宋体" w:eastAsia="宋体" w:cs="Times New Roman"/>
      <w:kern w:val="2"/>
      <w:sz w:val="28"/>
      <w:szCs w:val="24"/>
      <w:lang w:eastAsia="zh-CN"/>
    </w:rPr>
  </w:style>
  <w:style w:type="character" w:customStyle="1" w:styleId="81">
    <w:name w:val="HTML 预设格式 Char"/>
    <w:basedOn w:val="49"/>
    <w:link w:val="42"/>
    <w:qFormat/>
    <w:uiPriority w:val="99"/>
    <w:rPr>
      <w:rFonts w:ascii="宋体" w:hAnsi="宋体" w:eastAsia="宋体" w:cs="宋体"/>
      <w:sz w:val="24"/>
      <w:szCs w:val="24"/>
      <w:lang w:eastAsia="zh-CN"/>
    </w:rPr>
  </w:style>
  <w:style w:type="character" w:customStyle="1" w:styleId="82">
    <w:name w:val="标题 Char"/>
    <w:basedOn w:val="49"/>
    <w:link w:val="44"/>
    <w:qFormat/>
    <w:uiPriority w:val="99"/>
    <w:rPr>
      <w:rFonts w:ascii="Arial" w:hAnsi="Arial" w:eastAsia="宋体" w:cs="Times New Roman"/>
      <w:b/>
      <w:sz w:val="32"/>
      <w:szCs w:val="20"/>
      <w:lang w:eastAsia="zh-CN"/>
    </w:rPr>
  </w:style>
  <w:style w:type="character" w:customStyle="1" w:styleId="83">
    <w:name w:val="批注主题 Char"/>
    <w:basedOn w:val="66"/>
    <w:link w:val="45"/>
    <w:semiHidden/>
    <w:qFormat/>
    <w:uiPriority w:val="99"/>
    <w:rPr>
      <w:rFonts w:ascii="Times New Roman" w:hAnsi="Times New Roman" w:eastAsia="宋体" w:cs="Times New Roman"/>
      <w:b/>
      <w:bCs/>
      <w:kern w:val="2"/>
      <w:sz w:val="21"/>
      <w:szCs w:val="24"/>
      <w:lang w:eastAsia="zh-CN"/>
    </w:rPr>
  </w:style>
  <w:style w:type="character" w:customStyle="1" w:styleId="84">
    <w:name w:val="正文首行缩进 2 Char"/>
    <w:basedOn w:val="69"/>
    <w:link w:val="46"/>
    <w:qFormat/>
    <w:uiPriority w:val="99"/>
    <w:rPr>
      <w:rFonts w:ascii="Times New Roman" w:hAnsi="Times New Roman" w:eastAsia="宋体" w:cs="Times New Roman"/>
      <w:kern w:val="2"/>
      <w:sz w:val="21"/>
      <w:szCs w:val="24"/>
      <w:lang w:eastAsia="zh-CN"/>
    </w:rPr>
  </w:style>
  <w:style w:type="table" w:customStyle="1" w:styleId="85">
    <w:name w:val="Table Normal"/>
    <w:unhideWhenUsed/>
    <w:qFormat/>
    <w:uiPriority w:val="2"/>
    <w:tblPr>
      <w:tblCellMar>
        <w:top w:w="0" w:type="dxa"/>
        <w:left w:w="0" w:type="dxa"/>
        <w:bottom w:w="0" w:type="dxa"/>
        <w:right w:w="0" w:type="dxa"/>
      </w:tblCellMar>
    </w:tblPr>
  </w:style>
  <w:style w:type="paragraph" w:styleId="86">
    <w:name w:val="List Paragraph"/>
    <w:basedOn w:val="1"/>
    <w:qFormat/>
    <w:uiPriority w:val="1"/>
    <w:pPr>
      <w:ind w:left="424" w:firstLine="480"/>
    </w:pPr>
  </w:style>
  <w:style w:type="paragraph" w:customStyle="1" w:styleId="87">
    <w:name w:val="Table Paragraph"/>
    <w:basedOn w:val="1"/>
    <w:qFormat/>
    <w:uiPriority w:val="1"/>
  </w:style>
  <w:style w:type="paragraph" w:customStyle="1" w:styleId="88">
    <w:name w:val="TOC Heading1"/>
    <w:basedOn w:val="2"/>
    <w:next w:val="1"/>
    <w:qFormat/>
    <w:uiPriority w:val="99"/>
    <w:pPr>
      <w:keepNext/>
      <w:keepLines/>
      <w:widowControl/>
      <w:autoSpaceDE/>
      <w:autoSpaceDN/>
      <w:spacing w:before="480" w:line="276" w:lineRule="auto"/>
      <w:outlineLvl w:val="9"/>
    </w:pPr>
    <w:rPr>
      <w:rFonts w:ascii="Cambria" w:hAnsi="Cambria" w:eastAsia="宋体" w:cs="Times New Roman"/>
      <w:b/>
      <w:bCs/>
      <w:color w:val="365F91"/>
      <w:sz w:val="28"/>
      <w:szCs w:val="28"/>
      <w:lang w:val="en-US" w:bidi="ar-SA"/>
    </w:rPr>
  </w:style>
  <w:style w:type="paragraph" w:customStyle="1" w:styleId="89">
    <w:name w:val="样式 标题 3 + (中文) 黑体 小四 非加粗 段前: 7.8 磅 段后: 0 磅 行距: 固定值 20 磅"/>
    <w:basedOn w:val="4"/>
    <w:link w:val="90"/>
    <w:qFormat/>
    <w:uiPriority w:val="99"/>
    <w:pPr>
      <w:keepNext/>
      <w:keepLines/>
      <w:autoSpaceDE/>
      <w:autoSpaceDN/>
      <w:spacing w:before="0" w:line="400" w:lineRule="exact"/>
      <w:ind w:left="0"/>
      <w:jc w:val="both"/>
    </w:pPr>
    <w:rPr>
      <w:rFonts w:ascii="Times New Roman" w:hAnsi="Times New Roman" w:cs="Times New Roman"/>
      <w:kern w:val="2"/>
      <w:sz w:val="24"/>
      <w:szCs w:val="20"/>
      <w:lang w:val="en-US" w:bidi="ar-SA"/>
    </w:rPr>
  </w:style>
  <w:style w:type="character" w:customStyle="1" w:styleId="90">
    <w:name w:val="样式 标题 3 + (中文) 黑体 小四 非加粗 段前: 7.8 磅 段后: 0 磅 行距: 固定值 20 磅 Char"/>
    <w:link w:val="89"/>
    <w:qFormat/>
    <w:locked/>
    <w:uiPriority w:val="99"/>
    <w:rPr>
      <w:rFonts w:ascii="Times New Roman" w:hAnsi="Times New Roman" w:eastAsia="黑体" w:cs="Times New Roman"/>
      <w:kern w:val="2"/>
      <w:sz w:val="24"/>
      <w:szCs w:val="20"/>
      <w:lang w:eastAsia="zh-CN"/>
    </w:rPr>
  </w:style>
  <w:style w:type="paragraph" w:customStyle="1" w:styleId="91">
    <w:name w:val="样式 标题 2 + Times New Roman 四号 非加粗 段前: 5 磅 段后: 0 磅 行距: 固定值 20..."/>
    <w:basedOn w:val="3"/>
    <w:qFormat/>
    <w:uiPriority w:val="0"/>
    <w:pPr>
      <w:keepNext/>
      <w:keepLines/>
      <w:autoSpaceDE/>
      <w:autoSpaceDN/>
      <w:spacing w:before="100" w:line="400" w:lineRule="exact"/>
      <w:ind w:left="0"/>
      <w:jc w:val="both"/>
    </w:pPr>
    <w:rPr>
      <w:rFonts w:ascii="Times New Roman" w:hAnsi="Times New Roman" w:cs="宋体"/>
      <w:kern w:val="2"/>
      <w:sz w:val="28"/>
      <w:szCs w:val="20"/>
      <w:lang w:val="en-US" w:bidi="ar-SA"/>
    </w:rPr>
  </w:style>
  <w:style w:type="paragraph" w:customStyle="1" w:styleId="92">
    <w:name w:val="样式 标题 1 + 黑体 三号 非加粗 居中 段前: 6 磅 段后: 6 磅 行距: 固定值 20 磅"/>
    <w:basedOn w:val="2"/>
    <w:qFormat/>
    <w:uiPriority w:val="99"/>
    <w:pPr>
      <w:keepNext/>
      <w:keepLines/>
      <w:autoSpaceDE/>
      <w:autoSpaceDN/>
      <w:spacing w:before="120" w:after="120" w:line="400" w:lineRule="exact"/>
      <w:jc w:val="center"/>
    </w:pPr>
    <w:rPr>
      <w:rFonts w:cs="宋体"/>
      <w:kern w:val="44"/>
      <w:sz w:val="32"/>
      <w:szCs w:val="20"/>
      <w:lang w:val="en-US" w:bidi="ar-SA"/>
    </w:rPr>
  </w:style>
  <w:style w:type="paragraph" w:customStyle="1" w:styleId="93">
    <w:name w:val="1"/>
    <w:basedOn w:val="1"/>
    <w:qFormat/>
    <w:uiPriority w:val="99"/>
    <w:pPr>
      <w:autoSpaceDE/>
      <w:autoSpaceDN/>
      <w:jc w:val="both"/>
    </w:pPr>
    <w:rPr>
      <w:rFonts w:ascii="Times New Roman" w:hAnsi="Times New Roman" w:cs="Times New Roman"/>
      <w:kern w:val="2"/>
      <w:sz w:val="21"/>
      <w:szCs w:val="24"/>
      <w:lang w:val="en-US" w:bidi="ar-SA"/>
    </w:rPr>
  </w:style>
  <w:style w:type="paragraph" w:customStyle="1" w:styleId="94">
    <w:name w:val="6'"/>
    <w:basedOn w:val="1"/>
    <w:qFormat/>
    <w:uiPriority w:val="99"/>
    <w:pPr>
      <w:adjustRightInd w:val="0"/>
      <w:snapToGrid w:val="0"/>
      <w:spacing w:line="320" w:lineRule="exact"/>
      <w:jc w:val="center"/>
      <w:textAlignment w:val="baseline"/>
    </w:pPr>
    <w:rPr>
      <w:rFonts w:ascii="Times New Roman" w:hAnsi="Times New Roman" w:cs="Times New Roman"/>
      <w:spacing w:val="20"/>
      <w:kern w:val="28"/>
      <w:sz w:val="21"/>
      <w:szCs w:val="20"/>
      <w:lang w:val="en-US" w:bidi="ar-SA"/>
    </w:rPr>
  </w:style>
  <w:style w:type="paragraph" w:customStyle="1" w:styleId="95">
    <w:name w:val="表格"/>
    <w:basedOn w:val="1"/>
    <w:qFormat/>
    <w:uiPriority w:val="99"/>
    <w:pPr>
      <w:autoSpaceDE/>
      <w:autoSpaceDN/>
      <w:jc w:val="center"/>
      <w:textAlignment w:val="center"/>
    </w:pPr>
    <w:rPr>
      <w:rFonts w:ascii="华文细黑" w:hAnsi="华文细黑" w:cs="Times New Roman"/>
      <w:sz w:val="21"/>
      <w:szCs w:val="20"/>
      <w:lang w:val="en-US" w:bidi="ar-SA"/>
    </w:rPr>
  </w:style>
  <w:style w:type="paragraph" w:customStyle="1" w:styleId="96">
    <w:name w:val="表格文字"/>
    <w:basedOn w:val="1"/>
    <w:qFormat/>
    <w:uiPriority w:val="99"/>
    <w:pPr>
      <w:autoSpaceDE/>
      <w:autoSpaceDN/>
      <w:adjustRightInd w:val="0"/>
      <w:spacing w:line="420" w:lineRule="atLeast"/>
      <w:textAlignment w:val="baseline"/>
    </w:pPr>
    <w:rPr>
      <w:rFonts w:ascii="Times New Roman" w:hAnsi="Times New Roman" w:cs="Times New Roman"/>
      <w:sz w:val="21"/>
      <w:szCs w:val="20"/>
      <w:lang w:val="en-US" w:bidi="ar-SA"/>
    </w:rPr>
  </w:style>
  <w:style w:type="paragraph" w:customStyle="1" w:styleId="97">
    <w:name w:val="表格文字居中"/>
    <w:basedOn w:val="1"/>
    <w:next w:val="1"/>
    <w:qFormat/>
    <w:uiPriority w:val="99"/>
    <w:pPr>
      <w:tabs>
        <w:tab w:val="left" w:pos="720"/>
        <w:tab w:val="left" w:pos="900"/>
      </w:tabs>
      <w:autoSpaceDE/>
      <w:autoSpaceDN/>
      <w:adjustRightInd w:val="0"/>
      <w:snapToGrid w:val="0"/>
      <w:spacing w:beforeLines="20" w:afterLines="20" w:line="360" w:lineRule="auto"/>
      <w:jc w:val="center"/>
    </w:pPr>
    <w:rPr>
      <w:rFonts w:hAnsi="Arial" w:cs="Times New Roman"/>
      <w:sz w:val="18"/>
      <w:szCs w:val="20"/>
      <w:lang w:val="en-US" w:bidi="ar-SA"/>
    </w:rPr>
  </w:style>
  <w:style w:type="paragraph" w:customStyle="1" w:styleId="98">
    <w:name w:val="Char Char Char Char Char Char Char Char Char Char Char Char Char Char Char Char"/>
    <w:basedOn w:val="1"/>
    <w:qFormat/>
    <w:uiPriority w:val="99"/>
    <w:pPr>
      <w:autoSpaceDE/>
      <w:autoSpaceDN/>
      <w:jc w:val="both"/>
    </w:pPr>
    <w:rPr>
      <w:rFonts w:ascii="Times New Roman" w:hAnsi="Times New Roman" w:cs="Times New Roman"/>
      <w:kern w:val="2"/>
      <w:sz w:val="21"/>
      <w:szCs w:val="24"/>
      <w:lang w:val="en-US" w:bidi="ar-SA"/>
    </w:rPr>
  </w:style>
  <w:style w:type="paragraph" w:customStyle="1" w:styleId="99">
    <w:name w:val="Char Char Char Char Char Char Char Char Char Char Char Char Char Char Char Char1"/>
    <w:basedOn w:val="1"/>
    <w:qFormat/>
    <w:uiPriority w:val="99"/>
    <w:pPr>
      <w:autoSpaceDE/>
      <w:autoSpaceDN/>
      <w:jc w:val="both"/>
    </w:pPr>
    <w:rPr>
      <w:rFonts w:ascii="Times New Roman" w:hAnsi="Times New Roman" w:cs="Times New Roman"/>
      <w:kern w:val="2"/>
      <w:sz w:val="21"/>
      <w:szCs w:val="24"/>
      <w:lang w:val="en-US" w:bidi="ar-SA"/>
    </w:rPr>
  </w:style>
  <w:style w:type="paragraph" w:customStyle="1" w:styleId="100">
    <w:name w:val="font5"/>
    <w:basedOn w:val="1"/>
    <w:qFormat/>
    <w:uiPriority w:val="99"/>
    <w:pPr>
      <w:widowControl/>
      <w:autoSpaceDE/>
      <w:autoSpaceDN/>
      <w:spacing w:before="100" w:beforeAutospacing="1" w:after="100" w:afterAutospacing="1"/>
    </w:pPr>
    <w:rPr>
      <w:sz w:val="24"/>
      <w:szCs w:val="24"/>
      <w:lang w:val="en-US" w:bidi="ar-SA"/>
    </w:rPr>
  </w:style>
  <w:style w:type="paragraph" w:customStyle="1" w:styleId="101">
    <w:name w:val="font6"/>
    <w:basedOn w:val="1"/>
    <w:qFormat/>
    <w:uiPriority w:val="99"/>
    <w:pPr>
      <w:widowControl/>
      <w:autoSpaceDE/>
      <w:autoSpaceDN/>
      <w:spacing w:before="100" w:beforeAutospacing="1" w:after="100" w:afterAutospacing="1"/>
    </w:pPr>
    <w:rPr>
      <w:sz w:val="18"/>
      <w:szCs w:val="18"/>
      <w:lang w:val="en-US" w:bidi="ar-SA"/>
    </w:rPr>
  </w:style>
  <w:style w:type="paragraph" w:customStyle="1" w:styleId="102">
    <w:name w:val="font7"/>
    <w:basedOn w:val="1"/>
    <w:qFormat/>
    <w:uiPriority w:val="99"/>
    <w:pPr>
      <w:widowControl/>
      <w:autoSpaceDE/>
      <w:autoSpaceDN/>
      <w:spacing w:before="100" w:beforeAutospacing="1" w:after="100" w:afterAutospacing="1"/>
    </w:pPr>
    <w:rPr>
      <w:sz w:val="28"/>
      <w:szCs w:val="28"/>
      <w:lang w:val="en-US" w:bidi="ar-SA"/>
    </w:rPr>
  </w:style>
  <w:style w:type="paragraph" w:customStyle="1" w:styleId="103">
    <w:name w:val="font8"/>
    <w:basedOn w:val="1"/>
    <w:qFormat/>
    <w:uiPriority w:val="99"/>
    <w:pPr>
      <w:widowControl/>
      <w:autoSpaceDE/>
      <w:autoSpaceDN/>
      <w:spacing w:before="100" w:beforeAutospacing="1" w:after="100" w:afterAutospacing="1"/>
    </w:pPr>
    <w:rPr>
      <w:rFonts w:ascii="Times New Roman" w:hAnsi="Times New Roman" w:cs="Times New Roman"/>
      <w:sz w:val="28"/>
      <w:szCs w:val="28"/>
      <w:lang w:val="en-US" w:bidi="ar-SA"/>
    </w:rPr>
  </w:style>
  <w:style w:type="paragraph" w:customStyle="1" w:styleId="104">
    <w:name w:val="font9"/>
    <w:basedOn w:val="1"/>
    <w:qFormat/>
    <w:uiPriority w:val="99"/>
    <w:pPr>
      <w:widowControl/>
      <w:autoSpaceDE/>
      <w:autoSpaceDN/>
      <w:spacing w:before="100" w:beforeAutospacing="1" w:after="100" w:afterAutospacing="1"/>
    </w:pPr>
    <w:rPr>
      <w:rFonts w:ascii="Times New Roman" w:hAnsi="Times New Roman" w:cs="Times New Roman"/>
      <w:sz w:val="24"/>
      <w:szCs w:val="24"/>
      <w:lang w:val="en-US" w:bidi="ar-SA"/>
    </w:rPr>
  </w:style>
  <w:style w:type="paragraph" w:customStyle="1" w:styleId="105">
    <w:name w:val="font10"/>
    <w:basedOn w:val="1"/>
    <w:qFormat/>
    <w:uiPriority w:val="99"/>
    <w:pPr>
      <w:widowControl/>
      <w:autoSpaceDE/>
      <w:autoSpaceDN/>
      <w:spacing w:before="100" w:beforeAutospacing="1" w:after="100" w:afterAutospacing="1"/>
    </w:pPr>
    <w:rPr>
      <w:color w:val="000000"/>
      <w:sz w:val="24"/>
      <w:szCs w:val="24"/>
      <w:lang w:val="en-US" w:bidi="ar-SA"/>
    </w:rPr>
  </w:style>
  <w:style w:type="paragraph" w:customStyle="1" w:styleId="106">
    <w:name w:val="font11"/>
    <w:basedOn w:val="1"/>
    <w:qFormat/>
    <w:uiPriority w:val="99"/>
    <w:pPr>
      <w:widowControl/>
      <w:autoSpaceDE/>
      <w:autoSpaceDN/>
      <w:spacing w:before="100" w:beforeAutospacing="1" w:after="100" w:afterAutospacing="1"/>
    </w:pPr>
    <w:rPr>
      <w:color w:val="000000"/>
      <w:sz w:val="24"/>
      <w:szCs w:val="24"/>
      <w:lang w:val="en-US" w:bidi="ar-SA"/>
    </w:rPr>
  </w:style>
  <w:style w:type="paragraph" w:customStyle="1" w:styleId="107">
    <w:name w:val="font12"/>
    <w:basedOn w:val="1"/>
    <w:qFormat/>
    <w:uiPriority w:val="99"/>
    <w:pPr>
      <w:widowControl/>
      <w:autoSpaceDE/>
      <w:autoSpaceDN/>
      <w:spacing w:before="100" w:beforeAutospacing="1" w:after="100" w:afterAutospacing="1"/>
    </w:pPr>
    <w:rPr>
      <w:color w:val="000000"/>
      <w:sz w:val="28"/>
      <w:szCs w:val="28"/>
      <w:lang w:val="en-US" w:bidi="ar-SA"/>
    </w:rPr>
  </w:style>
  <w:style w:type="paragraph" w:customStyle="1" w:styleId="108">
    <w:name w:val="font13"/>
    <w:basedOn w:val="1"/>
    <w:qFormat/>
    <w:uiPriority w:val="99"/>
    <w:pPr>
      <w:widowControl/>
      <w:autoSpaceDE/>
      <w:autoSpaceDN/>
      <w:spacing w:before="100" w:beforeAutospacing="1" w:after="100" w:afterAutospacing="1"/>
    </w:pPr>
    <w:rPr>
      <w:rFonts w:ascii="Times New Roman" w:hAnsi="Times New Roman" w:cs="Times New Roman"/>
      <w:color w:val="000000"/>
      <w:sz w:val="28"/>
      <w:szCs w:val="28"/>
      <w:lang w:val="en-US" w:bidi="ar-SA"/>
    </w:rPr>
  </w:style>
  <w:style w:type="paragraph" w:customStyle="1" w:styleId="109">
    <w:name w:val="font14"/>
    <w:basedOn w:val="1"/>
    <w:qFormat/>
    <w:uiPriority w:val="99"/>
    <w:pPr>
      <w:widowControl/>
      <w:autoSpaceDE/>
      <w:autoSpaceDN/>
      <w:spacing w:before="100" w:beforeAutospacing="1" w:after="100" w:afterAutospacing="1"/>
    </w:pPr>
    <w:rPr>
      <w:rFonts w:ascii="Times New Roman" w:hAnsi="Times New Roman" w:cs="Times New Roman"/>
      <w:color w:val="000000"/>
      <w:sz w:val="24"/>
      <w:szCs w:val="24"/>
      <w:lang w:val="en-US" w:bidi="ar-SA"/>
    </w:rPr>
  </w:style>
  <w:style w:type="paragraph" w:customStyle="1" w:styleId="110">
    <w:name w:val="font15"/>
    <w:basedOn w:val="1"/>
    <w:qFormat/>
    <w:uiPriority w:val="99"/>
    <w:pPr>
      <w:widowControl/>
      <w:autoSpaceDE/>
      <w:autoSpaceDN/>
      <w:spacing w:before="100" w:beforeAutospacing="1" w:after="100" w:afterAutospacing="1"/>
    </w:pPr>
    <w:rPr>
      <w:sz w:val="24"/>
      <w:szCs w:val="24"/>
      <w:lang w:val="en-US" w:bidi="ar-SA"/>
    </w:rPr>
  </w:style>
  <w:style w:type="paragraph" w:customStyle="1" w:styleId="111">
    <w:name w:val="xl22"/>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4"/>
      <w:szCs w:val="24"/>
      <w:lang w:val="en-US" w:bidi="ar-SA"/>
    </w:rPr>
  </w:style>
  <w:style w:type="paragraph" w:customStyle="1" w:styleId="112">
    <w:name w:val="xl23"/>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24"/>
      <w:szCs w:val="24"/>
      <w:lang w:val="en-US" w:bidi="ar-SA"/>
    </w:rPr>
  </w:style>
  <w:style w:type="paragraph" w:customStyle="1" w:styleId="113">
    <w:name w:val="xl24"/>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4"/>
      <w:szCs w:val="24"/>
      <w:lang w:val="en-US" w:bidi="ar-SA"/>
    </w:rPr>
  </w:style>
  <w:style w:type="paragraph" w:customStyle="1" w:styleId="114">
    <w:name w:val="xl25"/>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24"/>
      <w:szCs w:val="24"/>
      <w:lang w:val="en-US" w:bidi="ar-SA"/>
    </w:rPr>
  </w:style>
  <w:style w:type="paragraph" w:customStyle="1" w:styleId="115">
    <w:name w:val="xl26"/>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sz w:val="24"/>
      <w:szCs w:val="24"/>
      <w:lang w:val="en-US" w:bidi="ar-SA"/>
    </w:rPr>
  </w:style>
  <w:style w:type="paragraph" w:customStyle="1" w:styleId="116">
    <w:name w:val="xl27"/>
    <w:basedOn w:val="1"/>
    <w:qFormat/>
    <w:uiPriority w:val="99"/>
    <w:pPr>
      <w:widowControl/>
      <w:pBdr>
        <w:top w:val="single" w:color="auto" w:sz="4" w:space="0"/>
        <w:left w:val="single" w:color="auto" w:sz="4" w:space="0"/>
        <w:right w:val="single" w:color="auto" w:sz="4" w:space="0"/>
      </w:pBdr>
      <w:autoSpaceDE/>
      <w:autoSpaceDN/>
      <w:spacing w:before="100" w:beforeAutospacing="1" w:after="100" w:afterAutospacing="1"/>
    </w:pPr>
    <w:rPr>
      <w:sz w:val="24"/>
      <w:szCs w:val="24"/>
      <w:lang w:val="en-US" w:bidi="ar-SA"/>
    </w:rPr>
  </w:style>
  <w:style w:type="paragraph" w:customStyle="1" w:styleId="117">
    <w:name w:val="xl28"/>
    <w:basedOn w:val="1"/>
    <w:qFormat/>
    <w:uiPriority w:val="99"/>
    <w:pPr>
      <w:widowControl/>
      <w:pBdr>
        <w:top w:val="single" w:color="auto" w:sz="4" w:space="0"/>
        <w:left w:val="single" w:color="auto" w:sz="4" w:space="0"/>
        <w:right w:val="single" w:color="auto" w:sz="4" w:space="0"/>
      </w:pBdr>
      <w:autoSpaceDE/>
      <w:autoSpaceDN/>
      <w:spacing w:before="100" w:beforeAutospacing="1" w:after="100" w:afterAutospacing="1"/>
      <w:jc w:val="center"/>
    </w:pPr>
    <w:rPr>
      <w:sz w:val="24"/>
      <w:szCs w:val="24"/>
      <w:lang w:val="en-US" w:bidi="ar-SA"/>
    </w:rPr>
  </w:style>
  <w:style w:type="paragraph" w:customStyle="1" w:styleId="118">
    <w:name w:val="xl29"/>
    <w:basedOn w:val="1"/>
    <w:qFormat/>
    <w:uiPriority w:val="99"/>
    <w:pPr>
      <w:widowControl/>
      <w:autoSpaceDE/>
      <w:autoSpaceDN/>
      <w:spacing w:before="100" w:beforeAutospacing="1" w:after="100" w:afterAutospacing="1"/>
      <w:jc w:val="center"/>
    </w:pPr>
    <w:rPr>
      <w:sz w:val="24"/>
      <w:szCs w:val="24"/>
      <w:lang w:val="en-US" w:bidi="ar-SA"/>
    </w:rPr>
  </w:style>
  <w:style w:type="paragraph" w:customStyle="1" w:styleId="119">
    <w:name w:val="xl30"/>
    <w:basedOn w:val="1"/>
    <w:qFormat/>
    <w:uiPriority w:val="99"/>
    <w:pPr>
      <w:widowControl/>
      <w:pBdr>
        <w:top w:val="single" w:color="auto" w:sz="4" w:space="0"/>
        <w:bottom w:val="single" w:color="auto" w:sz="4" w:space="0"/>
        <w:right w:val="single" w:color="auto" w:sz="4" w:space="0"/>
      </w:pBdr>
      <w:autoSpaceDE/>
      <w:autoSpaceDN/>
      <w:spacing w:before="100" w:beforeAutospacing="1" w:after="100" w:afterAutospacing="1"/>
      <w:jc w:val="center"/>
    </w:pPr>
    <w:rPr>
      <w:sz w:val="24"/>
      <w:szCs w:val="24"/>
      <w:lang w:val="en-US" w:bidi="ar-SA"/>
    </w:rPr>
  </w:style>
  <w:style w:type="paragraph" w:customStyle="1" w:styleId="120">
    <w:name w:val="xl31"/>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4"/>
      <w:szCs w:val="24"/>
      <w:lang w:val="en-US" w:bidi="ar-SA"/>
    </w:rPr>
  </w:style>
  <w:style w:type="paragraph" w:customStyle="1" w:styleId="121">
    <w:name w:val="xl32"/>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4"/>
      <w:szCs w:val="24"/>
      <w:lang w:val="en-US" w:bidi="ar-SA"/>
    </w:rPr>
  </w:style>
  <w:style w:type="paragraph" w:customStyle="1" w:styleId="122">
    <w:name w:val="xl33"/>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4"/>
      <w:szCs w:val="24"/>
      <w:lang w:val="en-US" w:bidi="ar-SA"/>
    </w:rPr>
  </w:style>
  <w:style w:type="paragraph" w:customStyle="1" w:styleId="123">
    <w:name w:val="xl34"/>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4"/>
      <w:szCs w:val="24"/>
      <w:lang w:val="en-US" w:bidi="ar-SA"/>
    </w:rPr>
  </w:style>
  <w:style w:type="paragraph" w:customStyle="1" w:styleId="124">
    <w:name w:val="xl35"/>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24"/>
      <w:szCs w:val="24"/>
      <w:lang w:val="en-US" w:bidi="ar-SA"/>
    </w:rPr>
  </w:style>
  <w:style w:type="paragraph" w:customStyle="1" w:styleId="125">
    <w:name w:val="xl36"/>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color w:val="000000"/>
      <w:sz w:val="24"/>
      <w:szCs w:val="24"/>
      <w:lang w:val="en-US" w:bidi="ar-SA"/>
    </w:rPr>
  </w:style>
  <w:style w:type="paragraph" w:customStyle="1" w:styleId="126">
    <w:name w:val="xl37"/>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color w:val="000000"/>
      <w:sz w:val="24"/>
      <w:szCs w:val="24"/>
      <w:lang w:val="en-US" w:bidi="ar-SA"/>
    </w:rPr>
  </w:style>
  <w:style w:type="paragraph" w:customStyle="1" w:styleId="127">
    <w:name w:val="xl38"/>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color w:val="000000"/>
      <w:sz w:val="24"/>
      <w:szCs w:val="24"/>
      <w:lang w:val="en-US" w:bidi="ar-SA"/>
    </w:rPr>
  </w:style>
  <w:style w:type="paragraph" w:customStyle="1" w:styleId="128">
    <w:name w:val="xl39"/>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color w:val="000000"/>
      <w:sz w:val="24"/>
      <w:szCs w:val="24"/>
      <w:lang w:val="en-US" w:bidi="ar-SA"/>
    </w:rPr>
  </w:style>
  <w:style w:type="paragraph" w:customStyle="1" w:styleId="129">
    <w:name w:val="xl40"/>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color w:val="000000"/>
      <w:sz w:val="24"/>
      <w:szCs w:val="24"/>
      <w:lang w:val="en-US" w:bidi="ar-SA"/>
    </w:rPr>
  </w:style>
  <w:style w:type="paragraph" w:customStyle="1" w:styleId="130">
    <w:name w:val="xl41"/>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color w:val="000000"/>
      <w:sz w:val="24"/>
      <w:szCs w:val="24"/>
      <w:lang w:val="en-US" w:bidi="ar-SA"/>
    </w:rPr>
  </w:style>
  <w:style w:type="paragraph" w:customStyle="1" w:styleId="131">
    <w:name w:val="xl42"/>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color w:val="000000"/>
      <w:sz w:val="24"/>
      <w:szCs w:val="24"/>
      <w:lang w:val="en-US" w:bidi="ar-SA"/>
    </w:rPr>
  </w:style>
  <w:style w:type="paragraph" w:customStyle="1" w:styleId="132">
    <w:name w:val="xl43"/>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color w:val="000000"/>
      <w:sz w:val="24"/>
      <w:szCs w:val="24"/>
      <w:lang w:val="en-US" w:bidi="ar-SA"/>
    </w:rPr>
  </w:style>
  <w:style w:type="paragraph" w:customStyle="1" w:styleId="133">
    <w:name w:val="xl44"/>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color w:val="000000"/>
      <w:sz w:val="24"/>
      <w:szCs w:val="24"/>
      <w:lang w:val="en-US" w:bidi="ar-SA"/>
    </w:rPr>
  </w:style>
  <w:style w:type="paragraph" w:customStyle="1" w:styleId="134">
    <w:name w:val="xl45"/>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color w:val="000000"/>
      <w:sz w:val="24"/>
      <w:szCs w:val="24"/>
      <w:lang w:val="en-US" w:bidi="ar-SA"/>
    </w:rPr>
  </w:style>
  <w:style w:type="paragraph" w:customStyle="1" w:styleId="135">
    <w:name w:val="xl46"/>
    <w:basedOn w:val="1"/>
    <w:qFormat/>
    <w:uiPriority w:val="99"/>
    <w:pPr>
      <w:widowControl/>
      <w:pBdr>
        <w:top w:val="single" w:color="auto" w:sz="4" w:space="0"/>
        <w:bottom w:val="single" w:color="auto" w:sz="4" w:space="0"/>
        <w:right w:val="single" w:color="auto" w:sz="4" w:space="0"/>
      </w:pBdr>
      <w:autoSpaceDE/>
      <w:autoSpaceDN/>
      <w:spacing w:before="100" w:beforeAutospacing="1" w:after="100" w:afterAutospacing="1"/>
      <w:jc w:val="center"/>
    </w:pPr>
    <w:rPr>
      <w:color w:val="000000"/>
      <w:sz w:val="24"/>
      <w:szCs w:val="24"/>
      <w:lang w:val="en-US" w:bidi="ar-SA"/>
    </w:rPr>
  </w:style>
  <w:style w:type="paragraph" w:customStyle="1" w:styleId="136">
    <w:name w:val="xl47"/>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color w:val="000000"/>
      <w:sz w:val="24"/>
      <w:szCs w:val="24"/>
      <w:lang w:val="en-US" w:bidi="ar-SA"/>
    </w:rPr>
  </w:style>
  <w:style w:type="paragraph" w:customStyle="1" w:styleId="137">
    <w:name w:val="xl48"/>
    <w:basedOn w:val="1"/>
    <w:qFormat/>
    <w:uiPriority w:val="99"/>
    <w:pPr>
      <w:widowControl/>
      <w:pBdr>
        <w:top w:val="single" w:color="auto" w:sz="4" w:space="0"/>
        <w:left w:val="single" w:color="auto" w:sz="4" w:space="0"/>
        <w:right w:val="single" w:color="auto" w:sz="4" w:space="0"/>
      </w:pBdr>
      <w:autoSpaceDE/>
      <w:autoSpaceDN/>
      <w:spacing w:before="100" w:beforeAutospacing="1" w:after="100" w:afterAutospacing="1"/>
    </w:pPr>
    <w:rPr>
      <w:color w:val="000000"/>
      <w:sz w:val="24"/>
      <w:szCs w:val="24"/>
      <w:lang w:val="en-US" w:bidi="ar-SA"/>
    </w:rPr>
  </w:style>
  <w:style w:type="paragraph" w:customStyle="1" w:styleId="138">
    <w:name w:val="xl49"/>
    <w:basedOn w:val="1"/>
    <w:qFormat/>
    <w:uiPriority w:val="99"/>
    <w:pPr>
      <w:widowControl/>
      <w:pBdr>
        <w:top w:val="single" w:color="auto" w:sz="4" w:space="0"/>
        <w:left w:val="single" w:color="auto" w:sz="4" w:space="0"/>
        <w:right w:val="single" w:color="auto" w:sz="4" w:space="0"/>
      </w:pBdr>
      <w:autoSpaceDE/>
      <w:autoSpaceDN/>
      <w:spacing w:before="100" w:beforeAutospacing="1" w:after="100" w:afterAutospacing="1"/>
      <w:jc w:val="center"/>
    </w:pPr>
    <w:rPr>
      <w:color w:val="000000"/>
      <w:sz w:val="24"/>
      <w:szCs w:val="24"/>
      <w:lang w:val="en-US" w:bidi="ar-SA"/>
    </w:rPr>
  </w:style>
  <w:style w:type="paragraph" w:customStyle="1" w:styleId="139">
    <w:name w:val="xl50"/>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4"/>
      <w:szCs w:val="24"/>
      <w:lang w:val="en-US" w:bidi="ar-SA"/>
    </w:rPr>
  </w:style>
  <w:style w:type="paragraph" w:customStyle="1" w:styleId="140">
    <w:name w:val="xl51"/>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color w:val="FF0000"/>
      <w:sz w:val="24"/>
      <w:szCs w:val="24"/>
      <w:lang w:val="en-US" w:bidi="ar-SA"/>
    </w:rPr>
  </w:style>
  <w:style w:type="paragraph" w:customStyle="1" w:styleId="141">
    <w:name w:val="xl52"/>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color w:val="FF0000"/>
      <w:sz w:val="24"/>
      <w:szCs w:val="24"/>
      <w:lang w:val="en-US" w:bidi="ar-SA"/>
    </w:rPr>
  </w:style>
  <w:style w:type="paragraph" w:customStyle="1" w:styleId="142">
    <w:name w:val="xl53"/>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color w:val="FF0000"/>
      <w:sz w:val="24"/>
      <w:szCs w:val="24"/>
      <w:lang w:val="en-US" w:bidi="ar-SA"/>
    </w:rPr>
  </w:style>
  <w:style w:type="paragraph" w:customStyle="1" w:styleId="143">
    <w:name w:val="xl54"/>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color w:val="0000FF"/>
      <w:sz w:val="24"/>
      <w:szCs w:val="24"/>
      <w:lang w:val="en-US" w:bidi="ar-SA"/>
    </w:rPr>
  </w:style>
  <w:style w:type="paragraph" w:customStyle="1" w:styleId="144">
    <w:name w:val="xl55"/>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color w:val="0000FF"/>
      <w:sz w:val="24"/>
      <w:szCs w:val="24"/>
      <w:lang w:val="en-US" w:bidi="ar-SA"/>
    </w:rPr>
  </w:style>
  <w:style w:type="paragraph" w:customStyle="1" w:styleId="145">
    <w:name w:val="xl56"/>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color w:val="0000FF"/>
      <w:sz w:val="24"/>
      <w:szCs w:val="24"/>
      <w:lang w:val="en-US" w:bidi="ar-SA"/>
    </w:rPr>
  </w:style>
  <w:style w:type="paragraph" w:customStyle="1" w:styleId="146">
    <w:name w:val="xl57"/>
    <w:basedOn w:val="1"/>
    <w:qFormat/>
    <w:uiPriority w:val="99"/>
    <w:pPr>
      <w:widowControl/>
      <w:autoSpaceDE/>
      <w:autoSpaceDN/>
      <w:spacing w:before="100" w:beforeAutospacing="1" w:after="100" w:afterAutospacing="1"/>
      <w:jc w:val="center"/>
    </w:pPr>
    <w:rPr>
      <w:color w:val="000000"/>
      <w:sz w:val="44"/>
      <w:szCs w:val="44"/>
      <w:lang w:val="en-US" w:bidi="ar-SA"/>
    </w:rPr>
  </w:style>
  <w:style w:type="paragraph" w:customStyle="1" w:styleId="147">
    <w:name w:val="xl58"/>
    <w:basedOn w:val="1"/>
    <w:qFormat/>
    <w:uiPriority w:val="99"/>
    <w:pPr>
      <w:widowControl/>
      <w:autoSpaceDE/>
      <w:autoSpaceDN/>
      <w:spacing w:before="100" w:beforeAutospacing="1" w:after="100" w:afterAutospacing="1"/>
    </w:pPr>
    <w:rPr>
      <w:color w:val="000000"/>
      <w:sz w:val="24"/>
      <w:szCs w:val="24"/>
      <w:lang w:val="en-US" w:bidi="ar-SA"/>
    </w:rPr>
  </w:style>
  <w:style w:type="paragraph" w:customStyle="1" w:styleId="148">
    <w:name w:val="xl59"/>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color w:val="000000"/>
      <w:sz w:val="28"/>
      <w:szCs w:val="28"/>
      <w:lang w:val="en-US" w:bidi="ar-SA"/>
    </w:rPr>
  </w:style>
  <w:style w:type="paragraph" w:customStyle="1" w:styleId="149">
    <w:name w:val="xl60"/>
    <w:basedOn w:val="1"/>
    <w:qFormat/>
    <w:uiPriority w:val="99"/>
    <w:pPr>
      <w:widowControl/>
      <w:pBdr>
        <w:top w:val="single" w:color="auto" w:sz="4" w:space="0"/>
        <w:left w:val="single" w:color="auto" w:sz="4" w:space="0"/>
        <w:bottom w:val="single" w:color="auto" w:sz="4" w:space="0"/>
      </w:pBdr>
      <w:autoSpaceDE/>
      <w:autoSpaceDN/>
      <w:spacing w:before="100" w:beforeAutospacing="1" w:after="100" w:afterAutospacing="1"/>
      <w:jc w:val="right"/>
    </w:pPr>
    <w:rPr>
      <w:color w:val="000000"/>
      <w:sz w:val="24"/>
      <w:szCs w:val="24"/>
      <w:lang w:val="en-US" w:bidi="ar-SA"/>
    </w:rPr>
  </w:style>
  <w:style w:type="paragraph" w:customStyle="1" w:styleId="150">
    <w:name w:val="xl61"/>
    <w:basedOn w:val="1"/>
    <w:qFormat/>
    <w:uiPriority w:val="99"/>
    <w:pPr>
      <w:widowControl/>
      <w:pBdr>
        <w:top w:val="single" w:color="auto" w:sz="4" w:space="0"/>
        <w:bottom w:val="single" w:color="auto" w:sz="4" w:space="0"/>
      </w:pBdr>
      <w:autoSpaceDE/>
      <w:autoSpaceDN/>
      <w:spacing w:before="100" w:beforeAutospacing="1" w:after="100" w:afterAutospacing="1"/>
      <w:jc w:val="right"/>
    </w:pPr>
    <w:rPr>
      <w:color w:val="000000"/>
      <w:sz w:val="24"/>
      <w:szCs w:val="24"/>
      <w:lang w:val="en-US" w:bidi="ar-SA"/>
    </w:rPr>
  </w:style>
  <w:style w:type="paragraph" w:customStyle="1" w:styleId="151">
    <w:name w:val="xl62"/>
    <w:basedOn w:val="1"/>
    <w:qFormat/>
    <w:uiPriority w:val="99"/>
    <w:pPr>
      <w:widowControl/>
      <w:pBdr>
        <w:top w:val="single" w:color="auto" w:sz="4" w:space="0"/>
        <w:bottom w:val="single" w:color="auto" w:sz="4" w:space="0"/>
      </w:pBdr>
      <w:autoSpaceDE/>
      <w:autoSpaceDN/>
      <w:spacing w:before="100" w:beforeAutospacing="1" w:after="100" w:afterAutospacing="1"/>
      <w:jc w:val="center"/>
    </w:pPr>
    <w:rPr>
      <w:color w:val="000000"/>
      <w:sz w:val="24"/>
      <w:szCs w:val="24"/>
      <w:lang w:val="en-US" w:bidi="ar-SA"/>
    </w:rPr>
  </w:style>
  <w:style w:type="paragraph" w:customStyle="1" w:styleId="152">
    <w:name w:val="xl63"/>
    <w:basedOn w:val="1"/>
    <w:qFormat/>
    <w:uiPriority w:val="99"/>
    <w:pPr>
      <w:widowControl/>
      <w:pBdr>
        <w:bottom w:val="single" w:color="auto" w:sz="4" w:space="0"/>
      </w:pBdr>
      <w:autoSpaceDE/>
      <w:autoSpaceDN/>
      <w:spacing w:before="100" w:beforeAutospacing="1" w:after="100" w:afterAutospacing="1"/>
    </w:pPr>
    <w:rPr>
      <w:color w:val="000000"/>
      <w:sz w:val="24"/>
      <w:szCs w:val="24"/>
      <w:lang w:val="en-US" w:bidi="ar-SA"/>
    </w:rPr>
  </w:style>
  <w:style w:type="paragraph" w:customStyle="1" w:styleId="153">
    <w:name w:val="xl64"/>
    <w:basedOn w:val="1"/>
    <w:qFormat/>
    <w:uiPriority w:val="99"/>
    <w:pPr>
      <w:widowControl/>
      <w:pBdr>
        <w:top w:val="single" w:color="auto" w:sz="4" w:space="0"/>
        <w:bottom w:val="single" w:color="auto" w:sz="4" w:space="0"/>
      </w:pBdr>
      <w:autoSpaceDE/>
      <w:autoSpaceDN/>
      <w:spacing w:before="100" w:beforeAutospacing="1" w:after="100" w:afterAutospacing="1"/>
      <w:jc w:val="center"/>
    </w:pPr>
    <w:rPr>
      <w:color w:val="000000"/>
      <w:sz w:val="24"/>
      <w:szCs w:val="24"/>
      <w:lang w:val="en-US" w:bidi="ar-SA"/>
    </w:rPr>
  </w:style>
  <w:style w:type="paragraph" w:customStyle="1" w:styleId="154">
    <w:name w:val="xl65"/>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8"/>
      <w:szCs w:val="28"/>
      <w:lang w:val="en-US" w:bidi="ar-SA"/>
    </w:rPr>
  </w:style>
  <w:style w:type="paragraph" w:customStyle="1" w:styleId="155">
    <w:name w:val="xl66"/>
    <w:basedOn w:val="1"/>
    <w:qFormat/>
    <w:uiPriority w:val="99"/>
    <w:pPr>
      <w:widowControl/>
      <w:pBdr>
        <w:top w:val="single" w:color="auto" w:sz="4" w:space="0"/>
        <w:left w:val="single" w:color="auto" w:sz="4" w:space="0"/>
        <w:bottom w:val="single" w:color="auto" w:sz="4" w:space="0"/>
      </w:pBdr>
      <w:autoSpaceDE/>
      <w:autoSpaceDN/>
      <w:spacing w:before="100" w:beforeAutospacing="1" w:after="100" w:afterAutospacing="1"/>
      <w:jc w:val="right"/>
    </w:pPr>
    <w:rPr>
      <w:sz w:val="24"/>
      <w:szCs w:val="24"/>
      <w:lang w:val="en-US" w:bidi="ar-SA"/>
    </w:rPr>
  </w:style>
  <w:style w:type="paragraph" w:customStyle="1" w:styleId="156">
    <w:name w:val="xl67"/>
    <w:basedOn w:val="1"/>
    <w:qFormat/>
    <w:uiPriority w:val="99"/>
    <w:pPr>
      <w:widowControl/>
      <w:pBdr>
        <w:top w:val="single" w:color="auto" w:sz="4" w:space="0"/>
        <w:bottom w:val="single" w:color="auto" w:sz="4" w:space="0"/>
      </w:pBdr>
      <w:autoSpaceDE/>
      <w:autoSpaceDN/>
      <w:spacing w:before="100" w:beforeAutospacing="1" w:after="100" w:afterAutospacing="1"/>
      <w:jc w:val="right"/>
    </w:pPr>
    <w:rPr>
      <w:sz w:val="24"/>
      <w:szCs w:val="24"/>
      <w:lang w:val="en-US" w:bidi="ar-SA"/>
    </w:rPr>
  </w:style>
  <w:style w:type="paragraph" w:customStyle="1" w:styleId="157">
    <w:name w:val="xl68"/>
    <w:basedOn w:val="1"/>
    <w:qFormat/>
    <w:uiPriority w:val="99"/>
    <w:pPr>
      <w:widowControl/>
      <w:pBdr>
        <w:top w:val="single" w:color="auto" w:sz="4" w:space="0"/>
        <w:bottom w:val="single" w:color="auto" w:sz="4" w:space="0"/>
      </w:pBdr>
      <w:autoSpaceDE/>
      <w:autoSpaceDN/>
      <w:spacing w:before="100" w:beforeAutospacing="1" w:after="100" w:afterAutospacing="1"/>
      <w:jc w:val="center"/>
    </w:pPr>
    <w:rPr>
      <w:sz w:val="24"/>
      <w:szCs w:val="24"/>
      <w:lang w:val="en-US" w:bidi="ar-SA"/>
    </w:rPr>
  </w:style>
  <w:style w:type="paragraph" w:customStyle="1" w:styleId="158">
    <w:name w:val="xl69"/>
    <w:basedOn w:val="1"/>
    <w:qFormat/>
    <w:uiPriority w:val="99"/>
    <w:pPr>
      <w:widowControl/>
      <w:autoSpaceDE/>
      <w:autoSpaceDN/>
      <w:spacing w:before="100" w:beforeAutospacing="1" w:after="100" w:afterAutospacing="1"/>
      <w:jc w:val="center"/>
    </w:pPr>
    <w:rPr>
      <w:sz w:val="44"/>
      <w:szCs w:val="44"/>
      <w:lang w:val="en-US" w:bidi="ar-SA"/>
    </w:rPr>
  </w:style>
  <w:style w:type="paragraph" w:customStyle="1" w:styleId="159">
    <w:name w:val="xl70"/>
    <w:basedOn w:val="1"/>
    <w:qFormat/>
    <w:uiPriority w:val="99"/>
    <w:pPr>
      <w:widowControl/>
      <w:pBdr>
        <w:top w:val="single" w:color="auto" w:sz="4" w:space="0"/>
        <w:bottom w:val="single" w:color="auto" w:sz="4" w:space="0"/>
      </w:pBdr>
      <w:autoSpaceDE/>
      <w:autoSpaceDN/>
      <w:spacing w:before="100" w:beforeAutospacing="1" w:after="100" w:afterAutospacing="1"/>
      <w:jc w:val="center"/>
    </w:pPr>
    <w:rPr>
      <w:sz w:val="24"/>
      <w:szCs w:val="24"/>
      <w:lang w:val="en-US" w:bidi="ar-SA"/>
    </w:rPr>
  </w:style>
  <w:style w:type="paragraph" w:customStyle="1" w:styleId="160">
    <w:name w:val="xl71"/>
    <w:basedOn w:val="1"/>
    <w:qFormat/>
    <w:uiPriority w:val="99"/>
    <w:pPr>
      <w:widowControl/>
      <w:pBdr>
        <w:bottom w:val="single" w:color="auto" w:sz="4" w:space="0"/>
      </w:pBdr>
      <w:autoSpaceDE/>
      <w:autoSpaceDN/>
      <w:spacing w:before="100" w:beforeAutospacing="1" w:after="100" w:afterAutospacing="1"/>
    </w:pPr>
    <w:rPr>
      <w:sz w:val="24"/>
      <w:szCs w:val="24"/>
      <w:lang w:val="en-US" w:bidi="ar-SA"/>
    </w:rPr>
  </w:style>
  <w:style w:type="paragraph" w:customStyle="1" w:styleId="161">
    <w:name w:val="xl72"/>
    <w:basedOn w:val="1"/>
    <w:qFormat/>
    <w:uiPriority w:val="99"/>
    <w:pPr>
      <w:widowControl/>
      <w:pBdr>
        <w:top w:val="single" w:color="auto" w:sz="4" w:space="0"/>
        <w:left w:val="single" w:color="auto" w:sz="4" w:space="0"/>
        <w:bottom w:val="single" w:color="auto" w:sz="4" w:space="0"/>
      </w:pBdr>
      <w:autoSpaceDE/>
      <w:autoSpaceDN/>
      <w:spacing w:before="100" w:beforeAutospacing="1" w:after="100" w:afterAutospacing="1"/>
      <w:jc w:val="center"/>
    </w:pPr>
    <w:rPr>
      <w:sz w:val="24"/>
      <w:szCs w:val="24"/>
      <w:lang w:val="en-US" w:bidi="ar-SA"/>
    </w:rPr>
  </w:style>
  <w:style w:type="paragraph" w:customStyle="1" w:styleId="162">
    <w:name w:val="xl73"/>
    <w:basedOn w:val="1"/>
    <w:qFormat/>
    <w:uiPriority w:val="99"/>
    <w:pPr>
      <w:widowControl/>
      <w:autoSpaceDE/>
      <w:autoSpaceDN/>
      <w:spacing w:before="100" w:beforeAutospacing="1" w:after="100" w:afterAutospacing="1"/>
      <w:jc w:val="center"/>
    </w:pPr>
    <w:rPr>
      <w:sz w:val="40"/>
      <w:szCs w:val="40"/>
      <w:lang w:val="en-US" w:bidi="ar-SA"/>
    </w:rPr>
  </w:style>
  <w:style w:type="paragraph" w:customStyle="1" w:styleId="163">
    <w:name w:val="xl74"/>
    <w:basedOn w:val="1"/>
    <w:qFormat/>
    <w:uiPriority w:val="99"/>
    <w:pPr>
      <w:widowControl/>
      <w:autoSpaceDE/>
      <w:autoSpaceDN/>
      <w:spacing w:before="100" w:beforeAutospacing="1" w:after="100" w:afterAutospacing="1"/>
    </w:pPr>
    <w:rPr>
      <w:sz w:val="24"/>
      <w:szCs w:val="24"/>
      <w:lang w:val="en-US" w:bidi="ar-SA"/>
    </w:rPr>
  </w:style>
  <w:style w:type="paragraph" w:customStyle="1" w:styleId="164">
    <w:name w:val="xl75"/>
    <w:basedOn w:val="1"/>
    <w:qFormat/>
    <w:uiPriority w:val="99"/>
    <w:pPr>
      <w:widowControl/>
      <w:pBdr>
        <w:top w:val="single" w:color="auto" w:sz="4" w:space="0"/>
        <w:left w:val="single" w:color="auto" w:sz="4" w:space="0"/>
      </w:pBdr>
      <w:autoSpaceDE/>
      <w:autoSpaceDN/>
      <w:spacing w:before="100" w:beforeAutospacing="1" w:after="100" w:afterAutospacing="1"/>
      <w:jc w:val="center"/>
    </w:pPr>
    <w:rPr>
      <w:sz w:val="24"/>
      <w:szCs w:val="24"/>
      <w:lang w:val="en-US" w:bidi="ar-SA"/>
    </w:rPr>
  </w:style>
  <w:style w:type="paragraph" w:customStyle="1" w:styleId="165">
    <w:name w:val="xl76"/>
    <w:basedOn w:val="1"/>
    <w:qFormat/>
    <w:uiPriority w:val="99"/>
    <w:pPr>
      <w:widowControl/>
      <w:pBdr>
        <w:top w:val="single" w:color="auto" w:sz="4" w:space="0"/>
      </w:pBdr>
      <w:autoSpaceDE/>
      <w:autoSpaceDN/>
      <w:spacing w:before="100" w:beforeAutospacing="1" w:after="100" w:afterAutospacing="1"/>
      <w:jc w:val="center"/>
    </w:pPr>
    <w:rPr>
      <w:sz w:val="24"/>
      <w:szCs w:val="24"/>
      <w:lang w:val="en-US" w:bidi="ar-SA"/>
    </w:rPr>
  </w:style>
  <w:style w:type="paragraph" w:customStyle="1" w:styleId="166">
    <w:name w:val="xl77"/>
    <w:basedOn w:val="1"/>
    <w:qFormat/>
    <w:uiPriority w:val="99"/>
    <w:pPr>
      <w:widowControl/>
      <w:pBdr>
        <w:top w:val="single" w:color="auto" w:sz="4" w:space="0"/>
        <w:right w:val="single" w:color="auto" w:sz="4" w:space="0"/>
      </w:pBdr>
      <w:autoSpaceDE/>
      <w:autoSpaceDN/>
      <w:spacing w:before="100" w:beforeAutospacing="1" w:after="100" w:afterAutospacing="1"/>
      <w:jc w:val="center"/>
    </w:pPr>
    <w:rPr>
      <w:sz w:val="24"/>
      <w:szCs w:val="24"/>
      <w:lang w:val="en-US" w:bidi="ar-SA"/>
    </w:rPr>
  </w:style>
  <w:style w:type="paragraph" w:customStyle="1" w:styleId="167">
    <w:name w:val="Char Char Char Char Char Char Char Char Char Char Char Char Char Char Char Char2"/>
    <w:basedOn w:val="1"/>
    <w:qFormat/>
    <w:uiPriority w:val="99"/>
    <w:pPr>
      <w:autoSpaceDE/>
      <w:autoSpaceDN/>
      <w:jc w:val="both"/>
    </w:pPr>
    <w:rPr>
      <w:rFonts w:ascii="Times New Roman" w:hAnsi="Times New Roman" w:cs="Times New Roman"/>
      <w:kern w:val="2"/>
      <w:sz w:val="21"/>
      <w:szCs w:val="24"/>
      <w:lang w:val="en-US" w:bidi="ar-SA"/>
    </w:rPr>
  </w:style>
  <w:style w:type="paragraph" w:customStyle="1" w:styleId="168">
    <w:name w:val="Char Char Char Char Char Char Char Char Char Char Char Char Char Char Char Char3"/>
    <w:basedOn w:val="1"/>
    <w:qFormat/>
    <w:uiPriority w:val="99"/>
    <w:pPr>
      <w:autoSpaceDE/>
      <w:autoSpaceDN/>
      <w:jc w:val="both"/>
    </w:pPr>
    <w:rPr>
      <w:rFonts w:ascii="Times New Roman" w:hAnsi="Times New Roman" w:cs="Times New Roman"/>
      <w:kern w:val="2"/>
      <w:sz w:val="21"/>
      <w:szCs w:val="24"/>
      <w:lang w:val="en-US" w:bidi="ar-SA"/>
    </w:rPr>
  </w:style>
  <w:style w:type="paragraph" w:customStyle="1" w:styleId="169">
    <w:name w:val="Char Char Char Char Char Char Char Char Char Char Char Char Char Char Char Char4"/>
    <w:basedOn w:val="1"/>
    <w:qFormat/>
    <w:uiPriority w:val="99"/>
    <w:pPr>
      <w:autoSpaceDE/>
      <w:autoSpaceDN/>
      <w:jc w:val="both"/>
    </w:pPr>
    <w:rPr>
      <w:rFonts w:ascii="Times New Roman" w:hAnsi="Times New Roman" w:cs="Times New Roman"/>
      <w:kern w:val="2"/>
      <w:sz w:val="21"/>
      <w:szCs w:val="24"/>
      <w:lang w:val="en-US" w:bidi="ar-SA"/>
    </w:rPr>
  </w:style>
  <w:style w:type="character" w:customStyle="1" w:styleId="170">
    <w:name w:val="font161"/>
    <w:basedOn w:val="49"/>
    <w:qFormat/>
    <w:uiPriority w:val="99"/>
    <w:rPr>
      <w:rFonts w:cs="Times New Roman"/>
      <w:b/>
      <w:bCs/>
      <w:sz w:val="32"/>
      <w:szCs w:val="32"/>
    </w:rPr>
  </w:style>
  <w:style w:type="paragraph" w:customStyle="1" w:styleId="171">
    <w:name w:val="TOC 标题1"/>
    <w:basedOn w:val="2"/>
    <w:next w:val="1"/>
    <w:qFormat/>
    <w:uiPriority w:val="39"/>
    <w:pPr>
      <w:keepNext/>
      <w:keepLines/>
      <w:widowControl/>
      <w:autoSpaceDE/>
      <w:autoSpaceDN/>
      <w:spacing w:before="480" w:line="276" w:lineRule="auto"/>
      <w:outlineLvl w:val="9"/>
    </w:pPr>
    <w:rPr>
      <w:rFonts w:ascii="Cambria" w:hAnsi="Cambria" w:eastAsia="宋体" w:cs="Times New Roman"/>
      <w:b/>
      <w:bCs/>
      <w:color w:val="365F91"/>
      <w:sz w:val="28"/>
      <w:szCs w:val="28"/>
      <w:lang w:val="en-US" w:bidi="ar-SA"/>
    </w:rPr>
  </w:style>
  <w:style w:type="paragraph" w:customStyle="1" w:styleId="172">
    <w:name w:val="font0"/>
    <w:basedOn w:val="1"/>
    <w:qFormat/>
    <w:uiPriority w:val="99"/>
    <w:pPr>
      <w:widowControl/>
      <w:autoSpaceDE/>
      <w:autoSpaceDN/>
      <w:spacing w:before="100" w:beforeAutospacing="1" w:after="100" w:afterAutospacing="1"/>
    </w:pPr>
    <w:rPr>
      <w:sz w:val="24"/>
      <w:szCs w:val="24"/>
      <w:lang w:val="en-US" w:bidi="ar-SA"/>
    </w:rPr>
  </w:style>
  <w:style w:type="paragraph" w:customStyle="1" w:styleId="173">
    <w:name w:val="xl78"/>
    <w:basedOn w:val="1"/>
    <w:qFormat/>
    <w:uiPriority w:val="99"/>
    <w:pPr>
      <w:widowControl/>
      <w:pBdr>
        <w:top w:val="single" w:color="auto" w:sz="4" w:space="0"/>
        <w:bottom w:val="single" w:color="auto" w:sz="4" w:space="0"/>
        <w:right w:val="single" w:color="auto" w:sz="4" w:space="0"/>
      </w:pBdr>
      <w:autoSpaceDE/>
      <w:autoSpaceDN/>
      <w:spacing w:before="100" w:beforeAutospacing="1" w:after="100" w:afterAutospacing="1"/>
    </w:pPr>
    <w:rPr>
      <w:lang w:val="en-US" w:bidi="ar-SA"/>
    </w:rPr>
  </w:style>
  <w:style w:type="paragraph" w:customStyle="1" w:styleId="174">
    <w:name w:val="xl79"/>
    <w:basedOn w:val="1"/>
    <w:qFormat/>
    <w:uiPriority w:val="99"/>
    <w:pPr>
      <w:widowControl/>
      <w:pBdr>
        <w:top w:val="single" w:color="auto" w:sz="4" w:space="0"/>
        <w:left w:val="single" w:color="auto" w:sz="4" w:space="0"/>
        <w:right w:val="single" w:color="auto" w:sz="4" w:space="0"/>
      </w:pBdr>
      <w:autoSpaceDE/>
      <w:autoSpaceDN/>
      <w:spacing w:before="100" w:beforeAutospacing="1" w:after="100" w:afterAutospacing="1"/>
      <w:jc w:val="center"/>
    </w:pPr>
    <w:rPr>
      <w:lang w:val="en-US" w:bidi="ar-SA"/>
    </w:rPr>
  </w:style>
  <w:style w:type="paragraph" w:customStyle="1" w:styleId="175">
    <w:name w:val="xl80"/>
    <w:basedOn w:val="1"/>
    <w:qFormat/>
    <w:uiPriority w:val="99"/>
    <w:pPr>
      <w:widowControl/>
      <w:pBdr>
        <w:top w:val="single" w:color="auto" w:sz="4" w:space="0"/>
        <w:left w:val="single" w:color="auto" w:sz="4" w:space="0"/>
        <w:right w:val="single" w:color="auto" w:sz="4" w:space="0"/>
      </w:pBdr>
      <w:autoSpaceDE/>
      <w:autoSpaceDN/>
      <w:spacing w:before="100" w:beforeAutospacing="1" w:after="100" w:afterAutospacing="1"/>
    </w:pPr>
    <w:rPr>
      <w:lang w:val="en-US" w:bidi="ar-SA"/>
    </w:rPr>
  </w:style>
  <w:style w:type="paragraph" w:customStyle="1" w:styleId="176">
    <w:name w:val="xl82"/>
    <w:basedOn w:val="1"/>
    <w:qFormat/>
    <w:uiPriority w:val="99"/>
    <w:pPr>
      <w:widowControl/>
      <w:pBdr>
        <w:left w:val="single" w:color="auto" w:sz="4" w:space="0"/>
        <w:bottom w:val="single" w:color="000000" w:sz="4" w:space="0"/>
        <w:right w:val="single" w:color="000000" w:sz="4" w:space="0"/>
      </w:pBdr>
      <w:autoSpaceDE/>
      <w:autoSpaceDN/>
      <w:spacing w:before="100" w:beforeAutospacing="1" w:after="100" w:afterAutospacing="1"/>
      <w:jc w:val="center"/>
    </w:pPr>
    <w:rPr>
      <w:lang w:val="en-US" w:bidi="ar-SA"/>
    </w:rPr>
  </w:style>
  <w:style w:type="paragraph" w:customStyle="1" w:styleId="177">
    <w:name w:val="xl83"/>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lang w:val="en-US" w:bidi="ar-SA"/>
    </w:rPr>
  </w:style>
  <w:style w:type="paragraph" w:customStyle="1" w:styleId="178">
    <w:name w:val="xl84"/>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20"/>
      <w:szCs w:val="20"/>
      <w:lang w:val="en-US" w:bidi="ar-SA"/>
    </w:rPr>
  </w:style>
  <w:style w:type="paragraph" w:customStyle="1" w:styleId="179">
    <w:name w:val="xl85"/>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lang w:val="en-US" w:bidi="ar-SA"/>
    </w:rPr>
  </w:style>
  <w:style w:type="paragraph" w:customStyle="1" w:styleId="180">
    <w:name w:val="xl86"/>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bottom"/>
    </w:pPr>
    <w:rPr>
      <w:lang w:val="en-US" w:bidi="ar-SA"/>
    </w:rPr>
  </w:style>
  <w:style w:type="paragraph" w:customStyle="1" w:styleId="181">
    <w:name w:val="xl87"/>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b/>
      <w:bCs/>
      <w:sz w:val="24"/>
      <w:szCs w:val="24"/>
      <w:lang w:val="en-US" w:bidi="ar-SA"/>
    </w:rPr>
  </w:style>
  <w:style w:type="paragraph" w:customStyle="1" w:styleId="182">
    <w:name w:val="xl88"/>
    <w:basedOn w:val="1"/>
    <w:qFormat/>
    <w:uiPriority w:val="99"/>
    <w:pPr>
      <w:widowControl/>
      <w:autoSpaceDE/>
      <w:autoSpaceDN/>
      <w:spacing w:before="100" w:beforeAutospacing="1" w:after="100" w:afterAutospacing="1"/>
      <w:jc w:val="center"/>
    </w:pPr>
    <w:rPr>
      <w:sz w:val="36"/>
      <w:szCs w:val="36"/>
      <w:lang w:val="en-US" w:bidi="ar-SA"/>
    </w:rPr>
  </w:style>
  <w:style w:type="paragraph" w:customStyle="1" w:styleId="183">
    <w:name w:val="xl89"/>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lang w:val="en-US" w:bidi="ar-SA"/>
    </w:rPr>
  </w:style>
  <w:style w:type="paragraph" w:customStyle="1" w:styleId="184">
    <w:name w:val="xl90"/>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24"/>
      <w:szCs w:val="24"/>
      <w:lang w:val="en-US" w:bidi="ar-SA"/>
    </w:rPr>
  </w:style>
  <w:style w:type="paragraph" w:customStyle="1" w:styleId="185">
    <w:name w:val="xl91"/>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4"/>
      <w:szCs w:val="24"/>
      <w:lang w:val="en-US" w:bidi="ar-SA"/>
    </w:rPr>
  </w:style>
  <w:style w:type="paragraph" w:customStyle="1" w:styleId="186">
    <w:name w:val="xl92"/>
    <w:basedOn w:val="1"/>
    <w:qFormat/>
    <w:uiPriority w:val="99"/>
    <w:pPr>
      <w:widowControl/>
      <w:autoSpaceDE/>
      <w:autoSpaceDN/>
      <w:spacing w:before="100" w:beforeAutospacing="1" w:after="100" w:afterAutospacing="1"/>
      <w:jc w:val="center"/>
    </w:pPr>
    <w:rPr>
      <w:sz w:val="24"/>
      <w:szCs w:val="24"/>
      <w:lang w:val="en-US" w:bidi="ar-SA"/>
    </w:rPr>
  </w:style>
  <w:style w:type="paragraph" w:customStyle="1" w:styleId="187">
    <w:name w:val="xl93"/>
    <w:basedOn w:val="1"/>
    <w:qFormat/>
    <w:uiPriority w:val="99"/>
    <w:pPr>
      <w:widowControl/>
      <w:pBdr>
        <w:top w:val="single" w:color="auto" w:sz="4" w:space="0"/>
        <w:left w:val="single" w:color="auto" w:sz="4" w:space="0"/>
        <w:bottom w:val="single" w:color="auto" w:sz="4" w:space="0"/>
      </w:pBdr>
      <w:autoSpaceDE/>
      <w:autoSpaceDN/>
      <w:spacing w:before="100" w:beforeAutospacing="1" w:after="100" w:afterAutospacing="1"/>
      <w:jc w:val="center"/>
    </w:pPr>
    <w:rPr>
      <w:sz w:val="24"/>
      <w:szCs w:val="24"/>
      <w:lang w:val="en-US" w:bidi="ar-SA"/>
    </w:rPr>
  </w:style>
  <w:style w:type="paragraph" w:customStyle="1" w:styleId="188">
    <w:name w:val="xl94"/>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24"/>
      <w:szCs w:val="24"/>
      <w:lang w:val="en-US" w:bidi="ar-SA"/>
    </w:rPr>
  </w:style>
  <w:style w:type="paragraph" w:customStyle="1" w:styleId="189">
    <w:name w:val="xl95"/>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4"/>
      <w:szCs w:val="24"/>
      <w:lang w:val="en-US" w:bidi="ar-SA"/>
    </w:rPr>
  </w:style>
  <w:style w:type="paragraph" w:customStyle="1" w:styleId="190">
    <w:name w:val="xl96"/>
    <w:basedOn w:val="1"/>
    <w:qFormat/>
    <w:uiPriority w:val="99"/>
    <w:pPr>
      <w:widowControl/>
      <w:pBdr>
        <w:top w:val="single" w:color="auto" w:sz="4" w:space="0"/>
        <w:left w:val="single" w:color="auto" w:sz="4" w:space="0"/>
        <w:right w:val="single" w:color="auto" w:sz="4" w:space="0"/>
      </w:pBdr>
      <w:autoSpaceDE/>
      <w:autoSpaceDN/>
      <w:spacing w:before="100" w:beforeAutospacing="1" w:after="100" w:afterAutospacing="1"/>
      <w:jc w:val="center"/>
    </w:pPr>
    <w:rPr>
      <w:sz w:val="24"/>
      <w:szCs w:val="24"/>
      <w:lang w:val="en-US" w:bidi="ar-SA"/>
    </w:rPr>
  </w:style>
  <w:style w:type="paragraph" w:customStyle="1" w:styleId="191">
    <w:name w:val="xl97"/>
    <w:basedOn w:val="1"/>
    <w:qFormat/>
    <w:uiPriority w:val="99"/>
    <w:pPr>
      <w:widowControl/>
      <w:pBdr>
        <w:top w:val="single" w:color="auto" w:sz="4" w:space="0"/>
        <w:left w:val="single" w:color="auto" w:sz="4" w:space="0"/>
        <w:right w:val="single" w:color="auto" w:sz="4" w:space="0"/>
      </w:pBdr>
      <w:autoSpaceDE/>
      <w:autoSpaceDN/>
      <w:spacing w:before="100" w:beforeAutospacing="1" w:after="100" w:afterAutospacing="1"/>
      <w:jc w:val="center"/>
    </w:pPr>
    <w:rPr>
      <w:sz w:val="24"/>
      <w:szCs w:val="24"/>
      <w:lang w:val="en-US" w:bidi="ar-SA"/>
    </w:rPr>
  </w:style>
  <w:style w:type="paragraph" w:customStyle="1" w:styleId="192">
    <w:name w:val="xl98"/>
    <w:basedOn w:val="1"/>
    <w:qFormat/>
    <w:uiPriority w:val="99"/>
    <w:pPr>
      <w:widowControl/>
      <w:autoSpaceDE/>
      <w:autoSpaceDN/>
      <w:spacing w:before="100" w:beforeAutospacing="1" w:after="100" w:afterAutospacing="1"/>
      <w:jc w:val="center"/>
    </w:pPr>
    <w:rPr>
      <w:sz w:val="24"/>
      <w:szCs w:val="24"/>
      <w:lang w:val="en-US" w:bidi="ar-SA"/>
    </w:rPr>
  </w:style>
  <w:style w:type="paragraph" w:customStyle="1" w:styleId="193">
    <w:name w:val="xl99"/>
    <w:basedOn w:val="1"/>
    <w:qFormat/>
    <w:uiPriority w:val="99"/>
    <w:pPr>
      <w:widowControl/>
      <w:autoSpaceDE/>
      <w:autoSpaceDN/>
      <w:spacing w:before="100" w:beforeAutospacing="1" w:after="100" w:afterAutospacing="1"/>
      <w:jc w:val="right"/>
    </w:pPr>
    <w:rPr>
      <w:sz w:val="24"/>
      <w:szCs w:val="24"/>
      <w:lang w:val="en-US" w:bidi="ar-SA"/>
    </w:rPr>
  </w:style>
  <w:style w:type="paragraph" w:customStyle="1" w:styleId="194">
    <w:name w:val="xl100"/>
    <w:basedOn w:val="1"/>
    <w:qFormat/>
    <w:uiPriority w:val="99"/>
    <w:pPr>
      <w:widowControl/>
      <w:pBdr>
        <w:top w:val="single" w:color="auto" w:sz="4" w:space="0"/>
        <w:bottom w:val="single" w:color="auto" w:sz="4" w:space="0"/>
        <w:right w:val="single" w:color="auto" w:sz="4" w:space="0"/>
      </w:pBdr>
      <w:autoSpaceDE/>
      <w:autoSpaceDN/>
      <w:spacing w:before="100" w:beforeAutospacing="1" w:after="100" w:afterAutospacing="1"/>
    </w:pPr>
    <w:rPr>
      <w:sz w:val="24"/>
      <w:szCs w:val="24"/>
      <w:lang w:val="en-US" w:bidi="ar-SA"/>
    </w:rPr>
  </w:style>
  <w:style w:type="paragraph" w:customStyle="1" w:styleId="195">
    <w:name w:val="xl101"/>
    <w:basedOn w:val="1"/>
    <w:qFormat/>
    <w:uiPriority w:val="99"/>
    <w:pPr>
      <w:widowControl/>
      <w:pBdr>
        <w:top w:val="single" w:color="auto" w:sz="4" w:space="0"/>
        <w:left w:val="single" w:color="auto" w:sz="4" w:space="0"/>
        <w:right w:val="single" w:color="auto" w:sz="4" w:space="0"/>
      </w:pBdr>
      <w:autoSpaceDE/>
      <w:autoSpaceDN/>
      <w:spacing w:before="100" w:beforeAutospacing="1" w:after="100" w:afterAutospacing="1"/>
      <w:jc w:val="center"/>
    </w:pPr>
    <w:rPr>
      <w:sz w:val="24"/>
      <w:szCs w:val="24"/>
      <w:lang w:val="en-US" w:bidi="ar-SA"/>
    </w:rPr>
  </w:style>
  <w:style w:type="paragraph" w:customStyle="1" w:styleId="196">
    <w:name w:val="xl102"/>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bottom"/>
    </w:pPr>
    <w:rPr>
      <w:sz w:val="24"/>
      <w:szCs w:val="24"/>
      <w:lang w:val="en-US" w:bidi="ar-SA"/>
    </w:rPr>
  </w:style>
  <w:style w:type="paragraph" w:customStyle="1" w:styleId="197">
    <w:name w:val="xl103"/>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4"/>
      <w:szCs w:val="24"/>
      <w:lang w:val="en-US" w:bidi="ar-SA"/>
    </w:rPr>
  </w:style>
  <w:style w:type="paragraph" w:customStyle="1" w:styleId="198">
    <w:name w:val="xl104"/>
    <w:basedOn w:val="1"/>
    <w:qFormat/>
    <w:uiPriority w:val="99"/>
    <w:pPr>
      <w:widowControl/>
      <w:pBdr>
        <w:top w:val="single" w:color="auto" w:sz="4" w:space="0"/>
        <w:left w:val="single" w:color="auto" w:sz="4" w:space="0"/>
        <w:bottom w:val="single" w:color="auto" w:sz="4" w:space="0"/>
      </w:pBdr>
      <w:autoSpaceDE/>
      <w:autoSpaceDN/>
      <w:spacing w:before="100" w:beforeAutospacing="1" w:after="100" w:afterAutospacing="1"/>
    </w:pPr>
    <w:rPr>
      <w:lang w:val="en-US" w:bidi="ar-SA"/>
    </w:rPr>
  </w:style>
  <w:style w:type="paragraph" w:customStyle="1" w:styleId="199">
    <w:name w:val="xl105"/>
    <w:basedOn w:val="1"/>
    <w:qFormat/>
    <w:uiPriority w:val="99"/>
    <w:pPr>
      <w:widowControl/>
      <w:autoSpaceDE/>
      <w:autoSpaceDN/>
      <w:spacing w:before="100" w:beforeAutospacing="1" w:after="100" w:afterAutospacing="1"/>
      <w:jc w:val="right"/>
    </w:pPr>
    <w:rPr>
      <w:sz w:val="24"/>
      <w:szCs w:val="24"/>
      <w:lang w:val="en-US" w:bidi="ar-SA"/>
    </w:rPr>
  </w:style>
  <w:style w:type="paragraph" w:customStyle="1" w:styleId="200">
    <w:name w:val="xl106"/>
    <w:basedOn w:val="1"/>
    <w:qFormat/>
    <w:uiPriority w:val="99"/>
    <w:pPr>
      <w:widowControl/>
      <w:autoSpaceDE/>
      <w:autoSpaceDN/>
      <w:spacing w:before="100" w:beforeAutospacing="1" w:after="100" w:afterAutospacing="1"/>
    </w:pPr>
    <w:rPr>
      <w:sz w:val="24"/>
      <w:szCs w:val="24"/>
      <w:lang w:val="en-US" w:bidi="ar-SA"/>
    </w:rPr>
  </w:style>
  <w:style w:type="paragraph" w:customStyle="1" w:styleId="201">
    <w:name w:val="xl107"/>
    <w:basedOn w:val="1"/>
    <w:qFormat/>
    <w:uiPriority w:val="99"/>
    <w:pPr>
      <w:widowControl/>
      <w:pBdr>
        <w:bottom w:val="single" w:color="000000" w:sz="4" w:space="0"/>
        <w:right w:val="single" w:color="000000" w:sz="4" w:space="0"/>
      </w:pBdr>
      <w:autoSpaceDE/>
      <w:autoSpaceDN/>
      <w:spacing w:before="100" w:beforeAutospacing="1" w:after="100" w:afterAutospacing="1"/>
      <w:jc w:val="center"/>
    </w:pPr>
    <w:rPr>
      <w:lang w:val="en-US" w:bidi="ar-SA"/>
    </w:rPr>
  </w:style>
  <w:style w:type="paragraph" w:customStyle="1" w:styleId="202">
    <w:name w:val="xl108"/>
    <w:basedOn w:val="1"/>
    <w:qFormat/>
    <w:uiPriority w:val="99"/>
    <w:pPr>
      <w:widowControl/>
      <w:pBdr>
        <w:left w:val="single" w:color="auto" w:sz="4" w:space="0"/>
        <w:right w:val="single" w:color="auto" w:sz="4" w:space="0"/>
      </w:pBdr>
      <w:autoSpaceDE/>
      <w:autoSpaceDN/>
      <w:spacing w:before="100" w:beforeAutospacing="1" w:after="100" w:afterAutospacing="1"/>
    </w:pPr>
    <w:rPr>
      <w:lang w:val="en-US" w:bidi="ar-SA"/>
    </w:rPr>
  </w:style>
  <w:style w:type="paragraph" w:customStyle="1" w:styleId="203">
    <w:name w:val="xl109"/>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lang w:val="en-US" w:bidi="ar-SA"/>
    </w:rPr>
  </w:style>
  <w:style w:type="paragraph" w:customStyle="1" w:styleId="204">
    <w:name w:val="xl110"/>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lang w:val="en-US" w:bidi="ar-SA"/>
    </w:rPr>
  </w:style>
  <w:style w:type="paragraph" w:customStyle="1" w:styleId="205">
    <w:name w:val="xl111"/>
    <w:basedOn w:val="1"/>
    <w:qFormat/>
    <w:uiPriority w:val="99"/>
    <w:pPr>
      <w:widowControl/>
      <w:pBdr>
        <w:top w:val="single" w:color="auto" w:sz="4" w:space="0"/>
        <w:bottom w:val="single" w:color="auto" w:sz="4" w:space="0"/>
      </w:pBdr>
      <w:autoSpaceDE/>
      <w:autoSpaceDN/>
      <w:spacing w:before="100" w:beforeAutospacing="1" w:after="100" w:afterAutospacing="1"/>
      <w:jc w:val="center"/>
    </w:pPr>
    <w:rPr>
      <w:sz w:val="24"/>
      <w:szCs w:val="24"/>
      <w:lang w:val="en-US" w:bidi="ar-SA"/>
    </w:rPr>
  </w:style>
  <w:style w:type="paragraph" w:customStyle="1" w:styleId="206">
    <w:name w:val="xl112"/>
    <w:basedOn w:val="1"/>
    <w:qFormat/>
    <w:uiPriority w:val="99"/>
    <w:pPr>
      <w:widowControl/>
      <w:pBdr>
        <w:top w:val="single" w:color="auto" w:sz="4" w:space="0"/>
        <w:bottom w:val="single" w:color="auto" w:sz="4" w:space="0"/>
      </w:pBdr>
      <w:autoSpaceDE/>
      <w:autoSpaceDN/>
      <w:spacing w:before="100" w:beforeAutospacing="1" w:after="100" w:afterAutospacing="1"/>
    </w:pPr>
    <w:rPr>
      <w:sz w:val="24"/>
      <w:szCs w:val="24"/>
      <w:lang w:val="en-US" w:bidi="ar-SA"/>
    </w:rPr>
  </w:style>
  <w:style w:type="paragraph" w:customStyle="1" w:styleId="207">
    <w:name w:val="xl113"/>
    <w:basedOn w:val="1"/>
    <w:qFormat/>
    <w:uiPriority w:val="99"/>
    <w:pPr>
      <w:widowControl/>
      <w:autoSpaceDE/>
      <w:autoSpaceDN/>
      <w:spacing w:before="100" w:beforeAutospacing="1" w:after="100" w:afterAutospacing="1"/>
      <w:jc w:val="center"/>
    </w:pPr>
    <w:rPr>
      <w:sz w:val="32"/>
      <w:szCs w:val="32"/>
      <w:lang w:val="en-US" w:bidi="ar-SA"/>
    </w:rPr>
  </w:style>
  <w:style w:type="paragraph" w:customStyle="1" w:styleId="208">
    <w:name w:val="xl114"/>
    <w:basedOn w:val="1"/>
    <w:qFormat/>
    <w:uiPriority w:val="99"/>
    <w:pPr>
      <w:widowControl/>
      <w:pBdr>
        <w:top w:val="single" w:color="auto" w:sz="4" w:space="0"/>
        <w:bottom w:val="single" w:color="auto" w:sz="4" w:space="0"/>
      </w:pBdr>
      <w:autoSpaceDE/>
      <w:autoSpaceDN/>
      <w:spacing w:before="100" w:beforeAutospacing="1" w:after="100" w:afterAutospacing="1"/>
      <w:jc w:val="right"/>
    </w:pPr>
    <w:rPr>
      <w:sz w:val="24"/>
      <w:szCs w:val="24"/>
      <w:lang w:val="en-US" w:bidi="ar-SA"/>
    </w:rPr>
  </w:style>
  <w:style w:type="paragraph" w:customStyle="1" w:styleId="209">
    <w:name w:val="xl115"/>
    <w:basedOn w:val="1"/>
    <w:qFormat/>
    <w:uiPriority w:val="99"/>
    <w:pPr>
      <w:widowControl/>
      <w:autoSpaceDE/>
      <w:autoSpaceDN/>
      <w:spacing w:before="100" w:beforeAutospacing="1" w:after="100" w:afterAutospacing="1"/>
      <w:jc w:val="center"/>
    </w:pPr>
    <w:rPr>
      <w:sz w:val="40"/>
      <w:szCs w:val="40"/>
      <w:lang w:val="en-US" w:bidi="ar-SA"/>
    </w:rPr>
  </w:style>
  <w:style w:type="paragraph" w:customStyle="1" w:styleId="210">
    <w:name w:val="xl116"/>
    <w:basedOn w:val="1"/>
    <w:qFormat/>
    <w:uiPriority w:val="99"/>
    <w:pPr>
      <w:widowControl/>
      <w:pBdr>
        <w:top w:val="single" w:color="auto" w:sz="4" w:space="0"/>
        <w:bottom w:val="single" w:color="auto" w:sz="4" w:space="0"/>
        <w:right w:val="single" w:color="auto" w:sz="4" w:space="0"/>
      </w:pBdr>
      <w:autoSpaceDE/>
      <w:autoSpaceDN/>
      <w:spacing w:before="100" w:beforeAutospacing="1" w:after="100" w:afterAutospacing="1"/>
      <w:jc w:val="center"/>
    </w:pPr>
    <w:rPr>
      <w:sz w:val="24"/>
      <w:szCs w:val="24"/>
      <w:lang w:val="en-US" w:bidi="ar-SA"/>
    </w:rPr>
  </w:style>
  <w:style w:type="paragraph" w:customStyle="1" w:styleId="211">
    <w:name w:val="xl117"/>
    <w:basedOn w:val="1"/>
    <w:qFormat/>
    <w:uiPriority w:val="99"/>
    <w:pPr>
      <w:widowControl/>
      <w:pBdr>
        <w:top w:val="single" w:color="auto" w:sz="4" w:space="0"/>
        <w:left w:val="single" w:color="auto" w:sz="4" w:space="0"/>
      </w:pBdr>
      <w:autoSpaceDE/>
      <w:autoSpaceDN/>
      <w:spacing w:before="100" w:beforeAutospacing="1" w:after="100" w:afterAutospacing="1"/>
      <w:jc w:val="center"/>
    </w:pPr>
    <w:rPr>
      <w:sz w:val="24"/>
      <w:szCs w:val="24"/>
      <w:lang w:val="en-US" w:bidi="ar-SA"/>
    </w:rPr>
  </w:style>
  <w:style w:type="paragraph" w:customStyle="1" w:styleId="212">
    <w:name w:val="xl118"/>
    <w:basedOn w:val="1"/>
    <w:qFormat/>
    <w:uiPriority w:val="99"/>
    <w:pPr>
      <w:widowControl/>
      <w:pBdr>
        <w:top w:val="single" w:color="auto" w:sz="4" w:space="0"/>
      </w:pBdr>
      <w:autoSpaceDE/>
      <w:autoSpaceDN/>
      <w:spacing w:before="100" w:beforeAutospacing="1" w:after="100" w:afterAutospacing="1"/>
      <w:jc w:val="center"/>
    </w:pPr>
    <w:rPr>
      <w:sz w:val="24"/>
      <w:szCs w:val="24"/>
      <w:lang w:val="en-US" w:bidi="ar-SA"/>
    </w:rPr>
  </w:style>
  <w:style w:type="paragraph" w:customStyle="1" w:styleId="213">
    <w:name w:val="xl119"/>
    <w:basedOn w:val="1"/>
    <w:qFormat/>
    <w:uiPriority w:val="99"/>
    <w:pPr>
      <w:widowControl/>
      <w:pBdr>
        <w:top w:val="single" w:color="auto" w:sz="4" w:space="0"/>
        <w:right w:val="single" w:color="auto" w:sz="4" w:space="0"/>
      </w:pBdr>
      <w:autoSpaceDE/>
      <w:autoSpaceDN/>
      <w:spacing w:before="100" w:beforeAutospacing="1" w:after="100" w:afterAutospacing="1"/>
      <w:jc w:val="center"/>
    </w:pPr>
    <w:rPr>
      <w:sz w:val="24"/>
      <w:szCs w:val="24"/>
      <w:lang w:val="en-US" w:bidi="ar-SA"/>
    </w:rPr>
  </w:style>
  <w:style w:type="paragraph" w:customStyle="1" w:styleId="214">
    <w:name w:val="xl120"/>
    <w:basedOn w:val="1"/>
    <w:qFormat/>
    <w:uiPriority w:val="99"/>
    <w:pPr>
      <w:widowControl/>
      <w:pBdr>
        <w:top w:val="single" w:color="auto" w:sz="4" w:space="0"/>
        <w:bottom w:val="single" w:color="auto" w:sz="4" w:space="0"/>
      </w:pBdr>
      <w:autoSpaceDE/>
      <w:autoSpaceDN/>
      <w:spacing w:before="100" w:beforeAutospacing="1" w:after="100" w:afterAutospacing="1"/>
      <w:jc w:val="right"/>
    </w:pPr>
    <w:rPr>
      <w:lang w:val="en-US" w:bidi="ar-SA"/>
    </w:rPr>
  </w:style>
  <w:style w:type="paragraph" w:customStyle="1" w:styleId="215">
    <w:name w:val="xl121"/>
    <w:basedOn w:val="1"/>
    <w:qFormat/>
    <w:uiPriority w:val="99"/>
    <w:pPr>
      <w:widowControl/>
      <w:pBdr>
        <w:bottom w:val="single" w:color="auto" w:sz="4" w:space="0"/>
      </w:pBdr>
      <w:autoSpaceDE/>
      <w:autoSpaceDN/>
      <w:spacing w:before="100" w:beforeAutospacing="1" w:after="100" w:afterAutospacing="1"/>
      <w:jc w:val="center"/>
    </w:pPr>
    <w:rPr>
      <w:sz w:val="32"/>
      <w:szCs w:val="32"/>
      <w:lang w:val="en-US" w:bidi="ar-SA"/>
    </w:rPr>
  </w:style>
  <w:style w:type="paragraph" w:customStyle="1" w:styleId="216">
    <w:name w:val="xl122"/>
    <w:basedOn w:val="1"/>
    <w:qFormat/>
    <w:uiPriority w:val="99"/>
    <w:pPr>
      <w:widowControl/>
      <w:pBdr>
        <w:top w:val="single" w:color="auto" w:sz="4" w:space="0"/>
        <w:bottom w:val="single" w:color="auto" w:sz="4" w:space="0"/>
      </w:pBdr>
      <w:autoSpaceDE/>
      <w:autoSpaceDN/>
      <w:spacing w:before="100" w:beforeAutospacing="1" w:after="100" w:afterAutospacing="1"/>
      <w:jc w:val="right"/>
    </w:pPr>
    <w:rPr>
      <w:sz w:val="24"/>
      <w:szCs w:val="24"/>
      <w:lang w:val="en-US" w:bidi="ar-SA"/>
    </w:rPr>
  </w:style>
  <w:style w:type="paragraph" w:customStyle="1" w:styleId="217">
    <w:name w:val="xl123"/>
    <w:basedOn w:val="1"/>
    <w:qFormat/>
    <w:uiPriority w:val="99"/>
    <w:pPr>
      <w:widowControl/>
      <w:pBdr>
        <w:top w:val="single" w:color="auto" w:sz="4" w:space="0"/>
        <w:left w:val="single" w:color="auto" w:sz="4" w:space="0"/>
        <w:bottom w:val="single" w:color="auto" w:sz="4" w:space="0"/>
      </w:pBdr>
      <w:autoSpaceDE/>
      <w:autoSpaceDN/>
      <w:spacing w:before="100" w:beforeAutospacing="1" w:after="100" w:afterAutospacing="1"/>
      <w:jc w:val="center"/>
    </w:pPr>
    <w:rPr>
      <w:lang w:val="en-US" w:bidi="ar-SA"/>
    </w:rPr>
  </w:style>
  <w:style w:type="paragraph" w:customStyle="1" w:styleId="218">
    <w:name w:val="xl124"/>
    <w:basedOn w:val="1"/>
    <w:qFormat/>
    <w:uiPriority w:val="99"/>
    <w:pPr>
      <w:widowControl/>
      <w:pBdr>
        <w:top w:val="single" w:color="auto" w:sz="4" w:space="0"/>
        <w:bottom w:val="single" w:color="auto" w:sz="4" w:space="0"/>
      </w:pBdr>
      <w:autoSpaceDE/>
      <w:autoSpaceDN/>
      <w:spacing w:before="100" w:beforeAutospacing="1" w:after="100" w:afterAutospacing="1"/>
      <w:jc w:val="center"/>
    </w:pPr>
    <w:rPr>
      <w:lang w:val="en-US" w:bidi="ar-SA"/>
    </w:rPr>
  </w:style>
  <w:style w:type="paragraph" w:customStyle="1" w:styleId="219">
    <w:name w:val="xl125"/>
    <w:basedOn w:val="1"/>
    <w:qFormat/>
    <w:uiPriority w:val="99"/>
    <w:pPr>
      <w:widowControl/>
      <w:pBdr>
        <w:top w:val="single" w:color="auto" w:sz="4" w:space="0"/>
        <w:bottom w:val="single" w:color="auto" w:sz="4" w:space="0"/>
        <w:right w:val="single" w:color="auto" w:sz="4" w:space="0"/>
      </w:pBdr>
      <w:autoSpaceDE/>
      <w:autoSpaceDN/>
      <w:spacing w:before="100" w:beforeAutospacing="1" w:after="100" w:afterAutospacing="1"/>
      <w:jc w:val="center"/>
    </w:pPr>
    <w:rPr>
      <w:lang w:val="en-US" w:bidi="ar-SA"/>
    </w:rPr>
  </w:style>
  <w:style w:type="paragraph" w:customStyle="1" w:styleId="220">
    <w:name w:val="xl126"/>
    <w:basedOn w:val="1"/>
    <w:qFormat/>
    <w:uiPriority w:val="99"/>
    <w:pPr>
      <w:widowControl/>
      <w:pBdr>
        <w:top w:val="single" w:color="auto" w:sz="4" w:space="0"/>
        <w:bottom w:val="single" w:color="auto" w:sz="4" w:space="0"/>
        <w:right w:val="single" w:color="auto" w:sz="4" w:space="0"/>
      </w:pBdr>
      <w:autoSpaceDE/>
      <w:autoSpaceDN/>
      <w:spacing w:before="100" w:beforeAutospacing="1" w:after="100" w:afterAutospacing="1"/>
      <w:jc w:val="center"/>
    </w:pPr>
    <w:rPr>
      <w:lang w:val="en-US" w:bidi="ar-SA"/>
    </w:rPr>
  </w:style>
  <w:style w:type="paragraph" w:customStyle="1" w:styleId="221">
    <w:name w:val="Char Char Char Char Char Char Char Char Char Char Char Char Char Char Char Char5"/>
    <w:basedOn w:val="1"/>
    <w:qFormat/>
    <w:uiPriority w:val="99"/>
    <w:pPr>
      <w:autoSpaceDE/>
      <w:autoSpaceDN/>
      <w:jc w:val="both"/>
    </w:pPr>
    <w:rPr>
      <w:rFonts w:ascii="Times New Roman" w:hAnsi="Times New Roman" w:cs="Times New Roman"/>
      <w:kern w:val="2"/>
      <w:sz w:val="21"/>
      <w:szCs w:val="20"/>
      <w:lang w:val="en-US" w:bidi="ar-SA"/>
    </w:rPr>
  </w:style>
  <w:style w:type="paragraph" w:customStyle="1" w:styleId="222">
    <w:name w:val="msonormalcxspmiddle"/>
    <w:basedOn w:val="1"/>
    <w:qFormat/>
    <w:uiPriority w:val="99"/>
    <w:pPr>
      <w:widowControl/>
      <w:autoSpaceDE/>
      <w:autoSpaceDN/>
      <w:spacing w:before="100" w:beforeAutospacing="1" w:after="100" w:afterAutospacing="1"/>
    </w:pPr>
    <w:rPr>
      <w:sz w:val="24"/>
      <w:szCs w:val="24"/>
      <w:lang w:val="en-US" w:bidi="ar-SA"/>
    </w:rPr>
  </w:style>
  <w:style w:type="paragraph" w:customStyle="1" w:styleId="223">
    <w:name w:val="Char Char Char Char Char Char Char Char Char Char Char Char Char Char Char Char6"/>
    <w:basedOn w:val="1"/>
    <w:qFormat/>
    <w:uiPriority w:val="99"/>
    <w:pPr>
      <w:autoSpaceDE/>
      <w:autoSpaceDN/>
      <w:jc w:val="both"/>
    </w:pPr>
    <w:rPr>
      <w:rFonts w:ascii="Times New Roman" w:hAnsi="Times New Roman" w:cs="Times New Roman"/>
      <w:kern w:val="2"/>
      <w:sz w:val="21"/>
      <w:szCs w:val="20"/>
      <w:lang w:val="en-US" w:bidi="ar-SA"/>
    </w:rPr>
  </w:style>
  <w:style w:type="paragraph" w:customStyle="1" w:styleId="224">
    <w:name w:val="Char Char Char"/>
    <w:basedOn w:val="1"/>
    <w:qFormat/>
    <w:uiPriority w:val="0"/>
    <w:pPr>
      <w:autoSpaceDE/>
      <w:autoSpaceDN/>
      <w:spacing w:line="360" w:lineRule="auto"/>
      <w:ind w:firstLine="200" w:firstLineChars="200"/>
      <w:jc w:val="both"/>
    </w:pPr>
    <w:rPr>
      <w:kern w:val="2"/>
      <w:sz w:val="24"/>
      <w:szCs w:val="24"/>
      <w:lang w:val="en-US" w:bidi="ar-SA"/>
    </w:rPr>
  </w:style>
  <w:style w:type="paragraph" w:customStyle="1" w:styleId="225">
    <w:name w:val="Normal_3"/>
    <w:qFormat/>
    <w:uiPriority w:val="0"/>
    <w:rPr>
      <w:rFonts w:ascii="Times New Roman" w:hAnsi="Times New Roman" w:eastAsia="宋体" w:cs="Times New Roman"/>
      <w:sz w:val="24"/>
      <w:szCs w:val="24"/>
      <w:lang w:val="en-US" w:eastAsia="zh-CN" w:bidi="ar-SA"/>
    </w:rPr>
  </w:style>
  <w:style w:type="character" w:customStyle="1" w:styleId="226">
    <w:name w:val="标题1"/>
    <w:basedOn w:val="49"/>
    <w:qFormat/>
    <w:uiPriority w:val="0"/>
  </w:style>
  <w:style w:type="character" w:customStyle="1" w:styleId="227">
    <w:name w:val="apple-converted-space"/>
    <w:basedOn w:val="49"/>
    <w:qFormat/>
    <w:uiPriority w:val="0"/>
  </w:style>
  <w:style w:type="paragraph" w:styleId="228">
    <w:name w:val="No Spacing"/>
    <w:link w:val="229"/>
    <w:qFormat/>
    <w:uiPriority w:val="1"/>
    <w:rPr>
      <w:rFonts w:asciiTheme="minorHAnsi" w:hAnsiTheme="minorHAnsi" w:eastAsiaTheme="minorEastAsia" w:cstheme="minorBidi"/>
      <w:sz w:val="22"/>
      <w:szCs w:val="22"/>
      <w:lang w:val="en-US" w:eastAsia="zh-CN" w:bidi="ar-SA"/>
    </w:rPr>
  </w:style>
  <w:style w:type="character" w:customStyle="1" w:styleId="229">
    <w:name w:val="无间隔 Char"/>
    <w:basedOn w:val="49"/>
    <w:link w:val="228"/>
    <w:qFormat/>
    <w:uiPriority w:val="1"/>
    <w:rPr>
      <w:sz w:val="22"/>
      <w:szCs w:val="22"/>
    </w:rPr>
  </w:style>
  <w:style w:type="paragraph" w:customStyle="1" w:styleId="230">
    <w:name w:val="TOC 标题2"/>
    <w:basedOn w:val="2"/>
    <w:next w:val="1"/>
    <w:qFormat/>
    <w:uiPriority w:val="99"/>
    <w:pPr>
      <w:keepNext/>
      <w:keepLines/>
      <w:widowControl/>
      <w:autoSpaceDE/>
      <w:autoSpaceDN/>
      <w:spacing w:before="480" w:line="276" w:lineRule="auto"/>
      <w:outlineLvl w:val="9"/>
    </w:pPr>
    <w:rPr>
      <w:rFonts w:ascii="Cambria" w:hAnsi="Cambria" w:eastAsia="宋体" w:cs="Times New Roman"/>
      <w:b/>
      <w:bCs/>
      <w:color w:val="365F91"/>
      <w:sz w:val="28"/>
      <w:szCs w:val="28"/>
      <w:lang w:val="en-US" w:bidi="ar-SA"/>
    </w:rPr>
  </w:style>
  <w:style w:type="paragraph" w:customStyle="1" w:styleId="231">
    <w:name w:val="正文_18"/>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32">
    <w:name w:val="Header or footer|1_"/>
    <w:basedOn w:val="49"/>
    <w:qFormat/>
    <w:uiPriority w:val="0"/>
    <w:rPr>
      <w:sz w:val="18"/>
      <w:szCs w:val="18"/>
      <w:u w:val="none"/>
    </w:rPr>
  </w:style>
  <w:style w:type="character" w:customStyle="1" w:styleId="233">
    <w:name w:val="Heading #1|1_"/>
    <w:basedOn w:val="49"/>
    <w:link w:val="234"/>
    <w:qFormat/>
    <w:uiPriority w:val="0"/>
    <w:rPr>
      <w:rFonts w:ascii="PMingLiU" w:hAnsi="PMingLiU" w:eastAsia="PMingLiU" w:cs="PMingLiU"/>
      <w:sz w:val="30"/>
      <w:szCs w:val="30"/>
      <w:shd w:val="clear" w:color="auto" w:fill="FFFFFF"/>
    </w:rPr>
  </w:style>
  <w:style w:type="paragraph" w:customStyle="1" w:styleId="234">
    <w:name w:val="Heading #1|1"/>
    <w:basedOn w:val="1"/>
    <w:link w:val="233"/>
    <w:qFormat/>
    <w:uiPriority w:val="0"/>
    <w:pPr>
      <w:shd w:val="clear" w:color="auto" w:fill="FFFFFF"/>
      <w:autoSpaceDE/>
      <w:autoSpaceDN/>
      <w:spacing w:line="662" w:lineRule="exact"/>
      <w:jc w:val="center"/>
      <w:outlineLvl w:val="0"/>
    </w:pPr>
    <w:rPr>
      <w:rFonts w:ascii="PMingLiU" w:hAnsi="PMingLiU" w:eastAsia="PMingLiU" w:cs="PMingLiU"/>
      <w:sz w:val="30"/>
      <w:szCs w:val="30"/>
      <w:lang w:val="en-US" w:bidi="ar-SA"/>
    </w:rPr>
  </w:style>
  <w:style w:type="character" w:customStyle="1" w:styleId="235">
    <w:name w:val="Body text|3_"/>
    <w:basedOn w:val="49"/>
    <w:link w:val="236"/>
    <w:qFormat/>
    <w:uiPriority w:val="0"/>
    <w:rPr>
      <w:rFonts w:ascii="PMingLiU" w:hAnsi="PMingLiU" w:eastAsia="PMingLiU" w:cs="PMingLiU"/>
      <w:spacing w:val="20"/>
      <w:sz w:val="22"/>
      <w:szCs w:val="22"/>
      <w:shd w:val="clear" w:color="auto" w:fill="FFFFFF"/>
    </w:rPr>
  </w:style>
  <w:style w:type="paragraph" w:customStyle="1" w:styleId="236">
    <w:name w:val="Body text|3"/>
    <w:basedOn w:val="1"/>
    <w:link w:val="235"/>
    <w:qFormat/>
    <w:uiPriority w:val="0"/>
    <w:pPr>
      <w:shd w:val="clear" w:color="auto" w:fill="FFFFFF"/>
      <w:autoSpaceDE/>
      <w:autoSpaceDN/>
      <w:spacing w:line="398" w:lineRule="exact"/>
      <w:ind w:hanging="840"/>
    </w:pPr>
    <w:rPr>
      <w:rFonts w:ascii="PMingLiU" w:hAnsi="PMingLiU" w:eastAsia="PMingLiU" w:cs="PMingLiU"/>
      <w:spacing w:val="20"/>
      <w:lang w:val="en-US" w:bidi="ar-SA"/>
    </w:rPr>
  </w:style>
  <w:style w:type="character" w:customStyle="1" w:styleId="237">
    <w:name w:val="Body text|2_"/>
    <w:basedOn w:val="49"/>
    <w:qFormat/>
    <w:uiPriority w:val="0"/>
    <w:rPr>
      <w:rFonts w:ascii="PMingLiU" w:hAnsi="PMingLiU" w:eastAsia="PMingLiU" w:cs="PMingLiU"/>
      <w:sz w:val="22"/>
      <w:szCs w:val="22"/>
      <w:u w:val="none"/>
    </w:rPr>
  </w:style>
  <w:style w:type="character" w:customStyle="1" w:styleId="238">
    <w:name w:val="Body text|2 + 9.5 pt"/>
    <w:basedOn w:val="237"/>
    <w:semiHidden/>
    <w:unhideWhenUsed/>
    <w:qFormat/>
    <w:uiPriority w:val="0"/>
    <w:rPr>
      <w:rFonts w:ascii="PMingLiU" w:hAnsi="PMingLiU" w:eastAsia="PMingLiU" w:cs="PMingLiU"/>
      <w:color w:val="000000"/>
      <w:spacing w:val="10"/>
      <w:w w:val="100"/>
      <w:position w:val="0"/>
      <w:sz w:val="19"/>
      <w:szCs w:val="19"/>
      <w:u w:val="none"/>
      <w:lang w:val="zh-CN" w:eastAsia="zh-CN" w:bidi="zh-CN"/>
    </w:rPr>
  </w:style>
  <w:style w:type="character" w:customStyle="1" w:styleId="239">
    <w:name w:val="Body text|2 + Times New Roman"/>
    <w:basedOn w:val="237"/>
    <w:semiHidden/>
    <w:unhideWhenUsed/>
    <w:qFormat/>
    <w:uiPriority w:val="0"/>
    <w:rPr>
      <w:rFonts w:ascii="Times New Roman" w:hAnsi="Times New Roman" w:eastAsia="Times New Roman" w:cs="Times New Roman"/>
      <w:color w:val="000000"/>
      <w:spacing w:val="0"/>
      <w:w w:val="100"/>
      <w:position w:val="0"/>
      <w:sz w:val="23"/>
      <w:szCs w:val="23"/>
      <w:u w:val="none"/>
      <w:lang w:val="en-US" w:eastAsia="en-US" w:bidi="en-US"/>
    </w:rPr>
  </w:style>
  <w:style w:type="character" w:customStyle="1" w:styleId="240">
    <w:name w:val="Heading #2|1_"/>
    <w:basedOn w:val="49"/>
    <w:link w:val="241"/>
    <w:qFormat/>
    <w:uiPriority w:val="0"/>
    <w:rPr>
      <w:rFonts w:ascii="PMingLiU" w:hAnsi="PMingLiU" w:eastAsia="PMingLiU" w:cs="PMingLiU"/>
      <w:spacing w:val="20"/>
      <w:sz w:val="26"/>
      <w:szCs w:val="26"/>
      <w:shd w:val="clear" w:color="auto" w:fill="FFFFFF"/>
    </w:rPr>
  </w:style>
  <w:style w:type="paragraph" w:customStyle="1" w:styleId="241">
    <w:name w:val="Heading #2|1"/>
    <w:basedOn w:val="1"/>
    <w:link w:val="240"/>
    <w:qFormat/>
    <w:uiPriority w:val="0"/>
    <w:pPr>
      <w:shd w:val="clear" w:color="auto" w:fill="FFFFFF"/>
      <w:autoSpaceDE/>
      <w:autoSpaceDN/>
      <w:spacing w:before="220" w:line="394" w:lineRule="exact"/>
      <w:ind w:hanging="700"/>
      <w:jc w:val="both"/>
      <w:outlineLvl w:val="1"/>
    </w:pPr>
    <w:rPr>
      <w:rFonts w:ascii="PMingLiU" w:hAnsi="PMingLiU" w:eastAsia="PMingLiU" w:cs="PMingLiU"/>
      <w:spacing w:val="20"/>
      <w:sz w:val="26"/>
      <w:szCs w:val="26"/>
      <w:lang w:val="en-US" w:bidi="ar-SA"/>
    </w:rPr>
  </w:style>
  <w:style w:type="character" w:customStyle="1" w:styleId="242">
    <w:name w:val="Heading #3|1_"/>
    <w:basedOn w:val="49"/>
    <w:link w:val="243"/>
    <w:qFormat/>
    <w:uiPriority w:val="0"/>
    <w:rPr>
      <w:rFonts w:ascii="PMingLiU" w:hAnsi="PMingLiU" w:eastAsia="PMingLiU" w:cs="PMingLiU"/>
      <w:b/>
      <w:bCs/>
      <w:spacing w:val="10"/>
      <w:sz w:val="22"/>
      <w:szCs w:val="22"/>
      <w:shd w:val="clear" w:color="auto" w:fill="FFFFFF"/>
    </w:rPr>
  </w:style>
  <w:style w:type="paragraph" w:customStyle="1" w:styleId="243">
    <w:name w:val="Heading #3|1"/>
    <w:basedOn w:val="1"/>
    <w:link w:val="242"/>
    <w:qFormat/>
    <w:uiPriority w:val="0"/>
    <w:pPr>
      <w:shd w:val="clear" w:color="auto" w:fill="FFFFFF"/>
      <w:autoSpaceDE/>
      <w:autoSpaceDN/>
      <w:spacing w:line="394" w:lineRule="exact"/>
      <w:ind w:hanging="700"/>
      <w:jc w:val="both"/>
      <w:outlineLvl w:val="2"/>
    </w:pPr>
    <w:rPr>
      <w:rFonts w:ascii="PMingLiU" w:hAnsi="PMingLiU" w:eastAsia="PMingLiU" w:cs="PMingLiU"/>
      <w:b/>
      <w:bCs/>
      <w:spacing w:val="10"/>
      <w:lang w:val="en-US" w:bidi="ar-SA"/>
    </w:rPr>
  </w:style>
  <w:style w:type="character" w:customStyle="1" w:styleId="244">
    <w:name w:val="Body text|4_"/>
    <w:basedOn w:val="49"/>
    <w:link w:val="245"/>
    <w:qFormat/>
    <w:uiPriority w:val="0"/>
    <w:rPr>
      <w:rFonts w:ascii="PMingLiU" w:hAnsi="PMingLiU" w:eastAsia="PMingLiU" w:cs="PMingLiU"/>
      <w:b/>
      <w:bCs/>
      <w:spacing w:val="10"/>
      <w:sz w:val="22"/>
      <w:szCs w:val="22"/>
      <w:shd w:val="clear" w:color="auto" w:fill="FFFFFF"/>
    </w:rPr>
  </w:style>
  <w:style w:type="paragraph" w:customStyle="1" w:styleId="245">
    <w:name w:val="Body text|4"/>
    <w:basedOn w:val="1"/>
    <w:link w:val="244"/>
    <w:qFormat/>
    <w:uiPriority w:val="0"/>
    <w:pPr>
      <w:shd w:val="clear" w:color="auto" w:fill="FFFFFF"/>
      <w:autoSpaceDE/>
      <w:autoSpaceDN/>
      <w:spacing w:line="394" w:lineRule="exact"/>
      <w:jc w:val="distribute"/>
    </w:pPr>
    <w:rPr>
      <w:rFonts w:ascii="PMingLiU" w:hAnsi="PMingLiU" w:eastAsia="PMingLiU" w:cs="PMingLiU"/>
      <w:b/>
      <w:bCs/>
      <w:spacing w:val="10"/>
      <w:lang w:val="en-US" w:bidi="ar-SA"/>
    </w:rPr>
  </w:style>
  <w:style w:type="character" w:customStyle="1" w:styleId="246">
    <w:name w:val="Body text|5_"/>
    <w:basedOn w:val="49"/>
    <w:link w:val="247"/>
    <w:qFormat/>
    <w:uiPriority w:val="0"/>
    <w:rPr>
      <w:rFonts w:ascii="PMingLiU" w:hAnsi="PMingLiU" w:eastAsia="PMingLiU" w:cs="PMingLiU"/>
      <w:spacing w:val="10"/>
      <w:sz w:val="19"/>
      <w:szCs w:val="19"/>
      <w:shd w:val="clear" w:color="auto" w:fill="FFFFFF"/>
    </w:rPr>
  </w:style>
  <w:style w:type="paragraph" w:customStyle="1" w:styleId="247">
    <w:name w:val="Body text|5"/>
    <w:basedOn w:val="1"/>
    <w:link w:val="246"/>
    <w:qFormat/>
    <w:uiPriority w:val="0"/>
    <w:pPr>
      <w:shd w:val="clear" w:color="auto" w:fill="FFFFFF"/>
      <w:autoSpaceDE/>
      <w:autoSpaceDN/>
      <w:spacing w:line="394" w:lineRule="exact"/>
      <w:jc w:val="distribute"/>
    </w:pPr>
    <w:rPr>
      <w:rFonts w:ascii="PMingLiU" w:hAnsi="PMingLiU" w:eastAsia="PMingLiU" w:cs="PMingLiU"/>
      <w:spacing w:val="10"/>
      <w:sz w:val="19"/>
      <w:szCs w:val="19"/>
      <w:lang w:val="en-US" w:bidi="ar-SA"/>
    </w:rPr>
  </w:style>
  <w:style w:type="character" w:customStyle="1" w:styleId="248">
    <w:name w:val="Body text|2"/>
    <w:basedOn w:val="237"/>
    <w:semiHidden/>
    <w:unhideWhenUsed/>
    <w:qFormat/>
    <w:uiPriority w:val="0"/>
    <w:rPr>
      <w:rFonts w:ascii="PMingLiU" w:hAnsi="PMingLiU" w:eastAsia="PMingLiU" w:cs="PMingLiU"/>
      <w:color w:val="000000"/>
      <w:spacing w:val="0"/>
      <w:w w:val="100"/>
      <w:position w:val="0"/>
      <w:sz w:val="22"/>
      <w:szCs w:val="22"/>
      <w:u w:val="single"/>
      <w:lang w:val="zh-CN" w:eastAsia="zh-CN" w:bidi="zh-CN"/>
    </w:rPr>
  </w:style>
  <w:style w:type="character" w:customStyle="1" w:styleId="249">
    <w:name w:val="Body text|2 + Spacing 14 pt"/>
    <w:basedOn w:val="237"/>
    <w:semiHidden/>
    <w:unhideWhenUsed/>
    <w:qFormat/>
    <w:uiPriority w:val="0"/>
    <w:rPr>
      <w:rFonts w:ascii="PMingLiU" w:hAnsi="PMingLiU" w:eastAsia="PMingLiU" w:cs="PMingLiU"/>
      <w:color w:val="000000"/>
      <w:spacing w:val="280"/>
      <w:w w:val="100"/>
      <w:position w:val="0"/>
      <w:sz w:val="22"/>
      <w:szCs w:val="22"/>
      <w:u w:val="single"/>
      <w:lang w:val="zh-CN" w:eastAsia="zh-CN" w:bidi="zh-CN"/>
    </w:rPr>
  </w:style>
  <w:style w:type="character" w:customStyle="1" w:styleId="250">
    <w:name w:val="Body text|6_"/>
    <w:basedOn w:val="49"/>
    <w:link w:val="251"/>
    <w:qFormat/>
    <w:uiPriority w:val="0"/>
    <w:rPr>
      <w:sz w:val="22"/>
      <w:szCs w:val="22"/>
      <w:shd w:val="clear" w:color="auto" w:fill="FFFFFF"/>
      <w:lang w:eastAsia="en-US" w:bidi="en-US"/>
    </w:rPr>
  </w:style>
  <w:style w:type="paragraph" w:customStyle="1" w:styleId="251">
    <w:name w:val="Body text|6"/>
    <w:basedOn w:val="1"/>
    <w:link w:val="250"/>
    <w:qFormat/>
    <w:uiPriority w:val="0"/>
    <w:pPr>
      <w:shd w:val="clear" w:color="auto" w:fill="FFFFFF"/>
      <w:autoSpaceDE/>
      <w:autoSpaceDN/>
      <w:spacing w:before="380" w:after="220" w:line="244" w:lineRule="exact"/>
      <w:ind w:firstLine="520"/>
      <w:jc w:val="both"/>
    </w:pPr>
    <w:rPr>
      <w:rFonts w:asciiTheme="minorHAnsi" w:hAnsiTheme="minorHAnsi" w:eastAsiaTheme="minorEastAsia" w:cstheme="minorBidi"/>
      <w:lang w:val="en-US" w:eastAsia="en-US" w:bidi="en-US"/>
    </w:rPr>
  </w:style>
  <w:style w:type="character" w:customStyle="1" w:styleId="252">
    <w:name w:val="Heading #3|2_"/>
    <w:basedOn w:val="49"/>
    <w:link w:val="253"/>
    <w:qFormat/>
    <w:uiPriority w:val="0"/>
    <w:rPr>
      <w:rFonts w:ascii="PMingLiU" w:hAnsi="PMingLiU" w:eastAsia="PMingLiU" w:cs="PMingLiU"/>
      <w:spacing w:val="10"/>
      <w:sz w:val="19"/>
      <w:szCs w:val="19"/>
      <w:shd w:val="clear" w:color="auto" w:fill="FFFFFF"/>
    </w:rPr>
  </w:style>
  <w:style w:type="paragraph" w:customStyle="1" w:styleId="253">
    <w:name w:val="Heading #3|2"/>
    <w:basedOn w:val="1"/>
    <w:link w:val="252"/>
    <w:qFormat/>
    <w:uiPriority w:val="0"/>
    <w:pPr>
      <w:shd w:val="clear" w:color="auto" w:fill="FFFFFF"/>
      <w:autoSpaceDE/>
      <w:autoSpaceDN/>
      <w:spacing w:before="380" w:line="398" w:lineRule="exact"/>
      <w:ind w:hanging="500"/>
      <w:jc w:val="both"/>
      <w:outlineLvl w:val="2"/>
    </w:pPr>
    <w:rPr>
      <w:rFonts w:ascii="PMingLiU" w:hAnsi="PMingLiU" w:eastAsia="PMingLiU" w:cs="PMingLiU"/>
      <w:spacing w:val="10"/>
      <w:sz w:val="19"/>
      <w:szCs w:val="19"/>
      <w:lang w:val="en-US" w:bidi="ar-SA"/>
    </w:rPr>
  </w:style>
  <w:style w:type="character" w:customStyle="1" w:styleId="254">
    <w:name w:val="Table caption|2_"/>
    <w:basedOn w:val="49"/>
    <w:link w:val="255"/>
    <w:qFormat/>
    <w:uiPriority w:val="0"/>
    <w:rPr>
      <w:rFonts w:ascii="PMingLiU" w:hAnsi="PMingLiU" w:eastAsia="PMingLiU" w:cs="PMingLiU"/>
      <w:b/>
      <w:bCs/>
      <w:spacing w:val="10"/>
      <w:sz w:val="22"/>
      <w:szCs w:val="22"/>
      <w:shd w:val="clear" w:color="auto" w:fill="FFFFFF"/>
    </w:rPr>
  </w:style>
  <w:style w:type="paragraph" w:customStyle="1" w:styleId="255">
    <w:name w:val="Table caption|2"/>
    <w:basedOn w:val="1"/>
    <w:link w:val="254"/>
    <w:qFormat/>
    <w:uiPriority w:val="0"/>
    <w:pPr>
      <w:shd w:val="clear" w:color="auto" w:fill="FFFFFF"/>
      <w:autoSpaceDE/>
      <w:autoSpaceDN/>
      <w:spacing w:line="254" w:lineRule="exact"/>
    </w:pPr>
    <w:rPr>
      <w:rFonts w:ascii="PMingLiU" w:hAnsi="PMingLiU" w:eastAsia="PMingLiU" w:cs="PMingLiU"/>
      <w:b/>
      <w:bCs/>
      <w:spacing w:val="10"/>
      <w:lang w:val="en-US" w:bidi="ar-SA"/>
    </w:rPr>
  </w:style>
  <w:style w:type="character" w:customStyle="1" w:styleId="256">
    <w:name w:val="Body text|2 + 10 pt"/>
    <w:basedOn w:val="237"/>
    <w:semiHidden/>
    <w:unhideWhenUsed/>
    <w:qFormat/>
    <w:uiPriority w:val="0"/>
    <w:rPr>
      <w:rFonts w:ascii="PMingLiU" w:hAnsi="PMingLiU" w:eastAsia="PMingLiU" w:cs="PMingLiU"/>
      <w:color w:val="000000"/>
      <w:spacing w:val="40"/>
      <w:w w:val="100"/>
      <w:position w:val="0"/>
      <w:sz w:val="20"/>
      <w:szCs w:val="20"/>
      <w:u w:val="none"/>
      <w:lang w:val="zh-CN" w:eastAsia="zh-CN" w:bidi="zh-CN"/>
    </w:rPr>
  </w:style>
  <w:style w:type="character" w:customStyle="1" w:styleId="257">
    <w:name w:val="Body text|5 + Spacing 1 pt"/>
    <w:basedOn w:val="246"/>
    <w:semiHidden/>
    <w:unhideWhenUsed/>
    <w:qFormat/>
    <w:uiPriority w:val="0"/>
    <w:rPr>
      <w:rFonts w:ascii="PMingLiU" w:hAnsi="PMingLiU" w:eastAsia="PMingLiU" w:cs="PMingLiU"/>
      <w:color w:val="000000"/>
      <w:spacing w:val="30"/>
      <w:w w:val="100"/>
      <w:position w:val="0"/>
      <w:sz w:val="19"/>
      <w:szCs w:val="19"/>
      <w:shd w:val="clear" w:color="auto" w:fill="FFFFFF"/>
      <w:lang w:val="zh-CN" w:eastAsia="zh-CN" w:bidi="zh-CN"/>
    </w:rPr>
  </w:style>
  <w:style w:type="character" w:customStyle="1" w:styleId="258">
    <w:name w:val="Table caption|1_"/>
    <w:basedOn w:val="49"/>
    <w:link w:val="259"/>
    <w:qFormat/>
    <w:uiPriority w:val="0"/>
    <w:rPr>
      <w:rFonts w:ascii="PMingLiU" w:hAnsi="PMingLiU" w:eastAsia="PMingLiU" w:cs="PMingLiU"/>
      <w:spacing w:val="10"/>
      <w:sz w:val="19"/>
      <w:szCs w:val="19"/>
      <w:shd w:val="clear" w:color="auto" w:fill="FFFFFF"/>
    </w:rPr>
  </w:style>
  <w:style w:type="paragraph" w:customStyle="1" w:styleId="259">
    <w:name w:val="Table caption|1"/>
    <w:basedOn w:val="1"/>
    <w:link w:val="258"/>
    <w:qFormat/>
    <w:uiPriority w:val="0"/>
    <w:pPr>
      <w:shd w:val="clear" w:color="auto" w:fill="FFFFFF"/>
      <w:autoSpaceDE/>
      <w:autoSpaceDN/>
      <w:spacing w:line="190" w:lineRule="exact"/>
      <w:jc w:val="distribute"/>
    </w:pPr>
    <w:rPr>
      <w:rFonts w:ascii="PMingLiU" w:hAnsi="PMingLiU" w:eastAsia="PMingLiU" w:cs="PMingLiU"/>
      <w:spacing w:val="10"/>
      <w:sz w:val="19"/>
      <w:szCs w:val="19"/>
      <w:lang w:val="en-US" w:bidi="ar-SA"/>
    </w:rPr>
  </w:style>
  <w:style w:type="character" w:customStyle="1" w:styleId="260">
    <w:name w:val="Body text|7_"/>
    <w:basedOn w:val="49"/>
    <w:link w:val="261"/>
    <w:qFormat/>
    <w:uiPriority w:val="0"/>
    <w:rPr>
      <w:rFonts w:ascii="PMingLiU" w:hAnsi="PMingLiU" w:eastAsia="PMingLiU" w:cs="PMingLiU"/>
      <w:spacing w:val="20"/>
      <w:sz w:val="26"/>
      <w:szCs w:val="26"/>
      <w:shd w:val="clear" w:color="auto" w:fill="FFFFFF"/>
    </w:rPr>
  </w:style>
  <w:style w:type="paragraph" w:customStyle="1" w:styleId="261">
    <w:name w:val="Body text|7"/>
    <w:basedOn w:val="1"/>
    <w:link w:val="260"/>
    <w:qFormat/>
    <w:uiPriority w:val="0"/>
    <w:pPr>
      <w:shd w:val="clear" w:color="auto" w:fill="FFFFFF"/>
      <w:autoSpaceDE/>
      <w:autoSpaceDN/>
      <w:spacing w:before="380" w:line="398" w:lineRule="exact"/>
    </w:pPr>
    <w:rPr>
      <w:rFonts w:ascii="PMingLiU" w:hAnsi="PMingLiU" w:eastAsia="PMingLiU" w:cs="PMingLiU"/>
      <w:spacing w:val="20"/>
      <w:sz w:val="26"/>
      <w:szCs w:val="26"/>
      <w:lang w:val="en-US" w:bidi="ar-SA"/>
    </w:rPr>
  </w:style>
  <w:style w:type="character" w:customStyle="1" w:styleId="262">
    <w:name w:val="Heading #2|1 + Spacing 2 pt"/>
    <w:basedOn w:val="240"/>
    <w:semiHidden/>
    <w:unhideWhenUsed/>
    <w:qFormat/>
    <w:uiPriority w:val="0"/>
    <w:rPr>
      <w:rFonts w:ascii="PMingLiU" w:hAnsi="PMingLiU" w:eastAsia="PMingLiU" w:cs="PMingLiU"/>
      <w:color w:val="000000"/>
      <w:spacing w:val="50"/>
      <w:w w:val="100"/>
      <w:position w:val="0"/>
      <w:sz w:val="26"/>
      <w:szCs w:val="26"/>
      <w:shd w:val="clear" w:color="auto" w:fill="FFFFFF"/>
      <w:lang w:val="en-US" w:eastAsia="en-US" w:bidi="en-US"/>
    </w:rPr>
  </w:style>
  <w:style w:type="paragraph" w:customStyle="1" w:styleId="263">
    <w:name w:val="Other|1"/>
    <w:basedOn w:val="1"/>
    <w:qFormat/>
    <w:uiPriority w:val="0"/>
    <w:rPr>
      <w:sz w:val="19"/>
      <w:szCs w:val="19"/>
      <w:lang w:val="zh-TW" w:eastAsia="zh-TW" w:bidi="zh-TW"/>
    </w:rPr>
  </w:style>
  <w:style w:type="paragraph" w:customStyle="1" w:styleId="264">
    <w:name w:val="Body text|1"/>
    <w:basedOn w:val="1"/>
    <w:qFormat/>
    <w:uiPriority w:val="0"/>
    <w:rPr>
      <w:sz w:val="19"/>
      <w:szCs w:val="19"/>
      <w:lang w:val="zh-TW" w:eastAsia="zh-TW" w:bidi="zh-TW"/>
    </w:rPr>
  </w:style>
  <w:style w:type="paragraph" w:customStyle="1" w:styleId="265">
    <w:name w:val="Header or footer|1"/>
    <w:basedOn w:val="1"/>
    <w:qFormat/>
    <w:uiPriority w:val="0"/>
    <w:rPr>
      <w:b/>
      <w:bCs/>
      <w:sz w:val="20"/>
      <w:szCs w:val="20"/>
      <w:lang w:val="zh-TW" w:eastAsia="zh-TW" w:bidi="zh-TW"/>
    </w:rPr>
  </w:style>
  <w:style w:type="paragraph" w:customStyle="1" w:styleId="266">
    <w:name w:val="正文2"/>
    <w:qFormat/>
    <w:uiPriority w:val="0"/>
    <w:pPr>
      <w:widowControl w:val="0"/>
      <w:jc w:val="both"/>
    </w:pPr>
    <w:rPr>
      <w:rFonts w:ascii="Calibri" w:hAnsi="Calibri" w:eastAsia="宋体" w:cs="Times New Roman"/>
      <w:lang w:val="en-US" w:eastAsia="zh-CN" w:bidi="ar-SA"/>
    </w:rPr>
  </w:style>
  <w:style w:type="paragraph" w:customStyle="1" w:styleId="267">
    <w:name w:val="正文_0"/>
    <w:qFormat/>
    <w:uiPriority w:val="0"/>
    <w:pPr>
      <w:widowControl w:val="0"/>
      <w:jc w:val="both"/>
    </w:pPr>
    <w:rPr>
      <w:rFonts w:ascii="Times New Roman" w:hAnsi="Times New Roman" w:eastAsia="宋体" w:cs="Times New Roman"/>
      <w:szCs w:val="24"/>
      <w:lang w:val="en-US" w:eastAsia="zh-CN" w:bidi="ar-SA"/>
    </w:rPr>
  </w:style>
  <w:style w:type="paragraph" w:customStyle="1" w:styleId="268">
    <w:name w:val="标题 4_0"/>
    <w:basedOn w:val="267"/>
    <w:next w:val="267"/>
    <w:qFormat/>
    <w:uiPriority w:val="0"/>
    <w:pPr>
      <w:keepNext/>
      <w:keepLines/>
      <w:spacing w:before="280" w:after="290" w:line="372" w:lineRule="auto"/>
      <w:outlineLvl w:val="3"/>
    </w:pPr>
    <w:rPr>
      <w:rFonts w:ascii="Arial" w:hAnsi="Arial" w:eastAsia="黑体"/>
      <w:b/>
      <w:sz w:val="28"/>
      <w:szCs w:val="20"/>
    </w:rPr>
  </w:style>
  <w:style w:type="paragraph" w:customStyle="1" w:styleId="269">
    <w:name w:val="样式1"/>
    <w:basedOn w:val="1"/>
    <w:next w:val="1"/>
    <w:qFormat/>
    <w:uiPriority w:val="0"/>
    <w:pPr>
      <w:spacing w:before="169"/>
      <w:outlineLvl w:val="0"/>
    </w:pPr>
    <w:rPr>
      <w:rFonts w:hint="eastAsia" w:ascii="黑体" w:hAnsi="黑体" w:eastAsia="黑体" w:cs="黑体"/>
      <w:sz w:val="76"/>
      <w:szCs w:val="5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289"/>
    <customShpInfo spid="_x0000_s230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4BA84D-8814-4766-9D2C-885D53DB8E3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264</Pages>
  <Words>26034</Words>
  <Characters>148400</Characters>
  <Lines>1236</Lines>
  <Paragraphs>348</Paragraphs>
  <TotalTime>16</TotalTime>
  <ScaleCrop>false</ScaleCrop>
  <LinksUpToDate>false</LinksUpToDate>
  <CharactersWithSpaces>174086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2021-04-14T01:56:00Z</dcterms:created>
  <dc:creator>袁静</dc:creator>
  <cp:lastModifiedBy>郭志权</cp:lastModifiedBy>
  <cp:lastPrinted>2021-04-14T07:47:00Z</cp:lastPrinted>
  <dcterms:modified xsi:type="dcterms:W3CDTF">2021-04-15T08:30:31Z</dcterms:modified>
  <dc:title>沈营线（兰旗堡K157+556——后石小桥K183+755）中修工程施工                                 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2018-02-27T00:00:00Z</vt:filetime>
  </property>
  <property fmtid="{D5CDD505-2E9C-101B-9397-08002B2CF9AE}" pid="3" name="Creator">
    <vt:lpwstr>Microsoft® Office Word 2007</vt:lpwstr>
  </property>
  <property fmtid="{D5CDD505-2E9C-101B-9397-08002B2CF9AE}" pid="4" name="LastSaved">
    <vt:filetime>2018-03-04T00:00:00Z</vt:filetime>
  </property>
  <property fmtid="{D5CDD505-2E9C-101B-9397-08002B2CF9AE}" pid="5" name="KSOProductBuildVer">
    <vt:lpwstr>2052-11.1.0.10463</vt:lpwstr>
  </property>
  <property fmtid="{D5CDD505-2E9C-101B-9397-08002B2CF9AE}" pid="6" name="ICV">
    <vt:lpwstr>3374A1BE0A7B42CC9441A881438EBC40</vt:lpwstr>
  </property>
</Properties>
</file>